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33478" w14:textId="4B7F6417" w:rsidR="00F679C0" w:rsidRPr="00B51293" w:rsidRDefault="00AD265B">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Additional File</w:t>
      </w:r>
      <w:r w:rsidR="00E45E40" w:rsidRPr="00B51293">
        <w:rPr>
          <w:rFonts w:ascii="Times New Roman" w:hAnsi="Times New Roman" w:cs="Times New Roman"/>
          <w:b/>
          <w:color w:val="000000" w:themeColor="text1"/>
          <w:sz w:val="20"/>
          <w:szCs w:val="20"/>
        </w:rPr>
        <w:t xml:space="preserve"> 10: Uncertainty inclusion</w:t>
      </w:r>
    </w:p>
    <w:p w14:paraId="25C0AEF2" w14:textId="77777777" w:rsidR="00F679C0" w:rsidRPr="00B51293" w:rsidRDefault="00F679C0">
      <w:pPr>
        <w:rPr>
          <w:rFonts w:ascii="Times New Roman" w:hAnsi="Times New Roman" w:cs="Times New Roman"/>
          <w:b/>
          <w:color w:val="000000" w:themeColor="text1"/>
          <w:sz w:val="20"/>
          <w:szCs w:val="20"/>
        </w:rPr>
      </w:pPr>
    </w:p>
    <w:p w14:paraId="6C043B19"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200 simulations were generated. Each simulation included uncertainty from three stages: </w:t>
      </w:r>
    </w:p>
    <w:p w14:paraId="795C2F55" w14:textId="77777777" w:rsidR="00F679C0" w:rsidRPr="00B51293" w:rsidRDefault="00F679C0">
      <w:pPr>
        <w:rPr>
          <w:rFonts w:ascii="Times New Roman" w:hAnsi="Times New Roman" w:cs="Times New Roman"/>
          <w:color w:val="000000" w:themeColor="text1"/>
          <w:sz w:val="20"/>
          <w:szCs w:val="20"/>
        </w:rPr>
      </w:pPr>
    </w:p>
    <w:p w14:paraId="6090B674" w14:textId="77777777" w:rsidR="00F679C0" w:rsidRPr="00B51293" w:rsidRDefault="00E45E40">
      <w:pPr>
        <w:rPr>
          <w:rFonts w:ascii="Times New Roman" w:hAnsi="Times New Roman" w:cs="Times New Roman"/>
          <w:color w:val="000000" w:themeColor="text1"/>
          <w:sz w:val="20"/>
          <w:szCs w:val="20"/>
          <w:u w:val="single"/>
        </w:rPr>
      </w:pPr>
      <w:r w:rsidRPr="00B51293">
        <w:rPr>
          <w:rFonts w:ascii="Times New Roman" w:hAnsi="Times New Roman" w:cs="Times New Roman"/>
          <w:color w:val="000000" w:themeColor="text1"/>
          <w:sz w:val="20"/>
          <w:szCs w:val="20"/>
          <w:u w:val="single"/>
        </w:rPr>
        <w:t>Stage 1</w:t>
      </w:r>
    </w:p>
    <w:p w14:paraId="2AB4739B"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As we generated estimates of the proportion identified by place and week, we included uncertainty from two elements each week: </w:t>
      </w:r>
    </w:p>
    <w:p w14:paraId="67C3D7A0" w14:textId="300A50FF" w:rsidR="00F679C0" w:rsidRPr="00B51293" w:rsidRDefault="00E45E40">
      <w:pPr>
        <w:numPr>
          <w:ilvl w:val="1"/>
          <w:numId w:val="4"/>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Length of stay distribution: bootstrap the distribution for that week from SUS. As there are so many patients (n = 237,981) in the data there is little variation produced by this variation (see Figure S</w:t>
      </w:r>
      <w:r w:rsidR="008D0D1D">
        <w:rPr>
          <w:rFonts w:ascii="Times New Roman" w:hAnsi="Times New Roman" w:cs="Times New Roman"/>
          <w:color w:val="000000" w:themeColor="text1"/>
          <w:sz w:val="20"/>
          <w:szCs w:val="20"/>
        </w:rPr>
        <w:t>9</w:t>
      </w:r>
      <w:r w:rsidRPr="00B51293">
        <w:rPr>
          <w:rFonts w:ascii="Times New Roman" w:hAnsi="Times New Roman" w:cs="Times New Roman"/>
          <w:color w:val="000000" w:themeColor="text1"/>
          <w:sz w:val="20"/>
          <w:szCs w:val="20"/>
        </w:rPr>
        <w:t xml:space="preserve"> below, top left). </w:t>
      </w:r>
    </w:p>
    <w:p w14:paraId="5F33F88E" w14:textId="77777777" w:rsidR="00F679C0" w:rsidRPr="00B51293" w:rsidRDefault="00E45E40">
      <w:pPr>
        <w:numPr>
          <w:ilvl w:val="1"/>
          <w:numId w:val="4"/>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Incubation period: sampled the parameters for the incubation period distribution (</w:t>
      </w:r>
      <w:proofErr w:type="gramStart"/>
      <w:r w:rsidRPr="00B51293">
        <w:rPr>
          <w:rFonts w:ascii="Times New Roman" w:hAnsi="Times New Roman" w:cs="Times New Roman"/>
          <w:color w:val="000000" w:themeColor="text1"/>
          <w:sz w:val="20"/>
          <w:szCs w:val="20"/>
        </w:rPr>
        <w:t>i.e.</w:t>
      </w:r>
      <w:proofErr w:type="gramEnd"/>
      <w:r w:rsidRPr="00B51293">
        <w:rPr>
          <w:rFonts w:ascii="Times New Roman" w:hAnsi="Times New Roman" w:cs="Times New Roman"/>
          <w:color w:val="000000" w:themeColor="text1"/>
          <w:sz w:val="20"/>
          <w:szCs w:val="20"/>
        </w:rPr>
        <w:t xml:space="preserve"> sample from the mean and standard deviation for the lognormal distribution from a normal distribution with the estimated mean and </w:t>
      </w:r>
      <w:proofErr w:type="spellStart"/>
      <w:r w:rsidRPr="00B51293">
        <w:rPr>
          <w:rFonts w:ascii="Times New Roman" w:hAnsi="Times New Roman" w:cs="Times New Roman"/>
          <w:color w:val="000000" w:themeColor="text1"/>
          <w:sz w:val="20"/>
          <w:szCs w:val="20"/>
        </w:rPr>
        <w:t>sd</w:t>
      </w:r>
      <w:proofErr w:type="spellEnd"/>
      <w:r w:rsidRPr="00B51293">
        <w:rPr>
          <w:rFonts w:ascii="Times New Roman" w:hAnsi="Times New Roman" w:cs="Times New Roman"/>
          <w:color w:val="000000" w:themeColor="text1"/>
          <w:sz w:val="20"/>
          <w:szCs w:val="20"/>
        </w:rPr>
        <w:t xml:space="preserve"> to give a different distribution for each sample for the time to symptom onset from infection, see Table 2). </w:t>
      </w:r>
    </w:p>
    <w:p w14:paraId="67D33AD9" w14:textId="77777777" w:rsidR="00F679C0" w:rsidRPr="00B51293" w:rsidRDefault="00F679C0">
      <w:pPr>
        <w:rPr>
          <w:rFonts w:ascii="Times New Roman" w:hAnsi="Times New Roman" w:cs="Times New Roman"/>
          <w:color w:val="000000" w:themeColor="text1"/>
          <w:sz w:val="20"/>
          <w:szCs w:val="20"/>
        </w:rPr>
      </w:pPr>
    </w:p>
    <w:p w14:paraId="2D8579D0" w14:textId="5D4FC419"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This incubation period distribution and length of stay for non-COVID patients was used for the entire of the simulation. This is coded in “</w:t>
      </w:r>
      <w:proofErr w:type="spellStart"/>
      <w:r w:rsidRPr="00B51293">
        <w:rPr>
          <w:rFonts w:ascii="Times New Roman" w:hAnsi="Times New Roman" w:cs="Times New Roman"/>
          <w:color w:val="000000" w:themeColor="text1"/>
          <w:sz w:val="20"/>
          <w:szCs w:val="20"/>
        </w:rPr>
        <w:t>trust_proportion_detect_by_week_all.R</w:t>
      </w:r>
      <w:proofErr w:type="spellEnd"/>
      <w:r w:rsidRPr="00B51293">
        <w:rPr>
          <w:rFonts w:ascii="Times New Roman" w:hAnsi="Times New Roman" w:cs="Times New Roman"/>
          <w:color w:val="000000" w:themeColor="text1"/>
          <w:sz w:val="20"/>
          <w:szCs w:val="20"/>
        </w:rPr>
        <w:t xml:space="preserve">” </w:t>
      </w:r>
      <w:r w:rsidRPr="00B51293">
        <w:rPr>
          <w:rFonts w:ascii="Times New Roman" w:hAnsi="Times New Roman" w:cs="Times New Roman"/>
          <w:color w:val="000000" w:themeColor="text1"/>
          <w:sz w:val="20"/>
          <w:szCs w:val="20"/>
        </w:rPr>
        <w:fldChar w:fldCharType="begin"/>
      </w:r>
      <w:r w:rsidR="008D0D1D">
        <w:rPr>
          <w:rFonts w:ascii="Times New Roman" w:hAnsi="Times New Roman" w:cs="Times New Roman"/>
          <w:color w:val="000000" w:themeColor="text1"/>
          <w:sz w:val="20"/>
          <w:szCs w:val="20"/>
        </w:rPr>
        <w:instrText xml:space="preserve"> ADDIN ZOTERO_ITEM CSL_CITATION {"citationID":"ail15o7luo","properties":{"formattedCitation":"(1)","plainCitation":"(1)","noteIndex":0},"citationItems":[{"id":21483,"uris":["http://zotero.org/users/6698211/items/8YHN2ERK"],"itemData":{"id":21483,"type":"book","event-place":"Github","publisher-place":"Github","title":"Supporting Github repository","URL":"https://github.com/gwenknight/hai_first_wave.git","author":[{"family":"Knight","given":"Gwenan M"}],"issued":{"date-parts":[["2021"]]}}}],"schema":"https://github.com/citation-style-language/schema/raw/master/csl-citation.json"}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8D0D1D">
        <w:rPr>
          <w:rFonts w:ascii="Times New Roman" w:hAnsi="Times New Roman" w:cs="Times New Roman"/>
          <w:color w:val="000000" w:themeColor="text1"/>
          <w:sz w:val="20"/>
          <w:szCs w:val="20"/>
        </w:rPr>
        <w:t>(1)</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It gives the variation in the proportion of hospital-acquired infections identified and is presented in Figure </w:t>
      </w:r>
      <w:proofErr w:type="gramStart"/>
      <w:r w:rsidRPr="00B51293">
        <w:rPr>
          <w:rFonts w:ascii="Times New Roman" w:hAnsi="Times New Roman" w:cs="Times New Roman"/>
          <w:color w:val="000000" w:themeColor="text1"/>
          <w:sz w:val="20"/>
          <w:szCs w:val="20"/>
        </w:rPr>
        <w:t>3c, and</w:t>
      </w:r>
      <w:proofErr w:type="gramEnd"/>
      <w:r w:rsidRPr="00B51293">
        <w:rPr>
          <w:rFonts w:ascii="Times New Roman" w:hAnsi="Times New Roman" w:cs="Times New Roman"/>
          <w:color w:val="000000" w:themeColor="text1"/>
          <w:sz w:val="20"/>
          <w:szCs w:val="20"/>
        </w:rPr>
        <w:t xml:space="preserve"> shown again in Figure S9 for a cutoff of symptom onset more than 7 days from admission. </w:t>
      </w:r>
    </w:p>
    <w:p w14:paraId="749EF860" w14:textId="77777777" w:rsidR="00126DFF" w:rsidRPr="00B51293" w:rsidRDefault="00126DFF">
      <w:pPr>
        <w:rPr>
          <w:rFonts w:ascii="Times New Roman" w:hAnsi="Times New Roman" w:cs="Times New Roman"/>
          <w:color w:val="000000" w:themeColor="text1"/>
          <w:sz w:val="20"/>
          <w:szCs w:val="20"/>
        </w:rPr>
      </w:pPr>
    </w:p>
    <w:p w14:paraId="11AB7696" w14:textId="77777777" w:rsidR="00F679C0" w:rsidRPr="00B51293" w:rsidRDefault="00F679C0">
      <w:pPr>
        <w:rPr>
          <w:rFonts w:ascii="Times New Roman" w:hAnsi="Times New Roman" w:cs="Times New Roman"/>
          <w:color w:val="000000" w:themeColor="text1"/>
          <w:sz w:val="20"/>
          <w:szCs w:val="20"/>
        </w:rPr>
      </w:pPr>
    </w:p>
    <w:p w14:paraId="79F107C5"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br w:type="page"/>
      </w:r>
    </w:p>
    <w:p w14:paraId="2EC40202"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noProof/>
          <w:color w:val="000000" w:themeColor="text1"/>
          <w:sz w:val="20"/>
          <w:szCs w:val="20"/>
        </w:rPr>
        <w:lastRenderedPageBreak/>
        <w:drawing>
          <wp:inline distT="114300" distB="114300" distL="114300" distR="114300" wp14:anchorId="0A14C0A4" wp14:editId="592F0D0C">
            <wp:extent cx="2702555" cy="2271713"/>
            <wp:effectExtent l="0" t="0" r="0" b="0"/>
            <wp:docPr id="2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7"/>
                    <a:srcRect t="5038" r="9797"/>
                    <a:stretch>
                      <a:fillRect/>
                    </a:stretch>
                  </pic:blipFill>
                  <pic:spPr>
                    <a:xfrm>
                      <a:off x="0" y="0"/>
                      <a:ext cx="2702555" cy="2271713"/>
                    </a:xfrm>
                    <a:prstGeom prst="rect">
                      <a:avLst/>
                    </a:prstGeom>
                    <a:ln/>
                  </pic:spPr>
                </pic:pic>
              </a:graphicData>
            </a:graphic>
          </wp:inline>
        </w:drawing>
      </w:r>
      <w:r w:rsidRPr="00B51293">
        <w:rPr>
          <w:rFonts w:ascii="Times New Roman" w:hAnsi="Times New Roman" w:cs="Times New Roman"/>
          <w:noProof/>
          <w:color w:val="000000" w:themeColor="text1"/>
          <w:sz w:val="20"/>
          <w:szCs w:val="20"/>
        </w:rPr>
        <w:drawing>
          <wp:inline distT="114300" distB="114300" distL="114300" distR="114300" wp14:anchorId="7D146B69" wp14:editId="1369841F">
            <wp:extent cx="2909888" cy="2307192"/>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909888" cy="2307192"/>
                    </a:xfrm>
                    <a:prstGeom prst="rect">
                      <a:avLst/>
                    </a:prstGeom>
                    <a:ln/>
                  </pic:spPr>
                </pic:pic>
              </a:graphicData>
            </a:graphic>
          </wp:inline>
        </w:drawing>
      </w:r>
    </w:p>
    <w:p w14:paraId="308DE0DE" w14:textId="77777777" w:rsidR="00F679C0" w:rsidRPr="00B51293" w:rsidRDefault="00F679C0">
      <w:pPr>
        <w:rPr>
          <w:rFonts w:ascii="Times New Roman" w:hAnsi="Times New Roman" w:cs="Times New Roman"/>
          <w:color w:val="000000" w:themeColor="text1"/>
          <w:sz w:val="20"/>
          <w:szCs w:val="20"/>
        </w:rPr>
      </w:pPr>
    </w:p>
    <w:p w14:paraId="4DF86BD4"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noProof/>
          <w:color w:val="000000" w:themeColor="text1"/>
          <w:sz w:val="20"/>
          <w:szCs w:val="20"/>
        </w:rPr>
        <w:drawing>
          <wp:inline distT="114300" distB="114300" distL="114300" distR="114300" wp14:anchorId="51FE5F2B" wp14:editId="2695E085">
            <wp:extent cx="5943600" cy="29718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943600" cy="2971800"/>
                    </a:xfrm>
                    <a:prstGeom prst="rect">
                      <a:avLst/>
                    </a:prstGeom>
                    <a:ln/>
                  </pic:spPr>
                </pic:pic>
              </a:graphicData>
            </a:graphic>
          </wp:inline>
        </w:drawing>
      </w:r>
    </w:p>
    <w:p w14:paraId="4E4D9349"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b/>
          <w:color w:val="000000" w:themeColor="text1"/>
          <w:sz w:val="20"/>
          <w:szCs w:val="20"/>
        </w:rPr>
        <w:t xml:space="preserve">Figure S9: </w:t>
      </w:r>
      <w:r w:rsidRPr="00B51293">
        <w:rPr>
          <w:rFonts w:ascii="Times New Roman" w:hAnsi="Times New Roman" w:cs="Times New Roman"/>
          <w:color w:val="000000" w:themeColor="text1"/>
          <w:sz w:val="20"/>
          <w:szCs w:val="20"/>
        </w:rPr>
        <w:t>Uncertainty in the length of stay (top left) and incubation period drive uncertainty in the proportion identified (top right and middle). The inverse of this proportion multiplies the number of identified hospital-acquired cases per week (black, bottom) to calculate the number of unidentified infections (</w:t>
      </w:r>
      <w:proofErr w:type="spellStart"/>
      <w:r w:rsidRPr="00B51293">
        <w:rPr>
          <w:rFonts w:ascii="Times New Roman" w:hAnsi="Times New Roman" w:cs="Times New Roman"/>
          <w:color w:val="000000" w:themeColor="text1"/>
          <w:sz w:val="20"/>
          <w:szCs w:val="20"/>
        </w:rPr>
        <w:t>colour</w:t>
      </w:r>
      <w:proofErr w:type="spellEnd"/>
      <w:r w:rsidRPr="00B51293">
        <w:rPr>
          <w:rFonts w:ascii="Times New Roman" w:hAnsi="Times New Roman" w:cs="Times New Roman"/>
          <w:color w:val="000000" w:themeColor="text1"/>
          <w:sz w:val="20"/>
          <w:szCs w:val="20"/>
        </w:rPr>
        <w:t xml:space="preserve">, bottom). </w:t>
      </w:r>
    </w:p>
    <w:p w14:paraId="1118273F" w14:textId="77777777" w:rsidR="00F679C0" w:rsidRPr="00B51293" w:rsidRDefault="00F679C0">
      <w:pPr>
        <w:rPr>
          <w:rFonts w:ascii="Times New Roman" w:hAnsi="Times New Roman" w:cs="Times New Roman"/>
          <w:color w:val="000000" w:themeColor="text1"/>
          <w:sz w:val="20"/>
          <w:szCs w:val="20"/>
        </w:rPr>
      </w:pPr>
    </w:p>
    <w:p w14:paraId="66A6598D"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For example, towards the end of March: 250 hospital-acquired cases were identified in the inflated CO-CIN (Figure S9, bottom). At this stage it is likely that we were identifying between 20% and 22% of hospital-acquired cases (Figure S9, top). Hence this corresponds to between 840 and 1,000 missed cases. </w:t>
      </w:r>
    </w:p>
    <w:p w14:paraId="16C662DF" w14:textId="77777777" w:rsidR="00F679C0" w:rsidRPr="00B51293" w:rsidRDefault="00F679C0">
      <w:pPr>
        <w:rPr>
          <w:rFonts w:ascii="Times New Roman" w:hAnsi="Times New Roman" w:cs="Times New Roman"/>
          <w:color w:val="000000" w:themeColor="text1"/>
          <w:sz w:val="20"/>
          <w:szCs w:val="20"/>
        </w:rPr>
      </w:pPr>
    </w:p>
    <w:p w14:paraId="53CBC706" w14:textId="77777777" w:rsidR="00F679C0" w:rsidRPr="00B51293" w:rsidRDefault="00E45E40">
      <w:pPr>
        <w:rPr>
          <w:rFonts w:ascii="Times New Roman" w:hAnsi="Times New Roman" w:cs="Times New Roman"/>
          <w:color w:val="000000" w:themeColor="text1"/>
          <w:sz w:val="20"/>
          <w:szCs w:val="20"/>
          <w:u w:val="single"/>
        </w:rPr>
      </w:pPr>
      <w:r w:rsidRPr="00B51293">
        <w:rPr>
          <w:rFonts w:ascii="Times New Roman" w:hAnsi="Times New Roman" w:cs="Times New Roman"/>
          <w:color w:val="000000" w:themeColor="text1"/>
          <w:sz w:val="20"/>
          <w:szCs w:val="20"/>
        </w:rPr>
        <w:br w:type="page"/>
      </w:r>
    </w:p>
    <w:p w14:paraId="4B9F0BFE" w14:textId="77777777" w:rsidR="00F679C0" w:rsidRPr="00B51293" w:rsidRDefault="00E45E40">
      <w:pPr>
        <w:rPr>
          <w:rFonts w:ascii="Times New Roman" w:hAnsi="Times New Roman" w:cs="Times New Roman"/>
          <w:color w:val="000000" w:themeColor="text1"/>
          <w:sz w:val="20"/>
          <w:szCs w:val="20"/>
          <w:u w:val="single"/>
        </w:rPr>
      </w:pPr>
      <w:r w:rsidRPr="00B51293">
        <w:rPr>
          <w:rFonts w:ascii="Times New Roman" w:hAnsi="Times New Roman" w:cs="Times New Roman"/>
          <w:color w:val="000000" w:themeColor="text1"/>
          <w:sz w:val="20"/>
          <w:szCs w:val="20"/>
          <w:u w:val="single"/>
        </w:rPr>
        <w:lastRenderedPageBreak/>
        <w:t>Stage 2</w:t>
      </w:r>
    </w:p>
    <w:p w14:paraId="2F9BEECF"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To accounting for binomial sampling variation, the proportion identified for each sample and week (generated above) were used within a Bayesian framework as the binomial probability of identification to infer from the number of identified hospital-acquired cases, the total number of hospital-acquired infections (“trials”). </w:t>
      </w:r>
    </w:p>
    <w:p w14:paraId="0C254562" w14:textId="77777777" w:rsidR="00961C90" w:rsidRPr="00B51293" w:rsidRDefault="00961C90">
      <w:pPr>
        <w:rPr>
          <w:rFonts w:ascii="Times New Roman" w:hAnsi="Times New Roman" w:cs="Times New Roman"/>
          <w:color w:val="000000" w:themeColor="text1"/>
          <w:sz w:val="20"/>
          <w:szCs w:val="20"/>
        </w:rPr>
      </w:pPr>
    </w:p>
    <w:p w14:paraId="0CE36D56" w14:textId="77777777" w:rsidR="00961C90" w:rsidRPr="00B51293" w:rsidRDefault="00961C90" w:rsidP="00961C90">
      <w:pPr>
        <w:spacing w:line="240" w:lineRule="auto"/>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 xml:space="preserve">In more detail - using the distributions in step 1 within our function we could generate 200 samples of the proportion of true hospital acquired infections that were identified each week, </w:t>
      </w:r>
      <w:proofErr w:type="spellStart"/>
      <w:r w:rsidRPr="00B51293">
        <w:rPr>
          <w:rFonts w:ascii="Times New Roman" w:eastAsia="Times New Roman" w:hAnsi="Times New Roman" w:cs="Times New Roman"/>
          <w:i/>
          <w:iCs/>
          <w:color w:val="000000"/>
          <w:sz w:val="20"/>
          <w:szCs w:val="20"/>
          <w:lang w:val="en-GB"/>
        </w:rPr>
        <w:t>i</w:t>
      </w:r>
      <w:proofErr w:type="spellEnd"/>
      <w:r w:rsidRPr="00B51293">
        <w:rPr>
          <w:rFonts w:ascii="Times New Roman" w:eastAsia="Times New Roman" w:hAnsi="Times New Roman" w:cs="Times New Roman"/>
          <w:color w:val="000000"/>
          <w:sz w:val="20"/>
          <w:szCs w:val="20"/>
          <w:lang w:val="en-GB"/>
        </w:rPr>
        <w:t xml:space="preserve">, and setting, </w:t>
      </w:r>
      <w:r w:rsidRPr="00B51293">
        <w:rPr>
          <w:rFonts w:ascii="Times New Roman" w:eastAsia="Times New Roman" w:hAnsi="Times New Roman" w:cs="Times New Roman"/>
          <w:i/>
          <w:iCs/>
          <w:color w:val="000000"/>
          <w:sz w:val="20"/>
          <w:szCs w:val="20"/>
          <w:lang w:val="en-GB"/>
        </w:rPr>
        <w:t>j</w:t>
      </w:r>
      <w:r w:rsidRPr="00B51293">
        <w:rPr>
          <w:rFonts w:ascii="Times New Roman" w:eastAsia="Times New Roman" w:hAnsi="Times New Roman" w:cs="Times New Roman"/>
          <w:color w:val="000000"/>
          <w:sz w:val="20"/>
          <w:szCs w:val="20"/>
          <w:lang w:val="en-GB"/>
        </w:rPr>
        <w:t>, from hospital data (</w:t>
      </w:r>
      <w:proofErr w:type="spellStart"/>
      <w:proofErr w:type="gramStart"/>
      <w:r w:rsidRPr="00B51293">
        <w:rPr>
          <w:rFonts w:ascii="Times New Roman" w:eastAsia="Times New Roman" w:hAnsi="Times New Roman" w:cs="Times New Roman"/>
          <w:i/>
          <w:iCs/>
          <w:color w:val="000000"/>
          <w:sz w:val="20"/>
          <w:szCs w:val="20"/>
          <w:lang w:val="en-GB"/>
        </w:rPr>
        <w:t>p</w:t>
      </w:r>
      <w:r w:rsidRPr="00B51293">
        <w:rPr>
          <w:rFonts w:ascii="Times New Roman" w:eastAsia="Times New Roman" w:hAnsi="Times New Roman" w:cs="Times New Roman"/>
          <w:i/>
          <w:iCs/>
          <w:color w:val="000000"/>
          <w:sz w:val="20"/>
          <w:szCs w:val="20"/>
          <w:vertAlign w:val="subscript"/>
          <w:lang w:val="en-GB"/>
        </w:rPr>
        <w:t>i,j</w:t>
      </w:r>
      <w:proofErr w:type="spellEnd"/>
      <w:proofErr w:type="gramEnd"/>
      <w:r w:rsidRPr="00B51293">
        <w:rPr>
          <w:rFonts w:ascii="Times New Roman" w:eastAsia="Times New Roman" w:hAnsi="Times New Roman" w:cs="Times New Roman"/>
          <w:color w:val="000000"/>
          <w:sz w:val="20"/>
          <w:szCs w:val="20"/>
          <w:lang w:val="en-GB"/>
        </w:rPr>
        <w:t xml:space="preserve">). Assuming the number of hospital acquired infections were binomially distributed, we estimated the weekly number of true hospital-acquired infections, </w:t>
      </w:r>
      <w:proofErr w:type="spellStart"/>
      <w:proofErr w:type="gramStart"/>
      <w:r w:rsidRPr="00B51293">
        <w:rPr>
          <w:rFonts w:ascii="Times New Roman" w:eastAsia="Times New Roman" w:hAnsi="Times New Roman" w:cs="Times New Roman"/>
          <w:color w:val="000000"/>
          <w:sz w:val="20"/>
          <w:szCs w:val="20"/>
          <w:lang w:val="en-GB"/>
        </w:rPr>
        <w:t>X</w:t>
      </w:r>
      <w:r w:rsidRPr="00B51293">
        <w:rPr>
          <w:rFonts w:ascii="Times New Roman" w:eastAsia="Times New Roman" w:hAnsi="Times New Roman" w:cs="Times New Roman"/>
          <w:i/>
          <w:iCs/>
          <w:color w:val="000000"/>
          <w:sz w:val="20"/>
          <w:szCs w:val="20"/>
          <w:vertAlign w:val="subscript"/>
          <w:lang w:val="en-GB"/>
        </w:rPr>
        <w:t>i,j</w:t>
      </w:r>
      <w:proofErr w:type="spellEnd"/>
      <w:proofErr w:type="gramEnd"/>
      <w:r w:rsidRPr="00B51293">
        <w:rPr>
          <w:rFonts w:ascii="Times New Roman" w:eastAsia="Times New Roman" w:hAnsi="Times New Roman" w:cs="Times New Roman"/>
          <w:color w:val="000000"/>
          <w:sz w:val="20"/>
          <w:szCs w:val="20"/>
          <w:lang w:val="en-GB"/>
        </w:rPr>
        <w:t xml:space="preserve"> ~ Bin(</w:t>
      </w:r>
      <w:proofErr w:type="spellStart"/>
      <w:r w:rsidRPr="00B51293">
        <w:rPr>
          <w:rFonts w:ascii="Times New Roman" w:eastAsia="Times New Roman" w:hAnsi="Times New Roman" w:cs="Times New Roman"/>
          <w:color w:val="000000"/>
          <w:sz w:val="20"/>
          <w:szCs w:val="20"/>
          <w:lang w:val="en-GB"/>
        </w:rPr>
        <w:t>N</w:t>
      </w:r>
      <w:r w:rsidRPr="00B51293">
        <w:rPr>
          <w:rFonts w:ascii="Times New Roman" w:eastAsia="Times New Roman" w:hAnsi="Times New Roman" w:cs="Times New Roman"/>
          <w:i/>
          <w:iCs/>
          <w:color w:val="000000"/>
          <w:sz w:val="20"/>
          <w:szCs w:val="20"/>
          <w:vertAlign w:val="subscript"/>
          <w:lang w:val="en-GB"/>
        </w:rPr>
        <w:t>i,j</w:t>
      </w:r>
      <w:proofErr w:type="spellEnd"/>
      <w:r w:rsidRPr="00B51293">
        <w:rPr>
          <w:rFonts w:ascii="Times New Roman" w:eastAsia="Times New Roman" w:hAnsi="Times New Roman" w:cs="Times New Roman"/>
          <w:color w:val="000000"/>
          <w:sz w:val="20"/>
          <w:szCs w:val="20"/>
          <w:lang w:val="en-GB"/>
        </w:rPr>
        <w:t xml:space="preserve">, </w:t>
      </w:r>
      <w:proofErr w:type="spellStart"/>
      <w:r w:rsidRPr="00B51293">
        <w:rPr>
          <w:rFonts w:ascii="Times New Roman" w:eastAsia="Times New Roman" w:hAnsi="Times New Roman" w:cs="Times New Roman"/>
          <w:color w:val="000000"/>
          <w:sz w:val="20"/>
          <w:szCs w:val="20"/>
          <w:lang w:val="en-GB"/>
        </w:rPr>
        <w:t>p</w:t>
      </w:r>
      <w:r w:rsidRPr="00B51293">
        <w:rPr>
          <w:rFonts w:ascii="Times New Roman" w:eastAsia="Times New Roman" w:hAnsi="Times New Roman" w:cs="Times New Roman"/>
          <w:i/>
          <w:iCs/>
          <w:color w:val="000000"/>
          <w:sz w:val="20"/>
          <w:szCs w:val="20"/>
          <w:vertAlign w:val="subscript"/>
          <w:lang w:val="en-GB"/>
        </w:rPr>
        <w:t>i,j</w:t>
      </w:r>
      <w:proofErr w:type="spellEnd"/>
      <w:r w:rsidRPr="00B51293">
        <w:rPr>
          <w:rFonts w:ascii="Times New Roman" w:eastAsia="Times New Roman" w:hAnsi="Times New Roman" w:cs="Times New Roman"/>
          <w:color w:val="000000"/>
          <w:sz w:val="20"/>
          <w:szCs w:val="20"/>
          <w:lang w:val="en-GB"/>
        </w:rPr>
        <w:t>). Subtracting from this the identified weekly hospital-acquired infection numbers we can estimate the number of unidentified hospital-acquired infections. </w:t>
      </w:r>
    </w:p>
    <w:p w14:paraId="0BE64095" w14:textId="77777777" w:rsidR="00F679C0" w:rsidRPr="00B51293" w:rsidRDefault="00F679C0">
      <w:pPr>
        <w:rPr>
          <w:rFonts w:ascii="Times New Roman" w:hAnsi="Times New Roman" w:cs="Times New Roman"/>
          <w:color w:val="000000" w:themeColor="text1"/>
          <w:sz w:val="20"/>
          <w:szCs w:val="20"/>
        </w:rPr>
      </w:pPr>
    </w:p>
    <w:p w14:paraId="1B483A6B" w14:textId="36B0846D" w:rsidR="00F679C0" w:rsidRPr="00B51293" w:rsidRDefault="00E45E40">
      <w:pPr>
        <w:rPr>
          <w:rFonts w:ascii="Times New Roman" w:hAnsi="Times New Roman" w:cs="Times New Roman"/>
          <w:color w:val="000000" w:themeColor="text1"/>
          <w:sz w:val="20"/>
          <w:szCs w:val="20"/>
          <w:u w:val="single"/>
        </w:rPr>
      </w:pPr>
      <w:r w:rsidRPr="00B51293">
        <w:rPr>
          <w:rFonts w:ascii="Times New Roman" w:hAnsi="Times New Roman" w:cs="Times New Roman"/>
          <w:color w:val="000000" w:themeColor="text1"/>
          <w:sz w:val="20"/>
          <w:szCs w:val="20"/>
        </w:rPr>
        <w:t>This used the function in “</w:t>
      </w:r>
      <w:proofErr w:type="spellStart"/>
      <w:r w:rsidRPr="00B51293">
        <w:rPr>
          <w:rFonts w:ascii="Times New Roman" w:hAnsi="Times New Roman" w:cs="Times New Roman"/>
          <w:color w:val="000000" w:themeColor="text1"/>
          <w:sz w:val="20"/>
          <w:szCs w:val="20"/>
        </w:rPr>
        <w:t>binom_posterior.R</w:t>
      </w:r>
      <w:proofErr w:type="spellEnd"/>
      <w:r w:rsidRPr="00B51293">
        <w:rPr>
          <w:rFonts w:ascii="Times New Roman" w:hAnsi="Times New Roman" w:cs="Times New Roman"/>
          <w:color w:val="000000" w:themeColor="text1"/>
          <w:sz w:val="20"/>
          <w:szCs w:val="20"/>
        </w:rPr>
        <w:t xml:space="preserve">” </w:t>
      </w:r>
      <w:r w:rsidRPr="00B51293">
        <w:rPr>
          <w:rFonts w:ascii="Times New Roman" w:hAnsi="Times New Roman" w:cs="Times New Roman"/>
          <w:color w:val="000000" w:themeColor="text1"/>
          <w:sz w:val="20"/>
          <w:szCs w:val="20"/>
        </w:rPr>
        <w:fldChar w:fldCharType="begin"/>
      </w:r>
      <w:r w:rsidR="008D0D1D">
        <w:rPr>
          <w:rFonts w:ascii="Times New Roman" w:hAnsi="Times New Roman" w:cs="Times New Roman"/>
          <w:color w:val="000000" w:themeColor="text1"/>
          <w:sz w:val="20"/>
          <w:szCs w:val="20"/>
        </w:rPr>
        <w:instrText xml:space="preserve"> ADDIN ZOTERO_ITEM CSL_CITATION {"citationID":"a13lfogjber","properties":{"formattedCitation":"(1)","plainCitation":"(1)","noteIndex":0},"citationItems":[{"id":21483,"uris":["http://zotero.org/users/6698211/items/8YHN2ERK"],"itemData":{"id":21483,"type":"book","event-place":"Github","publisher-place":"Github","title":"Supporting Github repository","URL":"https://github.com/gwenknight/hai_first_wave.git","author":[{"family":"Knight","given":"Gwenan M"}],"issued":{"date-parts":[["2021"]]}}}],"schema":"https://github.com/citation-style-language/schema/raw/master/csl-citation.json"}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8D0D1D">
        <w:rPr>
          <w:rFonts w:ascii="Times New Roman" w:hAnsi="Times New Roman" w:cs="Times New Roman"/>
          <w:color w:val="000000" w:themeColor="text1"/>
          <w:sz w:val="20"/>
          <w:szCs w:val="20"/>
        </w:rPr>
        <w:t>(1)</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b/>
          <w:color w:val="000000" w:themeColor="text1"/>
          <w:sz w:val="20"/>
          <w:szCs w:val="20"/>
        </w:rPr>
        <w:t>.</w:t>
      </w:r>
    </w:p>
    <w:p w14:paraId="3CF5EDBE" w14:textId="77777777" w:rsidR="00F679C0" w:rsidRPr="00B51293" w:rsidRDefault="00F679C0">
      <w:pPr>
        <w:rPr>
          <w:rFonts w:ascii="Times New Roman" w:hAnsi="Times New Roman" w:cs="Times New Roman"/>
          <w:color w:val="000000" w:themeColor="text1"/>
          <w:sz w:val="20"/>
          <w:szCs w:val="20"/>
          <w:u w:val="single"/>
        </w:rPr>
      </w:pPr>
    </w:p>
    <w:p w14:paraId="41AE67D1" w14:textId="77777777" w:rsidR="00F679C0" w:rsidRPr="00B51293" w:rsidRDefault="00E45E40">
      <w:pPr>
        <w:rPr>
          <w:rFonts w:ascii="Times New Roman" w:hAnsi="Times New Roman" w:cs="Times New Roman"/>
          <w:color w:val="000000" w:themeColor="text1"/>
          <w:sz w:val="20"/>
          <w:szCs w:val="20"/>
          <w:u w:val="single"/>
        </w:rPr>
      </w:pPr>
      <w:r w:rsidRPr="00B51293">
        <w:rPr>
          <w:rFonts w:ascii="Times New Roman" w:hAnsi="Times New Roman" w:cs="Times New Roman"/>
          <w:color w:val="000000" w:themeColor="text1"/>
          <w:sz w:val="20"/>
          <w:szCs w:val="20"/>
          <w:u w:val="single"/>
        </w:rPr>
        <w:t>Stage 3</w:t>
      </w:r>
    </w:p>
    <w:p w14:paraId="5AD195F0" w14:textId="6B899B6F"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The uncertainty in the natural history trajectory for each of these unidentified hospital-acquired infections was then calculated (as shown in Figure 2d) by sampling from the relevant distributions for the probability (</w:t>
      </w:r>
      <w:proofErr w:type="gramStart"/>
      <w:r w:rsidRPr="00B51293">
        <w:rPr>
          <w:rFonts w:ascii="Times New Roman" w:hAnsi="Times New Roman" w:cs="Times New Roman"/>
          <w:color w:val="000000" w:themeColor="text1"/>
          <w:sz w:val="20"/>
          <w:szCs w:val="20"/>
        </w:rPr>
        <w:t>e.g.</w:t>
      </w:r>
      <w:proofErr w:type="gramEnd"/>
      <w:r w:rsidRPr="00B51293">
        <w:rPr>
          <w:rFonts w:ascii="Times New Roman" w:hAnsi="Times New Roman" w:cs="Times New Roman"/>
          <w:color w:val="000000" w:themeColor="text1"/>
          <w:sz w:val="20"/>
          <w:szCs w:val="20"/>
        </w:rPr>
        <w:t xml:space="preserve"> of returning as a </w:t>
      </w:r>
      <w:proofErr w:type="spellStart"/>
      <w:r w:rsidRPr="00B51293">
        <w:rPr>
          <w:rFonts w:ascii="Times New Roman" w:hAnsi="Times New Roman" w:cs="Times New Roman"/>
          <w:color w:val="000000" w:themeColor="text1"/>
          <w:sz w:val="20"/>
          <w:szCs w:val="20"/>
        </w:rPr>
        <w:t>hospitalised</w:t>
      </w:r>
      <w:proofErr w:type="spellEnd"/>
      <w:r w:rsidRPr="00B51293">
        <w:rPr>
          <w:rFonts w:ascii="Times New Roman" w:hAnsi="Times New Roman" w:cs="Times New Roman"/>
          <w:color w:val="000000" w:themeColor="text1"/>
          <w:sz w:val="20"/>
          <w:szCs w:val="20"/>
        </w:rPr>
        <w:t xml:space="preserve"> cases) and timings (e.g. symptom onset after infection). This is coded in “</w:t>
      </w:r>
      <w:proofErr w:type="spellStart"/>
      <w:r w:rsidRPr="00B51293">
        <w:rPr>
          <w:rFonts w:ascii="Times New Roman" w:hAnsi="Times New Roman" w:cs="Times New Roman"/>
          <w:color w:val="000000" w:themeColor="text1"/>
          <w:sz w:val="20"/>
          <w:szCs w:val="20"/>
        </w:rPr>
        <w:t>perc_contribution_function_trust_week.R</w:t>
      </w:r>
      <w:proofErr w:type="spellEnd"/>
      <w:r w:rsidRPr="00B51293">
        <w:rPr>
          <w:rFonts w:ascii="Times New Roman" w:hAnsi="Times New Roman" w:cs="Times New Roman"/>
          <w:color w:val="000000" w:themeColor="text1"/>
          <w:sz w:val="20"/>
          <w:szCs w:val="20"/>
        </w:rPr>
        <w:t xml:space="preserve">”  </w:t>
      </w:r>
      <w:r w:rsidRPr="00B51293">
        <w:rPr>
          <w:rFonts w:ascii="Times New Roman" w:hAnsi="Times New Roman" w:cs="Times New Roman"/>
          <w:color w:val="000000" w:themeColor="text1"/>
          <w:sz w:val="20"/>
          <w:szCs w:val="20"/>
        </w:rPr>
        <w:fldChar w:fldCharType="begin"/>
      </w:r>
      <w:r w:rsidR="008D0D1D">
        <w:rPr>
          <w:rFonts w:ascii="Times New Roman" w:hAnsi="Times New Roman" w:cs="Times New Roman"/>
          <w:color w:val="000000" w:themeColor="text1"/>
          <w:sz w:val="20"/>
          <w:szCs w:val="20"/>
        </w:rPr>
        <w:instrText xml:space="preserve"> ADDIN ZOTERO_ITEM CSL_CITATION {"citationID":"a2jk39qm2hn","properties":{"formattedCitation":"(1)","plainCitation":"(1)","noteIndex":0},"citationItems":[{"id":21483,"uris":["http://zotero.org/users/6698211/items/8YHN2ERK"],"itemData":{"id":21483,"type":"book","event-place":"Github","publisher-place":"Github","title":"Supporting Github repository","URL":"https://github.com/gwenknight/hai_first_wave.git","author":[{"family":"Knight","given":"Gwenan M"}],"issued":{"date-parts":[["2021"]]}}}],"schema":"https://github.com/citation-style-language/schema/raw/master/csl-citation.json"}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8D0D1D">
        <w:rPr>
          <w:rFonts w:ascii="Times New Roman" w:hAnsi="Times New Roman" w:cs="Times New Roman"/>
          <w:color w:val="000000" w:themeColor="text1"/>
          <w:sz w:val="20"/>
          <w:szCs w:val="20"/>
        </w:rPr>
        <w:t>(1)</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w:t>
      </w:r>
    </w:p>
    <w:p w14:paraId="3572104C" w14:textId="77777777" w:rsidR="00F679C0" w:rsidRPr="00B51293" w:rsidRDefault="00F679C0">
      <w:pPr>
        <w:rPr>
          <w:rFonts w:ascii="Times New Roman" w:hAnsi="Times New Roman" w:cs="Times New Roman"/>
          <w:color w:val="000000" w:themeColor="text1"/>
          <w:sz w:val="20"/>
          <w:szCs w:val="20"/>
        </w:rPr>
      </w:pPr>
    </w:p>
    <w:p w14:paraId="73E813F7"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For each unidentified infection, the probability of returning as a COVID-19 case to hospital is a Bernoulli trial for each missed infection with weekly randomly sampled probability of returning taken from a uniform distribution over 10-15%. This probability of a “missed” unidentified infection returning of a community infection becoming </w:t>
      </w:r>
      <w:proofErr w:type="spellStart"/>
      <w:r w:rsidRPr="00B51293">
        <w:rPr>
          <w:rFonts w:ascii="Times New Roman" w:hAnsi="Times New Roman" w:cs="Times New Roman"/>
          <w:color w:val="000000" w:themeColor="text1"/>
          <w:sz w:val="20"/>
          <w:szCs w:val="20"/>
        </w:rPr>
        <w:t>hospitalised</w:t>
      </w:r>
      <w:proofErr w:type="spellEnd"/>
      <w:r w:rsidRPr="00B51293">
        <w:rPr>
          <w:rFonts w:ascii="Times New Roman" w:hAnsi="Times New Roman" w:cs="Times New Roman"/>
          <w:color w:val="000000" w:themeColor="text1"/>
          <w:sz w:val="20"/>
          <w:szCs w:val="20"/>
        </w:rPr>
        <w:t xml:space="preserve"> is fixed across each of the 200 simulations. </w:t>
      </w:r>
    </w:p>
    <w:p w14:paraId="2952DB33" w14:textId="77777777" w:rsidR="00F679C0" w:rsidRPr="00B51293" w:rsidRDefault="00E45E40">
      <w:pPr>
        <w:ind w:firstLine="720"/>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Each of the following timings for each returning to hospital as a case unidentified hospital-acquired infection are then sampled from the relevant distributions (Table 2):  </w:t>
      </w:r>
    </w:p>
    <w:p w14:paraId="6AAFFFBA" w14:textId="77777777" w:rsidR="00DA207F" w:rsidRPr="00B51293" w:rsidRDefault="00E45E40" w:rsidP="00DA207F">
      <w:pPr>
        <w:numPr>
          <w:ilvl w:val="0"/>
          <w:numId w:val="6"/>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From infection to discharge</w:t>
      </w:r>
    </w:p>
    <w:p w14:paraId="7CF2785B" w14:textId="77777777" w:rsidR="00F679C0" w:rsidRPr="00B51293" w:rsidRDefault="00E45E40">
      <w:pPr>
        <w:numPr>
          <w:ilvl w:val="0"/>
          <w:numId w:val="6"/>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From infection to symptom onset (incubation period)</w:t>
      </w:r>
    </w:p>
    <w:p w14:paraId="7D002993" w14:textId="77777777" w:rsidR="00F679C0" w:rsidRPr="00B51293" w:rsidRDefault="00E45E40">
      <w:pPr>
        <w:numPr>
          <w:ilvl w:val="0"/>
          <w:numId w:val="6"/>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From symptom onset to </w:t>
      </w:r>
      <w:proofErr w:type="spellStart"/>
      <w:r w:rsidRPr="00B51293">
        <w:rPr>
          <w:rFonts w:ascii="Times New Roman" w:hAnsi="Times New Roman" w:cs="Times New Roman"/>
          <w:color w:val="000000" w:themeColor="text1"/>
          <w:sz w:val="20"/>
          <w:szCs w:val="20"/>
        </w:rPr>
        <w:t>hospitalisation</w:t>
      </w:r>
      <w:proofErr w:type="spellEnd"/>
      <w:r w:rsidRPr="00B51293">
        <w:rPr>
          <w:rFonts w:ascii="Times New Roman" w:hAnsi="Times New Roman" w:cs="Times New Roman"/>
          <w:color w:val="000000" w:themeColor="text1"/>
          <w:sz w:val="20"/>
          <w:szCs w:val="20"/>
        </w:rPr>
        <w:t xml:space="preserve"> (this is scenario dependent)</w:t>
      </w:r>
    </w:p>
    <w:p w14:paraId="0A47E99C" w14:textId="77777777" w:rsidR="00F679C0" w:rsidRPr="00B51293" w:rsidRDefault="00E45E40">
      <w:pPr>
        <w:ind w:left="720"/>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br w:type="page"/>
      </w:r>
    </w:p>
    <w:p w14:paraId="03D9CD3B" w14:textId="77777777" w:rsidR="00F679C0" w:rsidRPr="00B51293" w:rsidRDefault="00F679C0">
      <w:pPr>
        <w:ind w:left="720"/>
        <w:rPr>
          <w:rFonts w:ascii="Times New Roman" w:hAnsi="Times New Roman" w:cs="Times New Roman"/>
          <w:color w:val="000000" w:themeColor="text1"/>
          <w:sz w:val="20"/>
          <w:szCs w:val="20"/>
        </w:rPr>
      </w:pPr>
    </w:p>
    <w:p w14:paraId="55A315D1" w14:textId="77777777" w:rsidR="00F679C0" w:rsidRPr="00B51293" w:rsidRDefault="00E45E40">
      <w:pPr>
        <w:jc w:val="left"/>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drawing>
          <wp:inline distT="114300" distB="114300" distL="114300" distR="114300" wp14:anchorId="5ED3175F" wp14:editId="6334752C">
            <wp:extent cx="5943600" cy="3657600"/>
            <wp:effectExtent l="0" t="0" r="0" b="0"/>
            <wp:docPr id="21"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0"/>
                    <a:srcRect/>
                    <a:stretch>
                      <a:fillRect/>
                    </a:stretch>
                  </pic:blipFill>
                  <pic:spPr>
                    <a:xfrm>
                      <a:off x="0" y="0"/>
                      <a:ext cx="5943600" cy="3657600"/>
                    </a:xfrm>
                    <a:prstGeom prst="rect">
                      <a:avLst/>
                    </a:prstGeom>
                    <a:ln/>
                  </pic:spPr>
                </pic:pic>
              </a:graphicData>
            </a:graphic>
          </wp:inline>
        </w:drawing>
      </w:r>
    </w:p>
    <w:p w14:paraId="6C88D468"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b/>
          <w:color w:val="000000" w:themeColor="text1"/>
          <w:sz w:val="20"/>
          <w:szCs w:val="20"/>
        </w:rPr>
        <w:t xml:space="preserve">Figure S10: </w:t>
      </w:r>
      <w:r w:rsidRPr="00B51293">
        <w:rPr>
          <w:rFonts w:ascii="Times New Roman" w:hAnsi="Times New Roman" w:cs="Times New Roman"/>
          <w:color w:val="000000" w:themeColor="text1"/>
          <w:sz w:val="20"/>
          <w:szCs w:val="20"/>
        </w:rPr>
        <w:t xml:space="preserve">Example time series with a cutoff of at least 7 days from symptom onset to </w:t>
      </w:r>
      <w:proofErr w:type="spellStart"/>
      <w:r w:rsidRPr="00B51293">
        <w:rPr>
          <w:rFonts w:ascii="Times New Roman" w:hAnsi="Times New Roman" w:cs="Times New Roman"/>
          <w:color w:val="000000" w:themeColor="text1"/>
          <w:sz w:val="20"/>
          <w:szCs w:val="20"/>
        </w:rPr>
        <w:t>hospitalisation</w:t>
      </w:r>
      <w:proofErr w:type="spellEnd"/>
      <w:r w:rsidRPr="00B51293">
        <w:rPr>
          <w:rFonts w:ascii="Times New Roman" w:hAnsi="Times New Roman" w:cs="Times New Roman"/>
          <w:color w:val="000000" w:themeColor="text1"/>
          <w:sz w:val="20"/>
          <w:szCs w:val="20"/>
        </w:rPr>
        <w:t xml:space="preserve"> for defining a hospital-acquired case: the first 10 simulations for key model outputs are shown in the 10 </w:t>
      </w:r>
      <w:proofErr w:type="spellStart"/>
      <w:r w:rsidRPr="00B51293">
        <w:rPr>
          <w:rFonts w:ascii="Times New Roman" w:hAnsi="Times New Roman" w:cs="Times New Roman"/>
          <w:color w:val="000000" w:themeColor="text1"/>
          <w:sz w:val="20"/>
          <w:szCs w:val="20"/>
        </w:rPr>
        <w:t>colours</w:t>
      </w:r>
      <w:proofErr w:type="spellEnd"/>
      <w:r w:rsidRPr="00B51293">
        <w:rPr>
          <w:rFonts w:ascii="Times New Roman" w:hAnsi="Times New Roman" w:cs="Times New Roman"/>
          <w:color w:val="000000" w:themeColor="text1"/>
          <w:sz w:val="20"/>
          <w:szCs w:val="20"/>
        </w:rPr>
        <w:t xml:space="preserve"> in the above facets over time (detection date). The top two rows show the variation in community-onset, hospital-linked infections (first row) and subsequent cases (second row) at low, </w:t>
      </w:r>
      <w:proofErr w:type="gramStart"/>
      <w:r w:rsidRPr="00B51293">
        <w:rPr>
          <w:rFonts w:ascii="Times New Roman" w:hAnsi="Times New Roman" w:cs="Times New Roman"/>
          <w:color w:val="000000" w:themeColor="text1"/>
          <w:sz w:val="20"/>
          <w:szCs w:val="20"/>
        </w:rPr>
        <w:t>mean</w:t>
      </w:r>
      <w:proofErr w:type="gramEnd"/>
      <w:r w:rsidRPr="00B51293">
        <w:rPr>
          <w:rFonts w:ascii="Times New Roman" w:hAnsi="Times New Roman" w:cs="Times New Roman"/>
          <w:color w:val="000000" w:themeColor="text1"/>
          <w:sz w:val="20"/>
          <w:szCs w:val="20"/>
        </w:rPr>
        <w:t xml:space="preserve"> and high values of onward transmission (</w:t>
      </w:r>
      <w:r w:rsidRPr="00B51293">
        <w:rPr>
          <w:rFonts w:ascii="Times New Roman" w:hAnsi="Times New Roman" w:cs="Times New Roman"/>
          <w:i/>
          <w:color w:val="000000" w:themeColor="text1"/>
          <w:sz w:val="20"/>
          <w:szCs w:val="20"/>
        </w:rPr>
        <w:t xml:space="preserve">R = </w:t>
      </w:r>
      <w:r w:rsidRPr="00B51293">
        <w:rPr>
          <w:rFonts w:ascii="Times New Roman" w:hAnsi="Times New Roman" w:cs="Times New Roman"/>
          <w:color w:val="000000" w:themeColor="text1"/>
          <w:sz w:val="20"/>
          <w:szCs w:val="20"/>
        </w:rPr>
        <w:t xml:space="preserve">0.76, 0.8, 0.84). The third row shows the counterfactual: the number of </w:t>
      </w:r>
      <w:proofErr w:type="spellStart"/>
      <w:r w:rsidRPr="00B51293">
        <w:rPr>
          <w:rFonts w:ascii="Times New Roman" w:hAnsi="Times New Roman" w:cs="Times New Roman"/>
          <w:color w:val="000000" w:themeColor="text1"/>
          <w:sz w:val="20"/>
          <w:szCs w:val="20"/>
        </w:rPr>
        <w:t>hospitalised</w:t>
      </w:r>
      <w:proofErr w:type="spellEnd"/>
      <w:r w:rsidRPr="00B51293">
        <w:rPr>
          <w:rFonts w:ascii="Times New Roman" w:hAnsi="Times New Roman" w:cs="Times New Roman"/>
          <w:color w:val="000000" w:themeColor="text1"/>
          <w:sz w:val="20"/>
          <w:szCs w:val="20"/>
        </w:rPr>
        <w:t xml:space="preserve"> cases there would be predicted to be without any hospital-acquisition of SARS-CoV-2, alongside the community-onset, community-acquired (“COCA”) and community-onset, hospital-acquired (“COHA) case estimates. The final row shows the same variation shown in Figure S8: the total number of unidentified infections and the “missed” subset of these (“missed” due to discharge prior to symptom onset).</w:t>
      </w:r>
    </w:p>
    <w:p w14:paraId="58497FAF" w14:textId="77777777" w:rsidR="00F679C0" w:rsidRPr="00B51293" w:rsidRDefault="00F679C0">
      <w:pPr>
        <w:rPr>
          <w:rFonts w:ascii="Times New Roman" w:hAnsi="Times New Roman" w:cs="Times New Roman"/>
          <w:b/>
          <w:color w:val="000000" w:themeColor="text1"/>
          <w:sz w:val="20"/>
          <w:szCs w:val="20"/>
        </w:rPr>
      </w:pPr>
    </w:p>
    <w:p w14:paraId="16B4379D" w14:textId="77777777" w:rsidR="00F679C0" w:rsidRPr="00B51293" w:rsidRDefault="00F679C0">
      <w:pPr>
        <w:rPr>
          <w:rFonts w:ascii="Times New Roman" w:hAnsi="Times New Roman" w:cs="Times New Roman"/>
          <w:b/>
          <w:color w:val="000000" w:themeColor="text1"/>
          <w:sz w:val="20"/>
          <w:szCs w:val="20"/>
        </w:rPr>
      </w:pPr>
    </w:p>
    <w:p w14:paraId="1AC6501D" w14:textId="77777777" w:rsidR="00F679C0" w:rsidRPr="00B51293" w:rsidRDefault="00F679C0">
      <w:pPr>
        <w:rPr>
          <w:rFonts w:ascii="Times New Roman" w:hAnsi="Times New Roman" w:cs="Times New Roman"/>
          <w:b/>
          <w:color w:val="000000" w:themeColor="text1"/>
          <w:sz w:val="20"/>
          <w:szCs w:val="20"/>
        </w:rPr>
      </w:pPr>
    </w:p>
    <w:p w14:paraId="44FC265A" w14:textId="77777777" w:rsidR="00F679C0" w:rsidRPr="00B51293" w:rsidRDefault="00F679C0">
      <w:pPr>
        <w:rPr>
          <w:rFonts w:ascii="Times New Roman" w:hAnsi="Times New Roman" w:cs="Times New Roman"/>
          <w:b/>
          <w:color w:val="000000" w:themeColor="text1"/>
          <w:sz w:val="20"/>
          <w:szCs w:val="20"/>
        </w:rPr>
      </w:pPr>
    </w:p>
    <w:p w14:paraId="18581EEB" w14:textId="77777777" w:rsidR="00F679C0" w:rsidRPr="00B51293" w:rsidRDefault="00F679C0">
      <w:pPr>
        <w:rPr>
          <w:rFonts w:ascii="Times New Roman" w:hAnsi="Times New Roman" w:cs="Times New Roman"/>
          <w:b/>
          <w:color w:val="000000" w:themeColor="text1"/>
          <w:sz w:val="20"/>
          <w:szCs w:val="20"/>
        </w:rPr>
      </w:pPr>
    </w:p>
    <w:p w14:paraId="07A6D725" w14:textId="77777777" w:rsidR="00F679C0" w:rsidRPr="00B51293" w:rsidRDefault="00F679C0">
      <w:pPr>
        <w:rPr>
          <w:rFonts w:ascii="Times New Roman" w:hAnsi="Times New Roman" w:cs="Times New Roman"/>
          <w:b/>
          <w:color w:val="000000" w:themeColor="text1"/>
          <w:sz w:val="20"/>
          <w:szCs w:val="20"/>
        </w:rPr>
      </w:pPr>
    </w:p>
    <w:p w14:paraId="26985BA4" w14:textId="77777777" w:rsidR="00F679C0" w:rsidRPr="00B51293" w:rsidRDefault="00F679C0">
      <w:pPr>
        <w:rPr>
          <w:rFonts w:ascii="Times New Roman" w:hAnsi="Times New Roman" w:cs="Times New Roman"/>
          <w:b/>
          <w:color w:val="000000" w:themeColor="text1"/>
          <w:sz w:val="20"/>
          <w:szCs w:val="20"/>
        </w:rPr>
      </w:pPr>
    </w:p>
    <w:p w14:paraId="3E007B12" w14:textId="77777777" w:rsidR="00F679C0" w:rsidRPr="00B51293" w:rsidRDefault="00F679C0">
      <w:pPr>
        <w:rPr>
          <w:rFonts w:ascii="Times New Roman" w:hAnsi="Times New Roman" w:cs="Times New Roman"/>
          <w:b/>
          <w:color w:val="000000" w:themeColor="text1"/>
          <w:sz w:val="20"/>
          <w:szCs w:val="20"/>
        </w:rPr>
      </w:pPr>
    </w:p>
    <w:p w14:paraId="337E28DF" w14:textId="77777777"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lastRenderedPageBreak/>
        <w:drawing>
          <wp:inline distT="114300" distB="114300" distL="114300" distR="114300" wp14:anchorId="6E7FF4C5" wp14:editId="3DDE16F6">
            <wp:extent cx="5943600" cy="4940300"/>
            <wp:effectExtent l="0" t="0" r="0" b="0"/>
            <wp:docPr id="2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1"/>
                    <a:srcRect/>
                    <a:stretch>
                      <a:fillRect/>
                    </a:stretch>
                  </pic:blipFill>
                  <pic:spPr>
                    <a:xfrm>
                      <a:off x="0" y="0"/>
                      <a:ext cx="5943600" cy="4940300"/>
                    </a:xfrm>
                    <a:prstGeom prst="rect">
                      <a:avLst/>
                    </a:prstGeom>
                    <a:ln/>
                  </pic:spPr>
                </pic:pic>
              </a:graphicData>
            </a:graphic>
          </wp:inline>
        </w:drawing>
      </w:r>
    </w:p>
    <w:p w14:paraId="09F2C9DB" w14:textId="77777777" w:rsidR="00F679C0" w:rsidRPr="00B51293" w:rsidRDefault="00F679C0">
      <w:pPr>
        <w:rPr>
          <w:rFonts w:ascii="Times New Roman" w:hAnsi="Times New Roman" w:cs="Times New Roman"/>
          <w:b/>
          <w:color w:val="000000" w:themeColor="text1"/>
          <w:sz w:val="20"/>
          <w:szCs w:val="20"/>
        </w:rPr>
      </w:pPr>
    </w:p>
    <w:p w14:paraId="42369E0A"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b/>
          <w:color w:val="000000" w:themeColor="text1"/>
          <w:sz w:val="20"/>
          <w:szCs w:val="20"/>
        </w:rPr>
        <w:t xml:space="preserve">Figure S11: </w:t>
      </w:r>
      <w:r w:rsidRPr="00B51293">
        <w:rPr>
          <w:rFonts w:ascii="Times New Roman" w:hAnsi="Times New Roman" w:cs="Times New Roman"/>
          <w:color w:val="000000" w:themeColor="text1"/>
          <w:sz w:val="20"/>
          <w:szCs w:val="20"/>
        </w:rPr>
        <w:t xml:space="preserve">Example cumulative values as in Figure S10 for all 200 simulations (each black line) with a cutoff of at least 7 days from symptom onset to </w:t>
      </w:r>
      <w:proofErr w:type="spellStart"/>
      <w:r w:rsidRPr="00B51293">
        <w:rPr>
          <w:rFonts w:ascii="Times New Roman" w:hAnsi="Times New Roman" w:cs="Times New Roman"/>
          <w:color w:val="000000" w:themeColor="text1"/>
          <w:sz w:val="20"/>
          <w:szCs w:val="20"/>
        </w:rPr>
        <w:t>hospitalisation</w:t>
      </w:r>
      <w:proofErr w:type="spellEnd"/>
      <w:r w:rsidRPr="00B51293">
        <w:rPr>
          <w:rFonts w:ascii="Times New Roman" w:hAnsi="Times New Roman" w:cs="Times New Roman"/>
          <w:color w:val="000000" w:themeColor="text1"/>
          <w:sz w:val="20"/>
          <w:szCs w:val="20"/>
        </w:rPr>
        <w:t xml:space="preserve"> for defining a hospital-acquired case. The top two rows show the variation in community-onset, hospital-linked infections (first row) and subsequent cases (second row) at low, </w:t>
      </w:r>
      <w:proofErr w:type="gramStart"/>
      <w:r w:rsidRPr="00B51293">
        <w:rPr>
          <w:rFonts w:ascii="Times New Roman" w:hAnsi="Times New Roman" w:cs="Times New Roman"/>
          <w:color w:val="000000" w:themeColor="text1"/>
          <w:sz w:val="20"/>
          <w:szCs w:val="20"/>
        </w:rPr>
        <w:t>mean</w:t>
      </w:r>
      <w:proofErr w:type="gramEnd"/>
      <w:r w:rsidRPr="00B51293">
        <w:rPr>
          <w:rFonts w:ascii="Times New Roman" w:hAnsi="Times New Roman" w:cs="Times New Roman"/>
          <w:color w:val="000000" w:themeColor="text1"/>
          <w:sz w:val="20"/>
          <w:szCs w:val="20"/>
        </w:rPr>
        <w:t xml:space="preserve"> and high values of onward transmission (</w:t>
      </w:r>
      <w:r w:rsidRPr="00B51293">
        <w:rPr>
          <w:rFonts w:ascii="Times New Roman" w:hAnsi="Times New Roman" w:cs="Times New Roman"/>
          <w:i/>
          <w:color w:val="000000" w:themeColor="text1"/>
          <w:sz w:val="20"/>
          <w:szCs w:val="20"/>
        </w:rPr>
        <w:t xml:space="preserve">R = </w:t>
      </w:r>
      <w:r w:rsidRPr="00B51293">
        <w:rPr>
          <w:rFonts w:ascii="Times New Roman" w:hAnsi="Times New Roman" w:cs="Times New Roman"/>
          <w:color w:val="000000" w:themeColor="text1"/>
          <w:sz w:val="20"/>
          <w:szCs w:val="20"/>
        </w:rPr>
        <w:t xml:space="preserve">0.76, 0.8, 0.84). The third row shows the counterfactual: the number of </w:t>
      </w:r>
      <w:proofErr w:type="spellStart"/>
      <w:r w:rsidRPr="00B51293">
        <w:rPr>
          <w:rFonts w:ascii="Times New Roman" w:hAnsi="Times New Roman" w:cs="Times New Roman"/>
          <w:color w:val="000000" w:themeColor="text1"/>
          <w:sz w:val="20"/>
          <w:szCs w:val="20"/>
        </w:rPr>
        <w:t>hospitalised</w:t>
      </w:r>
      <w:proofErr w:type="spellEnd"/>
      <w:r w:rsidRPr="00B51293">
        <w:rPr>
          <w:rFonts w:ascii="Times New Roman" w:hAnsi="Times New Roman" w:cs="Times New Roman"/>
          <w:color w:val="000000" w:themeColor="text1"/>
          <w:sz w:val="20"/>
          <w:szCs w:val="20"/>
        </w:rPr>
        <w:t xml:space="preserve"> cases there would be predicted to be without any hospital-acquisition of SARS-CoV-2, alongside the community-onset, community-acquired (“COCA”) and community-onset, hospital-acquired (“COHA) case estimates. The final row shows the same variation shown in Figure S8: the total number of unidentified infections and the “missed” subset of these (“missed” due to discharge prior to symptom onset). Note the variation in the y axis values. </w:t>
      </w:r>
    </w:p>
    <w:p w14:paraId="4459CA69" w14:textId="77777777" w:rsidR="00F679C0" w:rsidRPr="00B51293" w:rsidRDefault="00F679C0">
      <w:pPr>
        <w:rPr>
          <w:rFonts w:ascii="Times New Roman" w:hAnsi="Times New Roman" w:cs="Times New Roman"/>
          <w:color w:val="000000" w:themeColor="text1"/>
          <w:sz w:val="20"/>
          <w:szCs w:val="20"/>
        </w:rPr>
      </w:pPr>
    </w:p>
    <w:p w14:paraId="43B703BF"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br w:type="page"/>
      </w:r>
    </w:p>
    <w:p w14:paraId="5F179BEA" w14:textId="16D22127" w:rsidR="00F679C0"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lastRenderedPageBreak/>
        <w:t xml:space="preserve">We decided to use 200 simulations as above approximately 150 simulations the output for key parameters (shown in Figure S12) </w:t>
      </w:r>
      <w:proofErr w:type="spellStart"/>
      <w:r w:rsidRPr="00B51293">
        <w:rPr>
          <w:rFonts w:ascii="Times New Roman" w:hAnsi="Times New Roman" w:cs="Times New Roman"/>
          <w:color w:val="000000" w:themeColor="text1"/>
          <w:sz w:val="20"/>
          <w:szCs w:val="20"/>
        </w:rPr>
        <w:t>stabilised</w:t>
      </w:r>
      <w:proofErr w:type="spellEnd"/>
      <w:r w:rsidRPr="00B51293">
        <w:rPr>
          <w:rFonts w:ascii="Times New Roman" w:hAnsi="Times New Roman" w:cs="Times New Roman"/>
          <w:color w:val="000000" w:themeColor="text1"/>
          <w:sz w:val="20"/>
          <w:szCs w:val="20"/>
        </w:rPr>
        <w:t xml:space="preserve">. </w:t>
      </w:r>
    </w:p>
    <w:p w14:paraId="164E98D5" w14:textId="77777777" w:rsidR="008D0D1D" w:rsidRPr="00B51293" w:rsidRDefault="008D0D1D">
      <w:pPr>
        <w:rPr>
          <w:rFonts w:ascii="Times New Roman" w:hAnsi="Times New Roman" w:cs="Times New Roman"/>
          <w:color w:val="000000" w:themeColor="text1"/>
          <w:sz w:val="20"/>
          <w:szCs w:val="20"/>
        </w:rPr>
      </w:pPr>
    </w:p>
    <w:p w14:paraId="27C53E92" w14:textId="77777777"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drawing>
          <wp:inline distT="114300" distB="114300" distL="114300" distR="114300" wp14:anchorId="0C23BCB4" wp14:editId="520AF6FE">
            <wp:extent cx="5943600" cy="4724400"/>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5943600" cy="4724400"/>
                    </a:xfrm>
                    <a:prstGeom prst="rect">
                      <a:avLst/>
                    </a:prstGeom>
                    <a:ln/>
                  </pic:spPr>
                </pic:pic>
              </a:graphicData>
            </a:graphic>
          </wp:inline>
        </w:drawing>
      </w:r>
    </w:p>
    <w:p w14:paraId="54FE235B"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b/>
          <w:color w:val="000000" w:themeColor="text1"/>
          <w:sz w:val="20"/>
          <w:szCs w:val="20"/>
        </w:rPr>
        <w:t>Figure S12:</w:t>
      </w:r>
      <w:r w:rsidRPr="00B51293">
        <w:rPr>
          <w:rFonts w:ascii="Times New Roman" w:hAnsi="Times New Roman" w:cs="Times New Roman"/>
          <w:color w:val="000000" w:themeColor="text1"/>
          <w:sz w:val="20"/>
          <w:szCs w:val="20"/>
        </w:rPr>
        <w:t xml:space="preserve"> Boxplot of mean total value of key outcome variables over the “first wave” (to 31st July 2020) against the number of simulations. Left is “community onset, hospital-acquired” cases (COHA), middle are community-linked infections and right is the number of unidentified infections. </w:t>
      </w:r>
    </w:p>
    <w:p w14:paraId="349F3C5E" w14:textId="77777777" w:rsidR="00F679C0" w:rsidRPr="00B51293" w:rsidRDefault="00F679C0">
      <w:pPr>
        <w:rPr>
          <w:rFonts w:ascii="Times New Roman" w:hAnsi="Times New Roman" w:cs="Times New Roman"/>
          <w:b/>
          <w:color w:val="000000" w:themeColor="text1"/>
          <w:sz w:val="20"/>
          <w:szCs w:val="20"/>
        </w:rPr>
      </w:pPr>
    </w:p>
    <w:p w14:paraId="5BDBA19D" w14:textId="77777777" w:rsidR="00C81A08" w:rsidRPr="00B51293" w:rsidRDefault="00C81A08">
      <w:pPr>
        <w:rPr>
          <w:rFonts w:ascii="Times New Roman" w:hAnsi="Times New Roman" w:cs="Times New Roman"/>
          <w:b/>
          <w:color w:val="000000" w:themeColor="text1"/>
          <w:sz w:val="20"/>
          <w:szCs w:val="20"/>
        </w:rPr>
      </w:pPr>
    </w:p>
    <w:p w14:paraId="13D3D81C" w14:textId="77777777" w:rsidR="00C81A08" w:rsidRPr="00B51293" w:rsidRDefault="00C81A08" w:rsidP="00C81A08">
      <w:pPr>
        <w:spacing w:line="240" w:lineRule="auto"/>
        <w:jc w:val="left"/>
        <w:rPr>
          <w:rFonts w:ascii="Times New Roman" w:eastAsia="Times New Roman" w:hAnsi="Times New Roman" w:cs="Times New Roman"/>
          <w:b/>
          <w:bCs/>
          <w:color w:val="000000"/>
          <w:sz w:val="20"/>
          <w:szCs w:val="20"/>
          <w:lang w:val="en-GB"/>
        </w:rPr>
      </w:pPr>
      <w:r w:rsidRPr="00B51293">
        <w:rPr>
          <w:rFonts w:ascii="Times New Roman" w:eastAsia="Times New Roman" w:hAnsi="Times New Roman" w:cs="Times New Roman"/>
          <w:b/>
          <w:bCs/>
          <w:color w:val="000000"/>
          <w:sz w:val="20"/>
          <w:szCs w:val="20"/>
          <w:lang w:val="en-GB"/>
        </w:rPr>
        <w:t>Conclusion</w:t>
      </w:r>
    </w:p>
    <w:p w14:paraId="41165601" w14:textId="77777777" w:rsidR="00C81A08" w:rsidRPr="00B51293" w:rsidRDefault="00C81A08" w:rsidP="00C81A08">
      <w:pPr>
        <w:spacing w:line="240" w:lineRule="auto"/>
        <w:jc w:val="left"/>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 xml:space="preserve">Uncertainty in our estimates was generated from sampling from a range of natural history distributions and the length of stay data. As we had data from SUS on the latter for </w:t>
      </w:r>
      <w:proofErr w:type="gramStart"/>
      <w:r w:rsidRPr="00B51293">
        <w:rPr>
          <w:rFonts w:ascii="Times New Roman" w:eastAsia="Times New Roman" w:hAnsi="Times New Roman" w:cs="Times New Roman"/>
          <w:color w:val="000000"/>
          <w:sz w:val="20"/>
          <w:szCs w:val="20"/>
          <w:lang w:val="en-GB"/>
        </w:rPr>
        <w:t>a large number of</w:t>
      </w:r>
      <w:proofErr w:type="gramEnd"/>
      <w:r w:rsidRPr="00B51293">
        <w:rPr>
          <w:rFonts w:ascii="Times New Roman" w:eastAsia="Times New Roman" w:hAnsi="Times New Roman" w:cs="Times New Roman"/>
          <w:color w:val="000000"/>
          <w:sz w:val="20"/>
          <w:szCs w:val="20"/>
          <w:lang w:val="en-GB"/>
        </w:rPr>
        <w:t xml:space="preserve"> non-COVID patients, we had little ambiguity in this key parameter for estimating the proportion of hospital-acquired infections identified. Moreover, much of the uncertainty was in the timing of events (symptom onset 2 or 5 days from infection for example), which, when aggregated over a 7-month period had little impact on the final aggregated results. </w:t>
      </w:r>
    </w:p>
    <w:p w14:paraId="10EE482C" w14:textId="77777777" w:rsidR="00C81A08" w:rsidRPr="00B51293" w:rsidRDefault="00C81A08">
      <w:pPr>
        <w:rPr>
          <w:rFonts w:ascii="Times New Roman" w:hAnsi="Times New Roman" w:cs="Times New Roman"/>
          <w:b/>
          <w:color w:val="000000" w:themeColor="text1"/>
          <w:sz w:val="20"/>
          <w:szCs w:val="20"/>
        </w:rPr>
      </w:pPr>
    </w:p>
    <w:p w14:paraId="2053715D" w14:textId="77777777" w:rsidR="00F679C0" w:rsidRPr="00B51293" w:rsidRDefault="00F679C0">
      <w:pPr>
        <w:rPr>
          <w:rFonts w:ascii="Times New Roman" w:hAnsi="Times New Roman" w:cs="Times New Roman"/>
          <w:b/>
          <w:color w:val="000000" w:themeColor="text1"/>
          <w:sz w:val="20"/>
          <w:szCs w:val="20"/>
        </w:rPr>
      </w:pPr>
    </w:p>
    <w:p w14:paraId="3C30CB29" w14:textId="77777777" w:rsidR="00F679C0" w:rsidRPr="00B51293" w:rsidRDefault="00F679C0">
      <w:pPr>
        <w:rPr>
          <w:rFonts w:ascii="Times New Roman" w:hAnsi="Times New Roman" w:cs="Times New Roman"/>
          <w:b/>
          <w:color w:val="000000" w:themeColor="text1"/>
          <w:sz w:val="20"/>
          <w:szCs w:val="20"/>
        </w:rPr>
      </w:pPr>
    </w:p>
    <w:p w14:paraId="1A2AAD8D" w14:textId="070626F5" w:rsidR="00861B54" w:rsidRPr="00B51293" w:rsidRDefault="00861B54" w:rsidP="00AD265B">
      <w:pPr>
        <w:rPr>
          <w:rFonts w:ascii="Times New Roman" w:hAnsi="Times New Roman" w:cs="Times New Roman"/>
          <w:b/>
          <w:color w:val="000000" w:themeColor="text1"/>
          <w:sz w:val="20"/>
          <w:szCs w:val="20"/>
        </w:rPr>
        <w:sectPr w:rsidR="00861B54" w:rsidRPr="00B51293" w:rsidSect="008D0D1D">
          <w:footerReference w:type="default" r:id="rId13"/>
          <w:pgSz w:w="12240" w:h="15840"/>
          <w:pgMar w:top="1440" w:right="1440" w:bottom="1440" w:left="1440" w:header="720" w:footer="720" w:gutter="0"/>
          <w:cols w:space="720"/>
          <w:docGrid w:linePitch="299"/>
        </w:sectPr>
      </w:pPr>
    </w:p>
    <w:p w14:paraId="7250CCCA" w14:textId="77777777" w:rsidR="00861B54" w:rsidRPr="00B51293" w:rsidRDefault="00861B54" w:rsidP="00861B54">
      <w:pPr>
        <w:pStyle w:val="Bibliography"/>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lastRenderedPageBreak/>
        <w:t>References</w:t>
      </w:r>
    </w:p>
    <w:p w14:paraId="753FBE9F" w14:textId="77777777" w:rsidR="008D0D1D" w:rsidRPr="008D0D1D" w:rsidRDefault="00861B54" w:rsidP="008D0D1D">
      <w:pPr>
        <w:pStyle w:val="Bibliography"/>
        <w:rPr>
          <w:rFonts w:ascii="Times New Roman" w:hAnsi="Times New Roman" w:cs="Times New Roman"/>
          <w:color w:val="000000"/>
          <w:sz w:val="20"/>
        </w:rPr>
      </w:pPr>
      <w:r w:rsidRPr="00B51293">
        <w:rPr>
          <w:b/>
          <w:color w:val="000000" w:themeColor="text1"/>
          <w:sz w:val="20"/>
          <w:szCs w:val="20"/>
        </w:rPr>
        <w:fldChar w:fldCharType="begin"/>
      </w:r>
      <w:r w:rsidR="008D0D1D">
        <w:rPr>
          <w:b/>
          <w:color w:val="000000" w:themeColor="text1"/>
          <w:sz w:val="20"/>
          <w:szCs w:val="20"/>
        </w:rPr>
        <w:instrText xml:space="preserve"> ADDIN ZOTERO_BIBL {"uncited":[],"omitted":[],"custom":[]} CSL_BIBLIOGRAPHY </w:instrText>
      </w:r>
      <w:r w:rsidRPr="00B51293">
        <w:rPr>
          <w:b/>
          <w:color w:val="000000" w:themeColor="text1"/>
          <w:sz w:val="20"/>
          <w:szCs w:val="20"/>
        </w:rPr>
        <w:fldChar w:fldCharType="separate"/>
      </w:r>
      <w:r w:rsidR="008D0D1D" w:rsidRPr="008D0D1D">
        <w:rPr>
          <w:rFonts w:ascii="Times New Roman" w:hAnsi="Times New Roman" w:cs="Times New Roman"/>
          <w:color w:val="000000"/>
          <w:sz w:val="20"/>
        </w:rPr>
        <w:t xml:space="preserve">1. </w:t>
      </w:r>
      <w:r w:rsidR="008D0D1D" w:rsidRPr="008D0D1D">
        <w:rPr>
          <w:rFonts w:ascii="Times New Roman" w:hAnsi="Times New Roman" w:cs="Times New Roman"/>
          <w:color w:val="000000"/>
          <w:sz w:val="20"/>
        </w:rPr>
        <w:tab/>
        <w:t xml:space="preserve">Knight GM. Supporting </w:t>
      </w:r>
      <w:proofErr w:type="spellStart"/>
      <w:r w:rsidR="008D0D1D" w:rsidRPr="008D0D1D">
        <w:rPr>
          <w:rFonts w:ascii="Times New Roman" w:hAnsi="Times New Roman" w:cs="Times New Roman"/>
          <w:color w:val="000000"/>
          <w:sz w:val="20"/>
        </w:rPr>
        <w:t>Github</w:t>
      </w:r>
      <w:proofErr w:type="spellEnd"/>
      <w:r w:rsidR="008D0D1D" w:rsidRPr="008D0D1D">
        <w:rPr>
          <w:rFonts w:ascii="Times New Roman" w:hAnsi="Times New Roman" w:cs="Times New Roman"/>
          <w:color w:val="000000"/>
          <w:sz w:val="20"/>
        </w:rPr>
        <w:t xml:space="preserve"> repository [Internet]. </w:t>
      </w:r>
      <w:proofErr w:type="spellStart"/>
      <w:r w:rsidR="008D0D1D" w:rsidRPr="008D0D1D">
        <w:rPr>
          <w:rFonts w:ascii="Times New Roman" w:hAnsi="Times New Roman" w:cs="Times New Roman"/>
          <w:color w:val="000000"/>
          <w:sz w:val="20"/>
        </w:rPr>
        <w:t>Github</w:t>
      </w:r>
      <w:proofErr w:type="spellEnd"/>
      <w:r w:rsidR="008D0D1D" w:rsidRPr="008D0D1D">
        <w:rPr>
          <w:rFonts w:ascii="Times New Roman" w:hAnsi="Times New Roman" w:cs="Times New Roman"/>
          <w:color w:val="000000"/>
          <w:sz w:val="20"/>
        </w:rPr>
        <w:t>; 2021. Available from: https://github.com/gwenknight/hai_first_wave.git</w:t>
      </w:r>
    </w:p>
    <w:p w14:paraId="044062C3" w14:textId="13B73763" w:rsidR="00861B54" w:rsidRPr="00B51293" w:rsidRDefault="00861B54" w:rsidP="00861B54">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fldChar w:fldCharType="end"/>
      </w:r>
    </w:p>
    <w:p w14:paraId="3519984D" w14:textId="77777777" w:rsidR="00F679C0" w:rsidRPr="00B51293" w:rsidRDefault="00F679C0">
      <w:pPr>
        <w:widowControl w:val="0"/>
        <w:pBdr>
          <w:top w:val="nil"/>
          <w:left w:val="nil"/>
          <w:bottom w:val="nil"/>
          <w:right w:val="nil"/>
          <w:between w:val="nil"/>
        </w:pBdr>
        <w:jc w:val="left"/>
        <w:rPr>
          <w:rFonts w:ascii="Times New Roman" w:hAnsi="Times New Roman" w:cs="Times New Roman"/>
          <w:b/>
          <w:color w:val="000000" w:themeColor="text1"/>
          <w:sz w:val="20"/>
          <w:szCs w:val="20"/>
        </w:rPr>
      </w:pPr>
    </w:p>
    <w:sectPr w:rsidR="00F679C0" w:rsidRPr="00B51293" w:rsidSect="00861B5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BE5C" w14:textId="77777777" w:rsidR="00A82E2F" w:rsidRDefault="00A82E2F">
      <w:pPr>
        <w:spacing w:line="240" w:lineRule="auto"/>
      </w:pPr>
      <w:r>
        <w:separator/>
      </w:r>
    </w:p>
  </w:endnote>
  <w:endnote w:type="continuationSeparator" w:id="0">
    <w:p w14:paraId="106B5192" w14:textId="77777777" w:rsidR="00A82E2F" w:rsidRDefault="00A82E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BF1A" w14:textId="77777777" w:rsidR="00F679C0" w:rsidRDefault="00F679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7B6E4" w14:textId="77777777" w:rsidR="00A82E2F" w:rsidRDefault="00A82E2F">
      <w:pPr>
        <w:spacing w:line="240" w:lineRule="auto"/>
      </w:pPr>
      <w:r>
        <w:separator/>
      </w:r>
    </w:p>
  </w:footnote>
  <w:footnote w:type="continuationSeparator" w:id="0">
    <w:p w14:paraId="40839F14" w14:textId="77777777" w:rsidR="00A82E2F" w:rsidRDefault="00A82E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E3D"/>
    <w:multiLevelType w:val="multilevel"/>
    <w:tmpl w:val="F1C6F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135E4A"/>
    <w:multiLevelType w:val="multilevel"/>
    <w:tmpl w:val="FED6E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EF559A"/>
    <w:multiLevelType w:val="multilevel"/>
    <w:tmpl w:val="866A0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C1150"/>
    <w:multiLevelType w:val="multilevel"/>
    <w:tmpl w:val="D4D46E1E"/>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4" w15:restartNumberingAfterBreak="0">
    <w:nsid w:val="45D53993"/>
    <w:multiLevelType w:val="multilevel"/>
    <w:tmpl w:val="F19EC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CF285B"/>
    <w:multiLevelType w:val="multilevel"/>
    <w:tmpl w:val="BB042726"/>
    <w:lvl w:ilvl="0">
      <w:start w:val="1"/>
      <w:numFmt w:val="decimal"/>
      <w:lvlText w:val="%1."/>
      <w:lvlJc w:val="left"/>
      <w:pPr>
        <w:ind w:left="720" w:hanging="360"/>
      </w:pPr>
      <w:rPr>
        <w:u w:val="none"/>
      </w:rPr>
    </w:lvl>
    <w:lvl w:ilvl="1">
      <w:start w:val="1"/>
      <w:numFmt w:val="lowerLetter"/>
      <w:lvlText w:val="%2."/>
      <w:lvlJc w:val="left"/>
      <w:pPr>
        <w:ind w:left="42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514819"/>
    <w:multiLevelType w:val="hybridMultilevel"/>
    <w:tmpl w:val="43DE2842"/>
    <w:lvl w:ilvl="0" w:tplc="66D80E06">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547C3"/>
    <w:multiLevelType w:val="multilevel"/>
    <w:tmpl w:val="8178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34727F"/>
    <w:multiLevelType w:val="multilevel"/>
    <w:tmpl w:val="8EC6E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D06E4D"/>
    <w:multiLevelType w:val="multilevel"/>
    <w:tmpl w:val="B1BE7A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5593531"/>
    <w:multiLevelType w:val="hybridMultilevel"/>
    <w:tmpl w:val="23C6E47A"/>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043799">
    <w:abstractNumId w:val="3"/>
  </w:num>
  <w:num w:numId="2" w16cid:durableId="1664888809">
    <w:abstractNumId w:val="8"/>
  </w:num>
  <w:num w:numId="3" w16cid:durableId="1336573775">
    <w:abstractNumId w:val="5"/>
  </w:num>
  <w:num w:numId="4" w16cid:durableId="1482887732">
    <w:abstractNumId w:val="0"/>
  </w:num>
  <w:num w:numId="5" w16cid:durableId="1922060738">
    <w:abstractNumId w:val="4"/>
  </w:num>
  <w:num w:numId="6" w16cid:durableId="69891676">
    <w:abstractNumId w:val="9"/>
  </w:num>
  <w:num w:numId="7" w16cid:durableId="593393823">
    <w:abstractNumId w:val="1"/>
  </w:num>
  <w:num w:numId="8" w16cid:durableId="1999309915">
    <w:abstractNumId w:val="6"/>
  </w:num>
  <w:num w:numId="9" w16cid:durableId="621502802">
    <w:abstractNumId w:val="7"/>
    <w:lvlOverride w:ilvl="0">
      <w:lvl w:ilvl="0">
        <w:numFmt w:val="lowerLetter"/>
        <w:lvlText w:val="%1."/>
        <w:lvlJc w:val="left"/>
      </w:lvl>
    </w:lvlOverride>
  </w:num>
  <w:num w:numId="10" w16cid:durableId="897012882">
    <w:abstractNumId w:val="10"/>
  </w:num>
  <w:num w:numId="11" w16cid:durableId="921985445">
    <w:abstractNumId w:val="2"/>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C0"/>
    <w:rsid w:val="00005467"/>
    <w:rsid w:val="00047823"/>
    <w:rsid w:val="00067851"/>
    <w:rsid w:val="000A3253"/>
    <w:rsid w:val="000F1E26"/>
    <w:rsid w:val="00126DFF"/>
    <w:rsid w:val="0013002E"/>
    <w:rsid w:val="00150B70"/>
    <w:rsid w:val="001535D2"/>
    <w:rsid w:val="00173783"/>
    <w:rsid w:val="001A4463"/>
    <w:rsid w:val="002153EF"/>
    <w:rsid w:val="002367EA"/>
    <w:rsid w:val="002A6092"/>
    <w:rsid w:val="002E6F90"/>
    <w:rsid w:val="00305CDC"/>
    <w:rsid w:val="003134BE"/>
    <w:rsid w:val="00333B2F"/>
    <w:rsid w:val="00344BB2"/>
    <w:rsid w:val="003A64BF"/>
    <w:rsid w:val="003B3EEA"/>
    <w:rsid w:val="003B5B3B"/>
    <w:rsid w:val="003D40FA"/>
    <w:rsid w:val="003D5ED0"/>
    <w:rsid w:val="003E10CE"/>
    <w:rsid w:val="0042182A"/>
    <w:rsid w:val="00423DF3"/>
    <w:rsid w:val="004667FB"/>
    <w:rsid w:val="004932E8"/>
    <w:rsid w:val="004C766E"/>
    <w:rsid w:val="00540299"/>
    <w:rsid w:val="005740CB"/>
    <w:rsid w:val="005C03C1"/>
    <w:rsid w:val="005C2C68"/>
    <w:rsid w:val="006309F4"/>
    <w:rsid w:val="006B0A71"/>
    <w:rsid w:val="006C52E5"/>
    <w:rsid w:val="006D7E4F"/>
    <w:rsid w:val="0073459E"/>
    <w:rsid w:val="00741C5A"/>
    <w:rsid w:val="00756D1B"/>
    <w:rsid w:val="007D4E10"/>
    <w:rsid w:val="007E3A3C"/>
    <w:rsid w:val="007F4DD1"/>
    <w:rsid w:val="00843667"/>
    <w:rsid w:val="008553A3"/>
    <w:rsid w:val="00861B54"/>
    <w:rsid w:val="008C22A3"/>
    <w:rsid w:val="008D0D1D"/>
    <w:rsid w:val="00932369"/>
    <w:rsid w:val="00961C90"/>
    <w:rsid w:val="00964B11"/>
    <w:rsid w:val="00964F0C"/>
    <w:rsid w:val="009C6CCB"/>
    <w:rsid w:val="009D597C"/>
    <w:rsid w:val="00A111B7"/>
    <w:rsid w:val="00A34774"/>
    <w:rsid w:val="00A632DC"/>
    <w:rsid w:val="00A81FEC"/>
    <w:rsid w:val="00A82E2F"/>
    <w:rsid w:val="00A85076"/>
    <w:rsid w:val="00AC7D5F"/>
    <w:rsid w:val="00AD265B"/>
    <w:rsid w:val="00AD6539"/>
    <w:rsid w:val="00B04836"/>
    <w:rsid w:val="00B11828"/>
    <w:rsid w:val="00B13742"/>
    <w:rsid w:val="00B40E23"/>
    <w:rsid w:val="00B51293"/>
    <w:rsid w:val="00B520DF"/>
    <w:rsid w:val="00B9476D"/>
    <w:rsid w:val="00BA12EE"/>
    <w:rsid w:val="00BB4FE5"/>
    <w:rsid w:val="00BC3A93"/>
    <w:rsid w:val="00BF088E"/>
    <w:rsid w:val="00C362D7"/>
    <w:rsid w:val="00C44346"/>
    <w:rsid w:val="00C81A08"/>
    <w:rsid w:val="00C95B83"/>
    <w:rsid w:val="00CB4A7A"/>
    <w:rsid w:val="00CC193F"/>
    <w:rsid w:val="00CD6C7D"/>
    <w:rsid w:val="00D918FA"/>
    <w:rsid w:val="00D94350"/>
    <w:rsid w:val="00D94C7C"/>
    <w:rsid w:val="00DA207F"/>
    <w:rsid w:val="00DA7A80"/>
    <w:rsid w:val="00DB1C4C"/>
    <w:rsid w:val="00DD174A"/>
    <w:rsid w:val="00DE4808"/>
    <w:rsid w:val="00DE6F3B"/>
    <w:rsid w:val="00E35329"/>
    <w:rsid w:val="00E45E40"/>
    <w:rsid w:val="00E74F1F"/>
    <w:rsid w:val="00EA102E"/>
    <w:rsid w:val="00EB22F8"/>
    <w:rsid w:val="00EE3D0C"/>
    <w:rsid w:val="00EE536B"/>
    <w:rsid w:val="00F237F5"/>
    <w:rsid w:val="00F679C0"/>
    <w:rsid w:val="00F67B91"/>
    <w:rsid w:val="00FC2B1E"/>
    <w:rsid w:val="00FE0746"/>
    <w:rsid w:val="00FE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ACDFCD"/>
  <w15:docId w15:val="{9226F7EA-7B4A-184D-BDF2-D82B36EB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FE0746"/>
    <w:pPr>
      <w:tabs>
        <w:tab w:val="left" w:pos="380"/>
        <w:tab w:val="left" w:pos="500"/>
      </w:tabs>
      <w:spacing w:after="240" w:line="240" w:lineRule="auto"/>
      <w:ind w:left="504" w:hanging="504"/>
    </w:pPr>
  </w:style>
  <w:style w:type="character" w:customStyle="1" w:styleId="Heading4Char">
    <w:name w:val="Heading 4 Char"/>
    <w:basedOn w:val="DefaultParagraphFont"/>
    <w:link w:val="Heading4"/>
    <w:uiPriority w:val="9"/>
    <w:rsid w:val="00F67B91"/>
    <w:rPr>
      <w:color w:val="666666"/>
      <w:sz w:val="24"/>
      <w:szCs w:val="24"/>
    </w:rPr>
  </w:style>
  <w:style w:type="paragraph" w:styleId="NormalWeb">
    <w:name w:val="Normal (Web)"/>
    <w:basedOn w:val="Normal"/>
    <w:uiPriority w:val="99"/>
    <w:unhideWhenUsed/>
    <w:rsid w:val="00F67B91"/>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94350"/>
    <w:pPr>
      <w:ind w:left="720"/>
      <w:contextualSpacing/>
    </w:pPr>
  </w:style>
  <w:style w:type="character" w:styleId="Hyperlink">
    <w:name w:val="Hyperlink"/>
    <w:basedOn w:val="DefaultParagraphFont"/>
    <w:uiPriority w:val="99"/>
    <w:unhideWhenUsed/>
    <w:rsid w:val="00B13742"/>
    <w:rPr>
      <w:color w:val="0000FF" w:themeColor="hyperlink"/>
      <w:u w:val="single"/>
    </w:rPr>
  </w:style>
  <w:style w:type="character" w:styleId="UnresolvedMention">
    <w:name w:val="Unresolved Mention"/>
    <w:basedOn w:val="DefaultParagraphFont"/>
    <w:uiPriority w:val="99"/>
    <w:semiHidden/>
    <w:unhideWhenUsed/>
    <w:rsid w:val="00B13742"/>
    <w:rPr>
      <w:color w:val="605E5C"/>
      <w:shd w:val="clear" w:color="auto" w:fill="E1DFDD"/>
    </w:rPr>
  </w:style>
  <w:style w:type="character" w:styleId="FollowedHyperlink">
    <w:name w:val="FollowedHyperlink"/>
    <w:basedOn w:val="DefaultParagraphFont"/>
    <w:uiPriority w:val="99"/>
    <w:semiHidden/>
    <w:unhideWhenUsed/>
    <w:rsid w:val="000A3253"/>
    <w:rPr>
      <w:color w:val="800080" w:themeColor="followedHyperlink"/>
      <w:u w:val="single"/>
    </w:rPr>
  </w:style>
  <w:style w:type="table" w:styleId="TableGrid">
    <w:name w:val="Table Grid"/>
    <w:basedOn w:val="TableNormal"/>
    <w:uiPriority w:val="39"/>
    <w:rsid w:val="00344B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22A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790">
      <w:bodyDiv w:val="1"/>
      <w:marLeft w:val="0"/>
      <w:marRight w:val="0"/>
      <w:marTop w:val="0"/>
      <w:marBottom w:val="0"/>
      <w:divBdr>
        <w:top w:val="none" w:sz="0" w:space="0" w:color="auto"/>
        <w:left w:val="none" w:sz="0" w:space="0" w:color="auto"/>
        <w:bottom w:val="none" w:sz="0" w:space="0" w:color="auto"/>
        <w:right w:val="none" w:sz="0" w:space="0" w:color="auto"/>
      </w:divBdr>
    </w:div>
    <w:div w:id="144131329">
      <w:bodyDiv w:val="1"/>
      <w:marLeft w:val="0"/>
      <w:marRight w:val="0"/>
      <w:marTop w:val="0"/>
      <w:marBottom w:val="0"/>
      <w:divBdr>
        <w:top w:val="none" w:sz="0" w:space="0" w:color="auto"/>
        <w:left w:val="none" w:sz="0" w:space="0" w:color="auto"/>
        <w:bottom w:val="none" w:sz="0" w:space="0" w:color="auto"/>
        <w:right w:val="none" w:sz="0" w:space="0" w:color="auto"/>
      </w:divBdr>
    </w:div>
    <w:div w:id="241918681">
      <w:bodyDiv w:val="1"/>
      <w:marLeft w:val="0"/>
      <w:marRight w:val="0"/>
      <w:marTop w:val="0"/>
      <w:marBottom w:val="0"/>
      <w:divBdr>
        <w:top w:val="none" w:sz="0" w:space="0" w:color="auto"/>
        <w:left w:val="none" w:sz="0" w:space="0" w:color="auto"/>
        <w:bottom w:val="none" w:sz="0" w:space="0" w:color="auto"/>
        <w:right w:val="none" w:sz="0" w:space="0" w:color="auto"/>
      </w:divBdr>
    </w:div>
    <w:div w:id="256789386">
      <w:bodyDiv w:val="1"/>
      <w:marLeft w:val="0"/>
      <w:marRight w:val="0"/>
      <w:marTop w:val="0"/>
      <w:marBottom w:val="0"/>
      <w:divBdr>
        <w:top w:val="none" w:sz="0" w:space="0" w:color="auto"/>
        <w:left w:val="none" w:sz="0" w:space="0" w:color="auto"/>
        <w:bottom w:val="none" w:sz="0" w:space="0" w:color="auto"/>
        <w:right w:val="none" w:sz="0" w:space="0" w:color="auto"/>
      </w:divBdr>
    </w:div>
    <w:div w:id="267785153">
      <w:bodyDiv w:val="1"/>
      <w:marLeft w:val="0"/>
      <w:marRight w:val="0"/>
      <w:marTop w:val="0"/>
      <w:marBottom w:val="0"/>
      <w:divBdr>
        <w:top w:val="none" w:sz="0" w:space="0" w:color="auto"/>
        <w:left w:val="none" w:sz="0" w:space="0" w:color="auto"/>
        <w:bottom w:val="none" w:sz="0" w:space="0" w:color="auto"/>
        <w:right w:val="none" w:sz="0" w:space="0" w:color="auto"/>
      </w:divBdr>
    </w:div>
    <w:div w:id="274678323">
      <w:bodyDiv w:val="1"/>
      <w:marLeft w:val="0"/>
      <w:marRight w:val="0"/>
      <w:marTop w:val="0"/>
      <w:marBottom w:val="0"/>
      <w:divBdr>
        <w:top w:val="none" w:sz="0" w:space="0" w:color="auto"/>
        <w:left w:val="none" w:sz="0" w:space="0" w:color="auto"/>
        <w:bottom w:val="none" w:sz="0" w:space="0" w:color="auto"/>
        <w:right w:val="none" w:sz="0" w:space="0" w:color="auto"/>
      </w:divBdr>
    </w:div>
    <w:div w:id="319116899">
      <w:bodyDiv w:val="1"/>
      <w:marLeft w:val="0"/>
      <w:marRight w:val="0"/>
      <w:marTop w:val="0"/>
      <w:marBottom w:val="0"/>
      <w:divBdr>
        <w:top w:val="none" w:sz="0" w:space="0" w:color="auto"/>
        <w:left w:val="none" w:sz="0" w:space="0" w:color="auto"/>
        <w:bottom w:val="none" w:sz="0" w:space="0" w:color="auto"/>
        <w:right w:val="none" w:sz="0" w:space="0" w:color="auto"/>
      </w:divBdr>
    </w:div>
    <w:div w:id="551963384">
      <w:bodyDiv w:val="1"/>
      <w:marLeft w:val="0"/>
      <w:marRight w:val="0"/>
      <w:marTop w:val="0"/>
      <w:marBottom w:val="0"/>
      <w:divBdr>
        <w:top w:val="none" w:sz="0" w:space="0" w:color="auto"/>
        <w:left w:val="none" w:sz="0" w:space="0" w:color="auto"/>
        <w:bottom w:val="none" w:sz="0" w:space="0" w:color="auto"/>
        <w:right w:val="none" w:sz="0" w:space="0" w:color="auto"/>
      </w:divBdr>
    </w:div>
    <w:div w:id="575240080">
      <w:bodyDiv w:val="1"/>
      <w:marLeft w:val="0"/>
      <w:marRight w:val="0"/>
      <w:marTop w:val="0"/>
      <w:marBottom w:val="0"/>
      <w:divBdr>
        <w:top w:val="none" w:sz="0" w:space="0" w:color="auto"/>
        <w:left w:val="none" w:sz="0" w:space="0" w:color="auto"/>
        <w:bottom w:val="none" w:sz="0" w:space="0" w:color="auto"/>
        <w:right w:val="none" w:sz="0" w:space="0" w:color="auto"/>
      </w:divBdr>
    </w:div>
    <w:div w:id="626591657">
      <w:bodyDiv w:val="1"/>
      <w:marLeft w:val="0"/>
      <w:marRight w:val="0"/>
      <w:marTop w:val="0"/>
      <w:marBottom w:val="0"/>
      <w:divBdr>
        <w:top w:val="none" w:sz="0" w:space="0" w:color="auto"/>
        <w:left w:val="none" w:sz="0" w:space="0" w:color="auto"/>
        <w:bottom w:val="none" w:sz="0" w:space="0" w:color="auto"/>
        <w:right w:val="none" w:sz="0" w:space="0" w:color="auto"/>
      </w:divBdr>
    </w:div>
    <w:div w:id="672605172">
      <w:bodyDiv w:val="1"/>
      <w:marLeft w:val="0"/>
      <w:marRight w:val="0"/>
      <w:marTop w:val="0"/>
      <w:marBottom w:val="0"/>
      <w:divBdr>
        <w:top w:val="none" w:sz="0" w:space="0" w:color="auto"/>
        <w:left w:val="none" w:sz="0" w:space="0" w:color="auto"/>
        <w:bottom w:val="none" w:sz="0" w:space="0" w:color="auto"/>
        <w:right w:val="none" w:sz="0" w:space="0" w:color="auto"/>
      </w:divBdr>
    </w:div>
    <w:div w:id="943345494">
      <w:bodyDiv w:val="1"/>
      <w:marLeft w:val="0"/>
      <w:marRight w:val="0"/>
      <w:marTop w:val="0"/>
      <w:marBottom w:val="0"/>
      <w:divBdr>
        <w:top w:val="none" w:sz="0" w:space="0" w:color="auto"/>
        <w:left w:val="none" w:sz="0" w:space="0" w:color="auto"/>
        <w:bottom w:val="none" w:sz="0" w:space="0" w:color="auto"/>
        <w:right w:val="none" w:sz="0" w:space="0" w:color="auto"/>
      </w:divBdr>
    </w:div>
    <w:div w:id="1064792948">
      <w:bodyDiv w:val="1"/>
      <w:marLeft w:val="0"/>
      <w:marRight w:val="0"/>
      <w:marTop w:val="0"/>
      <w:marBottom w:val="0"/>
      <w:divBdr>
        <w:top w:val="none" w:sz="0" w:space="0" w:color="auto"/>
        <w:left w:val="none" w:sz="0" w:space="0" w:color="auto"/>
        <w:bottom w:val="none" w:sz="0" w:space="0" w:color="auto"/>
        <w:right w:val="none" w:sz="0" w:space="0" w:color="auto"/>
      </w:divBdr>
    </w:div>
    <w:div w:id="1068385872">
      <w:bodyDiv w:val="1"/>
      <w:marLeft w:val="0"/>
      <w:marRight w:val="0"/>
      <w:marTop w:val="0"/>
      <w:marBottom w:val="0"/>
      <w:divBdr>
        <w:top w:val="none" w:sz="0" w:space="0" w:color="auto"/>
        <w:left w:val="none" w:sz="0" w:space="0" w:color="auto"/>
        <w:bottom w:val="none" w:sz="0" w:space="0" w:color="auto"/>
        <w:right w:val="none" w:sz="0" w:space="0" w:color="auto"/>
      </w:divBdr>
    </w:div>
    <w:div w:id="1083649559">
      <w:bodyDiv w:val="1"/>
      <w:marLeft w:val="0"/>
      <w:marRight w:val="0"/>
      <w:marTop w:val="0"/>
      <w:marBottom w:val="0"/>
      <w:divBdr>
        <w:top w:val="none" w:sz="0" w:space="0" w:color="auto"/>
        <w:left w:val="none" w:sz="0" w:space="0" w:color="auto"/>
        <w:bottom w:val="none" w:sz="0" w:space="0" w:color="auto"/>
        <w:right w:val="none" w:sz="0" w:space="0" w:color="auto"/>
      </w:divBdr>
    </w:div>
    <w:div w:id="1156843086">
      <w:bodyDiv w:val="1"/>
      <w:marLeft w:val="0"/>
      <w:marRight w:val="0"/>
      <w:marTop w:val="0"/>
      <w:marBottom w:val="0"/>
      <w:divBdr>
        <w:top w:val="none" w:sz="0" w:space="0" w:color="auto"/>
        <w:left w:val="none" w:sz="0" w:space="0" w:color="auto"/>
        <w:bottom w:val="none" w:sz="0" w:space="0" w:color="auto"/>
        <w:right w:val="none" w:sz="0" w:space="0" w:color="auto"/>
      </w:divBdr>
    </w:div>
    <w:div w:id="1296906140">
      <w:bodyDiv w:val="1"/>
      <w:marLeft w:val="0"/>
      <w:marRight w:val="0"/>
      <w:marTop w:val="0"/>
      <w:marBottom w:val="0"/>
      <w:divBdr>
        <w:top w:val="none" w:sz="0" w:space="0" w:color="auto"/>
        <w:left w:val="none" w:sz="0" w:space="0" w:color="auto"/>
        <w:bottom w:val="none" w:sz="0" w:space="0" w:color="auto"/>
        <w:right w:val="none" w:sz="0" w:space="0" w:color="auto"/>
      </w:divBdr>
    </w:div>
    <w:div w:id="1323510066">
      <w:bodyDiv w:val="1"/>
      <w:marLeft w:val="0"/>
      <w:marRight w:val="0"/>
      <w:marTop w:val="0"/>
      <w:marBottom w:val="0"/>
      <w:divBdr>
        <w:top w:val="none" w:sz="0" w:space="0" w:color="auto"/>
        <w:left w:val="none" w:sz="0" w:space="0" w:color="auto"/>
        <w:bottom w:val="none" w:sz="0" w:space="0" w:color="auto"/>
        <w:right w:val="none" w:sz="0" w:space="0" w:color="auto"/>
      </w:divBdr>
    </w:div>
    <w:div w:id="1323848510">
      <w:bodyDiv w:val="1"/>
      <w:marLeft w:val="0"/>
      <w:marRight w:val="0"/>
      <w:marTop w:val="0"/>
      <w:marBottom w:val="0"/>
      <w:divBdr>
        <w:top w:val="none" w:sz="0" w:space="0" w:color="auto"/>
        <w:left w:val="none" w:sz="0" w:space="0" w:color="auto"/>
        <w:bottom w:val="none" w:sz="0" w:space="0" w:color="auto"/>
        <w:right w:val="none" w:sz="0" w:space="0" w:color="auto"/>
      </w:divBdr>
    </w:div>
    <w:div w:id="1347755577">
      <w:bodyDiv w:val="1"/>
      <w:marLeft w:val="0"/>
      <w:marRight w:val="0"/>
      <w:marTop w:val="0"/>
      <w:marBottom w:val="0"/>
      <w:divBdr>
        <w:top w:val="none" w:sz="0" w:space="0" w:color="auto"/>
        <w:left w:val="none" w:sz="0" w:space="0" w:color="auto"/>
        <w:bottom w:val="none" w:sz="0" w:space="0" w:color="auto"/>
        <w:right w:val="none" w:sz="0" w:space="0" w:color="auto"/>
      </w:divBdr>
    </w:div>
    <w:div w:id="1380088449">
      <w:bodyDiv w:val="1"/>
      <w:marLeft w:val="0"/>
      <w:marRight w:val="0"/>
      <w:marTop w:val="0"/>
      <w:marBottom w:val="0"/>
      <w:divBdr>
        <w:top w:val="none" w:sz="0" w:space="0" w:color="auto"/>
        <w:left w:val="none" w:sz="0" w:space="0" w:color="auto"/>
        <w:bottom w:val="none" w:sz="0" w:space="0" w:color="auto"/>
        <w:right w:val="none" w:sz="0" w:space="0" w:color="auto"/>
      </w:divBdr>
    </w:div>
    <w:div w:id="1471825797">
      <w:bodyDiv w:val="1"/>
      <w:marLeft w:val="0"/>
      <w:marRight w:val="0"/>
      <w:marTop w:val="0"/>
      <w:marBottom w:val="0"/>
      <w:divBdr>
        <w:top w:val="none" w:sz="0" w:space="0" w:color="auto"/>
        <w:left w:val="none" w:sz="0" w:space="0" w:color="auto"/>
        <w:bottom w:val="none" w:sz="0" w:space="0" w:color="auto"/>
        <w:right w:val="none" w:sz="0" w:space="0" w:color="auto"/>
      </w:divBdr>
    </w:div>
    <w:div w:id="1504738886">
      <w:bodyDiv w:val="1"/>
      <w:marLeft w:val="0"/>
      <w:marRight w:val="0"/>
      <w:marTop w:val="0"/>
      <w:marBottom w:val="0"/>
      <w:divBdr>
        <w:top w:val="none" w:sz="0" w:space="0" w:color="auto"/>
        <w:left w:val="none" w:sz="0" w:space="0" w:color="auto"/>
        <w:bottom w:val="none" w:sz="0" w:space="0" w:color="auto"/>
        <w:right w:val="none" w:sz="0" w:space="0" w:color="auto"/>
      </w:divBdr>
    </w:div>
    <w:div w:id="1570531519">
      <w:bodyDiv w:val="1"/>
      <w:marLeft w:val="0"/>
      <w:marRight w:val="0"/>
      <w:marTop w:val="0"/>
      <w:marBottom w:val="0"/>
      <w:divBdr>
        <w:top w:val="none" w:sz="0" w:space="0" w:color="auto"/>
        <w:left w:val="none" w:sz="0" w:space="0" w:color="auto"/>
        <w:bottom w:val="none" w:sz="0" w:space="0" w:color="auto"/>
        <w:right w:val="none" w:sz="0" w:space="0" w:color="auto"/>
      </w:divBdr>
    </w:div>
    <w:div w:id="1604872348">
      <w:bodyDiv w:val="1"/>
      <w:marLeft w:val="0"/>
      <w:marRight w:val="0"/>
      <w:marTop w:val="0"/>
      <w:marBottom w:val="0"/>
      <w:divBdr>
        <w:top w:val="none" w:sz="0" w:space="0" w:color="auto"/>
        <w:left w:val="none" w:sz="0" w:space="0" w:color="auto"/>
        <w:bottom w:val="none" w:sz="0" w:space="0" w:color="auto"/>
        <w:right w:val="none" w:sz="0" w:space="0" w:color="auto"/>
      </w:divBdr>
    </w:div>
    <w:div w:id="1679387097">
      <w:bodyDiv w:val="1"/>
      <w:marLeft w:val="0"/>
      <w:marRight w:val="0"/>
      <w:marTop w:val="0"/>
      <w:marBottom w:val="0"/>
      <w:divBdr>
        <w:top w:val="none" w:sz="0" w:space="0" w:color="auto"/>
        <w:left w:val="none" w:sz="0" w:space="0" w:color="auto"/>
        <w:bottom w:val="none" w:sz="0" w:space="0" w:color="auto"/>
        <w:right w:val="none" w:sz="0" w:space="0" w:color="auto"/>
      </w:divBdr>
    </w:div>
    <w:div w:id="1757239235">
      <w:bodyDiv w:val="1"/>
      <w:marLeft w:val="0"/>
      <w:marRight w:val="0"/>
      <w:marTop w:val="0"/>
      <w:marBottom w:val="0"/>
      <w:divBdr>
        <w:top w:val="none" w:sz="0" w:space="0" w:color="auto"/>
        <w:left w:val="none" w:sz="0" w:space="0" w:color="auto"/>
        <w:bottom w:val="none" w:sz="0" w:space="0" w:color="auto"/>
        <w:right w:val="none" w:sz="0" w:space="0" w:color="auto"/>
      </w:divBdr>
    </w:div>
    <w:div w:id="1811284122">
      <w:bodyDiv w:val="1"/>
      <w:marLeft w:val="0"/>
      <w:marRight w:val="0"/>
      <w:marTop w:val="0"/>
      <w:marBottom w:val="0"/>
      <w:divBdr>
        <w:top w:val="none" w:sz="0" w:space="0" w:color="auto"/>
        <w:left w:val="none" w:sz="0" w:space="0" w:color="auto"/>
        <w:bottom w:val="none" w:sz="0" w:space="0" w:color="auto"/>
        <w:right w:val="none" w:sz="0" w:space="0" w:color="auto"/>
      </w:divBdr>
    </w:div>
    <w:div w:id="1839422903">
      <w:bodyDiv w:val="1"/>
      <w:marLeft w:val="0"/>
      <w:marRight w:val="0"/>
      <w:marTop w:val="0"/>
      <w:marBottom w:val="0"/>
      <w:divBdr>
        <w:top w:val="none" w:sz="0" w:space="0" w:color="auto"/>
        <w:left w:val="none" w:sz="0" w:space="0" w:color="auto"/>
        <w:bottom w:val="none" w:sz="0" w:space="0" w:color="auto"/>
        <w:right w:val="none" w:sz="0" w:space="0" w:color="auto"/>
      </w:divBdr>
    </w:div>
    <w:div w:id="1931816096">
      <w:bodyDiv w:val="1"/>
      <w:marLeft w:val="0"/>
      <w:marRight w:val="0"/>
      <w:marTop w:val="0"/>
      <w:marBottom w:val="0"/>
      <w:divBdr>
        <w:top w:val="none" w:sz="0" w:space="0" w:color="auto"/>
        <w:left w:val="none" w:sz="0" w:space="0" w:color="auto"/>
        <w:bottom w:val="none" w:sz="0" w:space="0" w:color="auto"/>
        <w:right w:val="none" w:sz="0" w:space="0" w:color="auto"/>
      </w:divBdr>
      <w:divsChild>
        <w:div w:id="1785808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Gwen Knight</cp:lastModifiedBy>
  <cp:revision>4</cp:revision>
  <cp:lastPrinted>2022-04-22T12:06:00Z</cp:lastPrinted>
  <dcterms:created xsi:type="dcterms:W3CDTF">2022-06-10T06:45:00Z</dcterms:created>
  <dcterms:modified xsi:type="dcterms:W3CDTF">2022-06-10T06:52:00Z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{"style":{"styleID":"http://www.zotero.org/styles/vancouver","locale":"en-GB","hasBibliography":true,"bibliographyStyleHasBeenSet":true},"prefs":{"fieldType":"Field","automaticJournalAbbreviations":true,"delayCitationUpdates":true,"noteType":0,"dontAskDel</vt:lpwstr>
  </property>
  <property fmtid="{D5CDD505-2E9C-101B-9397-08002B2CF9AE}" pid="3" name="ZOTERO_PREF_2">
    <vt:lpwstr>ayCitationUpdates":true},"sessionID":"PzlZn84r","zoteroVersion":"6.0.8","dataVersion":4}</vt:lpwstr>
  </property>
</Properties>
</file>