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EA52" w14:textId="1CC0C31D" w:rsidR="00F679C0" w:rsidRPr="00B51293" w:rsidRDefault="006B3DAD">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Additional File</w:t>
      </w:r>
      <w:r w:rsidR="00E45E40" w:rsidRPr="00B51293">
        <w:rPr>
          <w:rFonts w:ascii="Times New Roman" w:hAnsi="Times New Roman" w:cs="Times New Roman"/>
          <w:b/>
          <w:color w:val="000000" w:themeColor="text1"/>
          <w:sz w:val="20"/>
          <w:szCs w:val="20"/>
        </w:rPr>
        <w:t xml:space="preserve"> 6: Parameterisation</w:t>
      </w:r>
      <w:r w:rsidR="004932E8" w:rsidRPr="00B51293">
        <w:rPr>
          <w:rFonts w:ascii="Times New Roman" w:hAnsi="Times New Roman" w:cs="Times New Roman"/>
          <w:b/>
          <w:color w:val="000000" w:themeColor="text1"/>
          <w:sz w:val="20"/>
          <w:szCs w:val="20"/>
        </w:rPr>
        <w:t xml:space="preserve"> and additional methods</w:t>
      </w:r>
    </w:p>
    <w:p w14:paraId="4CE323D4" w14:textId="77777777" w:rsidR="00F679C0" w:rsidRPr="00B51293" w:rsidRDefault="00F679C0">
      <w:pPr>
        <w:rPr>
          <w:rFonts w:ascii="Times New Roman" w:hAnsi="Times New Roman" w:cs="Times New Roman"/>
          <w:b/>
          <w:color w:val="000000" w:themeColor="text1"/>
          <w:sz w:val="20"/>
          <w:szCs w:val="20"/>
        </w:rPr>
      </w:pPr>
    </w:p>
    <w:tbl>
      <w:tblPr>
        <w:tblStyle w:val="a2"/>
        <w:tblW w:w="14805" w:type="dxa"/>
        <w:tblInd w:w="-1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2595"/>
        <w:gridCol w:w="4455"/>
        <w:gridCol w:w="3855"/>
        <w:gridCol w:w="1770"/>
      </w:tblGrid>
      <w:tr w:rsidR="00932369" w:rsidRPr="00B51293" w14:paraId="0B478144" w14:textId="77777777">
        <w:tc>
          <w:tcPr>
            <w:tcW w:w="2130" w:type="dxa"/>
            <w:shd w:val="clear" w:color="auto" w:fill="auto"/>
            <w:tcMar>
              <w:top w:w="100" w:type="dxa"/>
              <w:left w:w="100" w:type="dxa"/>
              <w:bottom w:w="100" w:type="dxa"/>
              <w:right w:w="100" w:type="dxa"/>
            </w:tcMar>
          </w:tcPr>
          <w:p w14:paraId="40E26644"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Parameter in R code</w:t>
            </w:r>
          </w:p>
        </w:tc>
        <w:tc>
          <w:tcPr>
            <w:tcW w:w="2595" w:type="dxa"/>
            <w:shd w:val="clear" w:color="auto" w:fill="auto"/>
            <w:tcMar>
              <w:top w:w="100" w:type="dxa"/>
              <w:left w:w="100" w:type="dxa"/>
              <w:bottom w:w="100" w:type="dxa"/>
              <w:right w:w="100" w:type="dxa"/>
            </w:tcMar>
          </w:tcPr>
          <w:p w14:paraId="487A07E8"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Definition</w:t>
            </w:r>
          </w:p>
        </w:tc>
        <w:tc>
          <w:tcPr>
            <w:tcW w:w="4455" w:type="dxa"/>
            <w:shd w:val="clear" w:color="auto" w:fill="auto"/>
            <w:tcMar>
              <w:top w:w="100" w:type="dxa"/>
              <w:left w:w="100" w:type="dxa"/>
              <w:bottom w:w="100" w:type="dxa"/>
              <w:right w:w="100" w:type="dxa"/>
            </w:tcMar>
          </w:tcPr>
          <w:p w14:paraId="0C8E3AE2"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Literature </w:t>
            </w:r>
          </w:p>
        </w:tc>
        <w:tc>
          <w:tcPr>
            <w:tcW w:w="3855" w:type="dxa"/>
            <w:shd w:val="clear" w:color="auto" w:fill="auto"/>
            <w:tcMar>
              <w:top w:w="100" w:type="dxa"/>
              <w:left w:w="100" w:type="dxa"/>
              <w:bottom w:w="100" w:type="dxa"/>
              <w:right w:w="100" w:type="dxa"/>
            </w:tcMar>
          </w:tcPr>
          <w:p w14:paraId="47759D48"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Notes</w:t>
            </w:r>
          </w:p>
        </w:tc>
        <w:tc>
          <w:tcPr>
            <w:tcW w:w="1770" w:type="dxa"/>
            <w:shd w:val="clear" w:color="auto" w:fill="auto"/>
            <w:tcMar>
              <w:top w:w="100" w:type="dxa"/>
              <w:left w:w="100" w:type="dxa"/>
              <w:bottom w:w="100" w:type="dxa"/>
              <w:right w:w="100" w:type="dxa"/>
            </w:tcMar>
          </w:tcPr>
          <w:p w14:paraId="061FC14E"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Base case </w:t>
            </w:r>
          </w:p>
        </w:tc>
      </w:tr>
      <w:tr w:rsidR="00932369" w:rsidRPr="00B51293" w14:paraId="652FAA2C" w14:textId="77777777">
        <w:trPr>
          <w:trHeight w:val="440"/>
        </w:trPr>
        <w:tc>
          <w:tcPr>
            <w:tcW w:w="2130" w:type="dxa"/>
            <w:vMerge w:val="restart"/>
            <w:shd w:val="clear" w:color="auto" w:fill="auto"/>
            <w:tcMar>
              <w:top w:w="100" w:type="dxa"/>
              <w:left w:w="100" w:type="dxa"/>
              <w:bottom w:w="100" w:type="dxa"/>
              <w:right w:w="100" w:type="dxa"/>
            </w:tcMar>
          </w:tcPr>
          <w:p w14:paraId="5136BC75"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prop_miss_hosp</w:t>
            </w:r>
            <w:r w:rsidRPr="00B51293">
              <w:rPr>
                <w:rFonts w:ascii="Times New Roman" w:hAnsi="Times New Roman" w:cs="Times New Roman"/>
                <w:color w:val="000000" w:themeColor="text1"/>
                <w:sz w:val="16"/>
                <w:szCs w:val="16"/>
              </w:rPr>
              <w:t xml:space="preserve"> </w:t>
            </w:r>
          </w:p>
        </w:tc>
        <w:tc>
          <w:tcPr>
            <w:tcW w:w="2595" w:type="dxa"/>
            <w:vMerge w:val="restart"/>
            <w:shd w:val="clear" w:color="auto" w:fill="auto"/>
            <w:tcMar>
              <w:top w:w="100" w:type="dxa"/>
              <w:left w:w="100" w:type="dxa"/>
              <w:bottom w:w="100" w:type="dxa"/>
              <w:right w:w="100" w:type="dxa"/>
            </w:tcMar>
          </w:tcPr>
          <w:p w14:paraId="3BE8BB88"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Proportion of recently hospitalised patients with missed hospital-acquired infections that will be subsequently admitted to hospital with COVID-19 </w:t>
            </w:r>
          </w:p>
        </w:tc>
        <w:tc>
          <w:tcPr>
            <w:tcW w:w="4455" w:type="dxa"/>
            <w:shd w:val="clear" w:color="auto" w:fill="auto"/>
            <w:tcMar>
              <w:top w:w="100" w:type="dxa"/>
              <w:left w:w="100" w:type="dxa"/>
              <w:bottom w:w="100" w:type="dxa"/>
              <w:right w:w="100" w:type="dxa"/>
            </w:tcMar>
          </w:tcPr>
          <w:p w14:paraId="6A6F20E1" w14:textId="32531953"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Infection hospitalisation ratio that ranged from &lt; 5% in those aged 40 to &gt; 40% in those aged 80+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{"citationID":"a2f8kp5igs","properties":{"formattedCitation":"(1)","plainCitation":"(1)","noteIndex":0},"citationItems":[{"id":20623,"uris":["http://zotero.org/groups/2623950/items/ESW7WFZQ"],"itemData":{"id":20623,"type":"webpage","abstract":"Report 41 - The 2020 SARS-CoV-2 epidemic in England: key epidemiological drivers and impact of interventions","container-title":"Imperial College London","language":"en-GB","title":"Report 41 - The 2020 SARS-CoV-2 epidemic in England: key epidemiological drivers and impact of interventions","title-short":"Report 41 - The 2020 SARS-CoV-2 epidemic in England","URL":"https://doi.org/10.25561/85146","author":[{"family":"Knock","given":"E S"},{"family":"Whittles","given":"L K"},{"family":"Lees","given":"JA"}],"accessed":{"date-parts":[["2021",3,8]]},"issued":{"date-parts":[["2020",12,22]]}},"locator":"41"}],"schema":"https://github.com/citation-style-language/schema/raw/master/csl-citation.json"}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(1)</w:t>
            </w:r>
            <w:r w:rsidRPr="00B51293">
              <w:rPr>
                <w:rFonts w:ascii="Times New Roman" w:hAnsi="Times New Roman" w:cs="Times New Roman"/>
                <w:color w:val="000000" w:themeColor="text1"/>
                <w:sz w:val="16"/>
                <w:szCs w:val="16"/>
              </w:rPr>
              <w:fldChar w:fldCharType="end"/>
            </w:r>
          </w:p>
        </w:tc>
        <w:tc>
          <w:tcPr>
            <w:tcW w:w="3855" w:type="dxa"/>
            <w:vMerge w:val="restart"/>
            <w:shd w:val="clear" w:color="auto" w:fill="auto"/>
            <w:tcMar>
              <w:top w:w="100" w:type="dxa"/>
              <w:left w:w="100" w:type="dxa"/>
              <w:bottom w:w="100" w:type="dxa"/>
              <w:right w:w="100" w:type="dxa"/>
            </w:tcMar>
          </w:tcPr>
          <w:p w14:paraId="444D34B9" w14:textId="77777777"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Multiplying the proportion of the non-COVID hospital population in each age group by the risks in Knock et. al. leads to an upper estimate of 15%. These patients have previously been hospitalised so have a higher risk of re-infection than others in their same age group. </w:t>
            </w:r>
          </w:p>
          <w:p w14:paraId="60EC8701" w14:textId="77777777"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We assumed a uniform distribution between 10% and 15%. For each patient a Bernouilli trial then used this sample to assess whether the patient would return</w:t>
            </w:r>
          </w:p>
          <w:p w14:paraId="6D041D7B"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vMerge w:val="restart"/>
            <w:shd w:val="clear" w:color="auto" w:fill="auto"/>
            <w:tcMar>
              <w:top w:w="100" w:type="dxa"/>
              <w:left w:w="100" w:type="dxa"/>
              <w:bottom w:w="100" w:type="dxa"/>
              <w:right w:w="100" w:type="dxa"/>
            </w:tcMar>
          </w:tcPr>
          <w:p w14:paraId="51EBFC02"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unif(0.1,0.15)</w:t>
            </w:r>
          </w:p>
        </w:tc>
      </w:tr>
      <w:tr w:rsidR="00932369" w:rsidRPr="00B51293" w14:paraId="4A1E874F" w14:textId="77777777">
        <w:trPr>
          <w:trHeight w:val="440"/>
        </w:trPr>
        <w:tc>
          <w:tcPr>
            <w:tcW w:w="2130" w:type="dxa"/>
            <w:vMerge/>
            <w:shd w:val="clear" w:color="auto" w:fill="auto"/>
            <w:tcMar>
              <w:top w:w="100" w:type="dxa"/>
              <w:left w:w="100" w:type="dxa"/>
              <w:bottom w:w="100" w:type="dxa"/>
              <w:right w:w="100" w:type="dxa"/>
            </w:tcMar>
          </w:tcPr>
          <w:p w14:paraId="70A044D4" w14:textId="77777777" w:rsidR="00F679C0" w:rsidRPr="00B51293" w:rsidRDefault="00F679C0">
            <w:pPr>
              <w:widowControl w:val="0"/>
              <w:spacing w:line="240" w:lineRule="auto"/>
              <w:rPr>
                <w:rFonts w:ascii="Times New Roman" w:hAnsi="Times New Roman" w:cs="Times New Roman"/>
                <w:i/>
                <w:color w:val="000000" w:themeColor="text1"/>
                <w:sz w:val="16"/>
                <w:szCs w:val="16"/>
              </w:rPr>
            </w:pPr>
          </w:p>
        </w:tc>
        <w:tc>
          <w:tcPr>
            <w:tcW w:w="2595" w:type="dxa"/>
            <w:vMerge/>
            <w:shd w:val="clear" w:color="auto" w:fill="auto"/>
            <w:tcMar>
              <w:top w:w="100" w:type="dxa"/>
              <w:left w:w="100" w:type="dxa"/>
              <w:bottom w:w="100" w:type="dxa"/>
              <w:right w:w="100" w:type="dxa"/>
            </w:tcMar>
          </w:tcPr>
          <w:p w14:paraId="4F7D79F7"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shd w:val="clear" w:color="auto" w:fill="auto"/>
            <w:tcMar>
              <w:top w:w="100" w:type="dxa"/>
              <w:left w:w="100" w:type="dxa"/>
              <w:bottom w:w="100" w:type="dxa"/>
              <w:right w:w="100" w:type="dxa"/>
            </w:tcMar>
          </w:tcPr>
          <w:p w14:paraId="1BBCE9CD" w14:textId="1727963F"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3,4,8,12,17,18% infections are hospitalised for 10yr age groups from 30 to 80+ respectively (Table 3,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Phexxwpe","properties":{"formattedCitation":"(2)","plainCitation":"(2)","noteIndex":0},"citationItems":[{"id":16181,"uris":["http://zotero.org/groups/2623950/items/DUAE5EUV"],"itemData":{"id":16181,"type":"article-journal","abstract":"&lt;h2&gt;Summary&lt;/h2&gt;&lt;h3&gt;Background&lt;/h3&gt;&lt;p&gt;In the face of rapidly changing data, a range of case fatality ratio estimates for coronavirus disease 2019 (COVID-19) have been produced that differ substantially in magnitude. We aimed to provide robust estimates, accounting for censoring and ascertainment biases.&lt;/p&gt;&lt;h3&gt;Methods&lt;/h3&gt;&lt;p&gt;We collected individual-case data for patients who died from COVID-19 in Hubei, mainland China (reported by national and provincial health commissions to Feb 8, 2020), and for cases outside of mainland China (from government or ministry of health websites and media reports for 37 countries, as well as Hong Kong and Macau, until Feb 25, 2020). These individual-case data were used to estimate the time between onset of symptoms and outcome (death or discharge from hospital). We next obtained age-stratified estimates of the case fatality ratio by relating the aggregate distribution of cases to the observed cumulative deaths in China, assuming a constant attack rate by age and adjusting for demography and age-based and location-based under-ascertainment. We also estimated the case fatality ratio from individual line-list data on 1334 cases identified outside of mainland China. Using data on the prevalence of PCR-confirmed cases in international residents repatriated from China, we obtained age-stratified estimates of the infection fatality ratio. Furthermore, data on age-stratified severity in a subset of 3665 cases from China were used to estimate the proportion of infected individuals who are likely to require hospitalisation.&lt;/p&gt;&lt;h3&gt;Findings&lt;/h3&gt;&lt;p&gt;Using data on 24 deaths that occurred in mainland China and 165 recoveries outside of China, we estimated the mean duration from onset of symptoms to death to be 17·8 days (95% credible interval [CrI] 16·9–19·2) and to hospital discharge to be 24·7 days (22·9–28·1). In all laboratory confirmed and clinically diagnosed cases from mainland China (n=70 117), we estimated a crude case fatality ratio (adjusted for censoring) of 3·67% (95% CrI 3·56–3·80). However, after further adjusting for demography and under-ascertainment, we obtained a best estimate of the case fatality ratio in China of 1·38% (1·23–1·53), with substantially higher ratios in older age groups (0·32% [0·27–0·38] in those aged &lt;60 years &lt;i&gt;vs&lt;/i&gt; 6·4% [5·7–7·2] in those aged ≥60 years), up to 13·4% (11·2–15·9) in those aged 80 years or older. Estimates of case fatality ratio from international cases stratified by age were consistent with those from China (parametric estimate 1·4% [0·4–3·5] in those aged &lt;60 years [n=360] and 4·5% [1·8–11·1] in those aged ≥60 years [n=151]). Our estimated overall infection fatality ratio for China was 0·66% (0·39–1·33), with an increasing profile with age. Similarly, estimates of the proportion of infected individuals likely to be hospitalised increased with age up to a maximum of 18·4% (11·0–37·6) in those aged 80 years or older.&lt;/p&gt;&lt;h3&gt;Interpretation&lt;/h3&gt;&lt;p&gt;These early estimates give an indication of the fatality ratio across the spectrum of COVID-19 disease and show a strong age gradient in risk of death.&lt;/p&gt;&lt;h3&gt;Funding&lt;/h3&gt;&lt;p&gt;UK Medical Research Council.&lt;/p&gt;","container-title":"The Lancet Infectious Diseases","DOI":"10.1016/S1473-3099(20)30243-7","ISSN":"1473-3099, 1474-4457","issue":"6","journalAbbreviation":"The Lancet Infectious Diseases","language":"English","note":"publisher: Elsevier\nPMID: 32240634","page":"669-677","source":"www.thelancet.com","title":"Estimates of the severity of coronavirus disease 2019: a model-based analysis","title-short":"Estimates of the severity of coronavirus disease 2019","volume":"20","author":[{"family":"Verity","given":"Robert"},{"family":"Okell","given":"Lucy C."},{"family":"Dorigatti","given":"Ilaria"},{"family":"Winskill","given":"Peter"},{"family":"Whittaker","given":"Charles"},{"family":"Imai","given":"Natsuko"},{"family":"Cuomo-Dannenburg","given":"Gina"},{"family":"Thompson","given":"Hayley"},{"family":"Walker","given":"Patrick G. T."},{"family":"Fu","given":"Han"},{"family":"Dighe","given":"Amy"},{"family":"Griffin","given":"Jamie T."},{"family":"Baguelin","given":"Marc"},{"family":"Bhatia","given":"Sangeeta"},{"family":"Boonyasiri","given":"Adhiratha"},{"family":"Cori","given":"Anne"},{"family":"Cucunubá","given":"Zulma"},{"family":"FitzJohn","given":"Rich"},{"family":"Gaythorpe","given":"Katy"},{"family":"Green","given":"Will"},{"family":"Hamlet","given":"Arran"},{"family":"Hinsley","given":"Wes"},{"family":"Laydon","given":"Daniel"},{"family":"Nedjati-Gilani","given":"Gemma"},{"family":"Riley","given":"Steven"},{"family":"Elsland","given":"Sabine","dropping-particle":"van"},{"family":"Volz","given":"Erik"},{"family":"Wang","given":"Haowei"},{"family":"Wang","given":"Yuanrong"},{"family":"Xi","given":"Xiaoyue"},{"family":"Donnelly","given":"Christl A."},{"family":"Ghani","given":"Azra C."},{"family":"Ferguson","given":"Neil M."}],"issued":{"date-parts":[["2020",6,1]]}}}],"schema":"https://github.com/citation-style-language/schema/raw/master/csl-citation.json"}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(2)</w:t>
            </w:r>
            <w:r w:rsidRPr="00B51293">
              <w:rPr>
                <w:rFonts w:ascii="Times New Roman" w:hAnsi="Times New Roman" w:cs="Times New Roman"/>
                <w:color w:val="000000" w:themeColor="text1"/>
                <w:sz w:val="16"/>
                <w:szCs w:val="16"/>
              </w:rPr>
              <w:fldChar w:fldCharType="end"/>
            </w:r>
            <w:r w:rsidRPr="00B51293">
              <w:rPr>
                <w:rFonts w:ascii="Times New Roman" w:hAnsi="Times New Roman" w:cs="Times New Roman"/>
                <w:color w:val="000000" w:themeColor="text1"/>
                <w:sz w:val="16"/>
                <w:szCs w:val="16"/>
              </w:rPr>
              <w:t>)</w:t>
            </w:r>
          </w:p>
        </w:tc>
        <w:tc>
          <w:tcPr>
            <w:tcW w:w="3855" w:type="dxa"/>
            <w:vMerge/>
            <w:shd w:val="clear" w:color="auto" w:fill="auto"/>
            <w:tcMar>
              <w:top w:w="100" w:type="dxa"/>
              <w:left w:w="100" w:type="dxa"/>
              <w:bottom w:w="100" w:type="dxa"/>
              <w:right w:w="100" w:type="dxa"/>
            </w:tcMar>
          </w:tcPr>
          <w:p w14:paraId="3962149F"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vMerge/>
            <w:shd w:val="clear" w:color="auto" w:fill="auto"/>
            <w:tcMar>
              <w:top w:w="100" w:type="dxa"/>
              <w:left w:w="100" w:type="dxa"/>
              <w:bottom w:w="100" w:type="dxa"/>
              <w:right w:w="100" w:type="dxa"/>
            </w:tcMar>
          </w:tcPr>
          <w:p w14:paraId="02BDE59E"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r>
      <w:tr w:rsidR="00932369" w:rsidRPr="00B51293" w14:paraId="3129B7A0" w14:textId="77777777">
        <w:trPr>
          <w:trHeight w:val="440"/>
        </w:trPr>
        <w:tc>
          <w:tcPr>
            <w:tcW w:w="2130" w:type="dxa"/>
            <w:vMerge/>
            <w:shd w:val="clear" w:color="auto" w:fill="auto"/>
            <w:tcMar>
              <w:top w:w="100" w:type="dxa"/>
              <w:left w:w="100" w:type="dxa"/>
              <w:bottom w:w="100" w:type="dxa"/>
              <w:right w:w="100" w:type="dxa"/>
            </w:tcMar>
          </w:tcPr>
          <w:p w14:paraId="1039C24A"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2595" w:type="dxa"/>
            <w:vMerge/>
            <w:shd w:val="clear" w:color="auto" w:fill="auto"/>
            <w:tcMar>
              <w:top w:w="100" w:type="dxa"/>
              <w:left w:w="100" w:type="dxa"/>
              <w:bottom w:w="100" w:type="dxa"/>
              <w:right w:w="100" w:type="dxa"/>
            </w:tcMar>
          </w:tcPr>
          <w:p w14:paraId="12DF3A2C"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shd w:val="clear" w:color="auto" w:fill="auto"/>
            <w:tcMar>
              <w:top w:w="100" w:type="dxa"/>
              <w:left w:w="100" w:type="dxa"/>
              <w:bottom w:w="100" w:type="dxa"/>
              <w:right w:w="100" w:type="dxa"/>
            </w:tcMar>
          </w:tcPr>
          <w:p w14:paraId="18C760AF" w14:textId="1116BB49"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Non-COVID hospital population composed of 33% older than 70, 60% older than 50 (5 yr age group data used)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{"citationID":"pUOZr49c","properties":{"formattedCitation":"(3)","plainCitation":"(3)","noteIndex":0},"citationItems":[{"id":20624,"uris":["http://zotero.org/groups/2623950/items/7M49B7GT"],"itemData":{"id":20624,"type":"webpage","abstract":"We’re the national information and technology partner to the health and social care system using digital technology to transform the NHS and social care","container-title":"NHS Digital","language":"en","title":"Hospital Admitted Patient Care Activity, 2015-16","URL":"https://digital.nhs.uk/data-and-information/publications/statistical/hospital-admitted-patient-care-activity/2015-16","accessed":{"date-parts":[["2021",3,8]]},"issued":{"date-parts":[["2018",4,11]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(3)</w:t>
            </w:r>
            <w:r w:rsidRPr="00B51293">
              <w:rPr>
                <w:rFonts w:ascii="Times New Roman" w:hAnsi="Times New Roman" w:cs="Times New Roman"/>
                <w:color w:val="000000" w:themeColor="text1"/>
                <w:sz w:val="16"/>
                <w:szCs w:val="16"/>
              </w:rPr>
              <w:fldChar w:fldCharType="end"/>
            </w:r>
          </w:p>
        </w:tc>
        <w:tc>
          <w:tcPr>
            <w:tcW w:w="3855" w:type="dxa"/>
            <w:vMerge/>
            <w:shd w:val="clear" w:color="auto" w:fill="auto"/>
            <w:tcMar>
              <w:top w:w="100" w:type="dxa"/>
              <w:left w:w="100" w:type="dxa"/>
              <w:bottom w:w="100" w:type="dxa"/>
              <w:right w:w="100" w:type="dxa"/>
            </w:tcMar>
          </w:tcPr>
          <w:p w14:paraId="33D4E3FB"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vMerge/>
            <w:shd w:val="clear" w:color="auto" w:fill="auto"/>
            <w:tcMar>
              <w:top w:w="100" w:type="dxa"/>
              <w:left w:w="100" w:type="dxa"/>
              <w:bottom w:w="100" w:type="dxa"/>
              <w:right w:w="100" w:type="dxa"/>
            </w:tcMar>
          </w:tcPr>
          <w:p w14:paraId="093AD5D3"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r>
      <w:tr w:rsidR="00932369" w:rsidRPr="00B51293" w14:paraId="0F725FBD" w14:textId="77777777">
        <w:trPr>
          <w:trHeight w:val="440"/>
        </w:trPr>
        <w:tc>
          <w:tcPr>
            <w:tcW w:w="2130" w:type="dxa"/>
            <w:shd w:val="clear" w:color="auto" w:fill="auto"/>
            <w:tcMar>
              <w:top w:w="100" w:type="dxa"/>
              <w:left w:w="100" w:type="dxa"/>
              <w:bottom w:w="100" w:type="dxa"/>
              <w:right w:w="100" w:type="dxa"/>
            </w:tcMar>
          </w:tcPr>
          <w:p w14:paraId="287642E7"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prop_comm_hosp</w:t>
            </w:r>
          </w:p>
        </w:tc>
        <w:tc>
          <w:tcPr>
            <w:tcW w:w="2595" w:type="dxa"/>
            <w:shd w:val="clear" w:color="auto" w:fill="auto"/>
            <w:tcMar>
              <w:top w:w="100" w:type="dxa"/>
              <w:left w:w="100" w:type="dxa"/>
              <w:bottom w:w="100" w:type="dxa"/>
              <w:right w:w="100" w:type="dxa"/>
            </w:tcMar>
          </w:tcPr>
          <w:p w14:paraId="5BF16039"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Proportion of community infections that will be hosp. cases of COVID-19</w:t>
            </w:r>
          </w:p>
        </w:tc>
        <w:tc>
          <w:tcPr>
            <w:tcW w:w="4455" w:type="dxa"/>
            <w:shd w:val="clear" w:color="auto" w:fill="auto"/>
            <w:tcMar>
              <w:top w:w="100" w:type="dxa"/>
              <w:left w:w="100" w:type="dxa"/>
              <w:bottom w:w="100" w:type="dxa"/>
              <w:right w:w="100" w:type="dxa"/>
            </w:tcMar>
          </w:tcPr>
          <w:p w14:paraId="56054F69" w14:textId="423BB1CA"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highlight w:val="white"/>
              </w:rPr>
              <w:t xml:space="preserve">3.5% (95% CrI 3.3%-3.7%) of people infected needed hospitalisation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{"citationID":"7pOYoDlD","properties":{"formattedCitation":"(1)","plainCitation":"(1)","noteIndex":0},"citationItems":[{"id":20623,"uris":["http://zotero.org/groups/2623950/items/ESW7WFZQ"],"itemData":{"id":20623,"type":"webpage","abstract":"Report 41 - The 2020 SARS-CoV-2 epidemic in England: key epidemiological drivers and impact of interventions","container-title":"Imperial College London","language":"en-GB","title":"Report 41 - The 2020 SARS-CoV-2 epidemic in England: key epidemiological drivers and impact of interventions","title-short":"Report 41 - The 2020 SARS-CoV-2 epidemic in England","URL":"https://doi.org/10.25561/85146","author":[{"family":"Knock","given":"E S"},{"family":"Whittles","given":"L K"},{"family":"Lees","given":"JA"}],"accessed":{"date-parts":[["2021",3,8]]},"issued":{"date-parts":[["2020",12,22]]}},"locator":"41"}],"schema":"https://github.com/citation-style-language/schema/raw/master/csl-citation.json"}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highlight w:val="white"/>
              </w:rPr>
              <w:t>(1)</w:t>
            </w:r>
            <w:r w:rsidRPr="00B51293">
              <w:rPr>
                <w:rFonts w:ascii="Times New Roman" w:hAnsi="Times New Roman" w:cs="Times New Roman"/>
                <w:color w:val="000000" w:themeColor="text1"/>
                <w:sz w:val="16"/>
                <w:szCs w:val="16"/>
                <w:highlight w:val="white"/>
              </w:rPr>
              <w:fldChar w:fldCharType="end"/>
            </w:r>
            <w:r w:rsidR="008C22A3">
              <w:rPr>
                <w:rFonts w:ascii="Times New Roman" w:hAnsi="Times New Roman" w:cs="Times New Roman"/>
                <w:color w:val="000000" w:themeColor="text1"/>
                <w:sz w:val="16"/>
                <w:szCs w:val="16"/>
              </w:rPr>
              <w:t xml:space="preserve">. This is approximated here by the normal distribution which gives a 95% CrI of 3.4%-3.6%. </w:t>
            </w:r>
          </w:p>
        </w:tc>
        <w:tc>
          <w:tcPr>
            <w:tcW w:w="3855" w:type="dxa"/>
            <w:shd w:val="clear" w:color="auto" w:fill="auto"/>
            <w:tcMar>
              <w:top w:w="100" w:type="dxa"/>
              <w:left w:w="100" w:type="dxa"/>
              <w:bottom w:w="100" w:type="dxa"/>
              <w:right w:w="100" w:type="dxa"/>
            </w:tcMar>
          </w:tcPr>
          <w:p w14:paraId="24C44DC8"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Assume normal distribution with mean from literature, and estimated standard deviation to match range</w:t>
            </w:r>
          </w:p>
        </w:tc>
        <w:tc>
          <w:tcPr>
            <w:tcW w:w="1770" w:type="dxa"/>
            <w:shd w:val="clear" w:color="auto" w:fill="auto"/>
            <w:tcMar>
              <w:top w:w="100" w:type="dxa"/>
              <w:left w:w="100" w:type="dxa"/>
              <w:bottom w:w="100" w:type="dxa"/>
              <w:right w:w="100" w:type="dxa"/>
            </w:tcMar>
          </w:tcPr>
          <w:p w14:paraId="19E8B4F2"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norm(0.035, 0.0005)</w:t>
            </w:r>
          </w:p>
        </w:tc>
      </w:tr>
      <w:tr w:rsidR="00932369" w:rsidRPr="00B51293" w14:paraId="25E6BDF9" w14:textId="77777777">
        <w:trPr>
          <w:trHeight w:val="440"/>
        </w:trPr>
        <w:tc>
          <w:tcPr>
            <w:tcW w:w="2130" w:type="dxa"/>
            <w:shd w:val="clear" w:color="auto" w:fill="auto"/>
            <w:tcMar>
              <w:top w:w="100" w:type="dxa"/>
              <w:left w:w="100" w:type="dxa"/>
              <w:bottom w:w="100" w:type="dxa"/>
              <w:right w:w="100" w:type="dxa"/>
            </w:tcMar>
          </w:tcPr>
          <w:p w14:paraId="31CF9580"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time_inf_to_symp_mean</w:t>
            </w:r>
          </w:p>
        </w:tc>
        <w:tc>
          <w:tcPr>
            <w:tcW w:w="2595" w:type="dxa"/>
            <w:vMerge w:val="restart"/>
            <w:shd w:val="clear" w:color="auto" w:fill="auto"/>
            <w:tcMar>
              <w:top w:w="100" w:type="dxa"/>
              <w:left w:w="100" w:type="dxa"/>
              <w:bottom w:w="100" w:type="dxa"/>
              <w:right w:w="100" w:type="dxa"/>
            </w:tcMar>
          </w:tcPr>
          <w:p w14:paraId="03A7200D"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Time to symptom onset from infection </w:t>
            </w:r>
          </w:p>
        </w:tc>
        <w:tc>
          <w:tcPr>
            <w:tcW w:w="4455" w:type="dxa"/>
            <w:shd w:val="clear" w:color="auto" w:fill="auto"/>
            <w:tcMar>
              <w:top w:w="100" w:type="dxa"/>
              <w:left w:w="100" w:type="dxa"/>
              <w:bottom w:w="100" w:type="dxa"/>
              <w:right w:w="100" w:type="dxa"/>
            </w:tcMar>
          </w:tcPr>
          <w:p w14:paraId="3D855050" w14:textId="50DE8184"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Incubation period: mean of 5.1 days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{"citationID":"v7fNMkPB","properties":{"formattedCitation":"(4)","plainCitation":"(4)","noteIndex":0},"citationItems":[{"id":16183,"uris":["http://zotero.org/groups/2623950/items/WG98B9KA"],"itemData":{"id":16183,"type":"article-journal","abstract":"Background: A novel human coronavirus, severe acute respiratory syndrome coronavirus 2 (SARS-CoV-2), was identified in China in December 2019. There is limited support for many of its key epidemiologic features, including the incubation period for clinical disease (coronavirus disease 2019 [COVID-19]), which has important implications for surveillance and control activities.\nObjective: To estimate the length of the incubation period of COVID-19 and describe its public health implications.\nDesign: Pooled analysis of confirmed COVID-19 cases reported between 4 January 2020 and 24 February 2020.\nSetting: News reports and press releases from 50 provinces, regions, and countries outside Wuhan, Hubei province, China.\nParticipants: Persons with confirmed SARS-CoV-2 infection outside Hubei province, China.\nMeasurements: Patient demographic characteristics and dates and times of possible exposure, symptom onset, fever onset, and hospitalization.\nResults: There were 181 confirmed cases with identifiable exposure and symptom onset windows to estimate the incubation period of COVID-19. The median incubation period was estimated to be 5.1 days (95% CI, 4.5 to 5.8 days), and 97.5% of those who develop symptoms will do so within 11.5 days (CI, 8.2 to 15.6 days) of infection. These estimates imply that, under conservative assumptions, 101 out of every 10 000 cases (99th percentile, 482) will develop symptoms after 14 days of active monitoring or quarantine.\nLimitation: Publicly reported cases may overrepresent severe cases, the incubation period for which may differ from that of mild cases.\nConclusion: This work provides additional evidence for a median incubation period for COVID-19 of approximately 5 days, similar to SARS. Our results support current proposals for the length of quarantine or active monitoring of persons potentially exposed to SARS-CoV-2, although longer monitoring periods might be justified in extreme cases.\nPrimary Funding Source: U.S. Centers for Disease Control and Prevention, National Institute of Allergy and Infectious Diseases, National Institute of General Medical Sciences, and Alexander von Humboldt Foundation.","container-title":"Annals of Internal Medicine","DOI":"10.7326/M20-0504","ISSN":"1539-3704","issue":"9","journalAbbreviation":"Ann Intern Med","language":"eng","note":"PMID: 32150748\nPMCID: PMC7081172","page":"577-582","source":"PubMed","title":"The Incubation Period of Coronavirus Disease 2019 (COVID-19) From Publicly Reported Confirmed Cases: Estimation and Application","title-short":"The Incubation Period of Coronavirus Disease 2019 (COVID-19) From Publicly Reported Confirmed Cases","volume":"172","author":[{"family":"Lauer","given":"Stephen A."},{"family":"Grantz","given":"Kyra H."},{"family":"Bi","given":"Qifang"},{"family":"Jones","given":"Forrest K."},{"family":"Zheng","given":"Qulu"},{"family":"Meredith","given":"Hannah R."},{"family":"Azman","given":"Andrew S."},{"family":"Reich","given":"Nicholas G."},{"family":"Lessler","given":"Justin"}],"issued":{"date-parts":[["2020",5,5]]}}}],"schema":"https://github.com/citation-style-language/schema/raw/master/csl-citation.json"}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(4)</w:t>
            </w:r>
            <w:r w:rsidRPr="00B51293">
              <w:rPr>
                <w:rFonts w:ascii="Times New Roman" w:hAnsi="Times New Roman" w:cs="Times New Roman"/>
                <w:color w:val="000000" w:themeColor="text1"/>
                <w:sz w:val="16"/>
                <w:szCs w:val="16"/>
              </w:rPr>
              <w:fldChar w:fldCharType="end"/>
            </w:r>
          </w:p>
        </w:tc>
        <w:tc>
          <w:tcPr>
            <w:tcW w:w="3855" w:type="dxa"/>
            <w:vMerge w:val="restart"/>
            <w:shd w:val="clear" w:color="auto" w:fill="auto"/>
            <w:tcMar>
              <w:top w:w="100" w:type="dxa"/>
              <w:left w:w="100" w:type="dxa"/>
              <w:bottom w:w="100" w:type="dxa"/>
              <w:right w:w="100" w:type="dxa"/>
            </w:tcMar>
          </w:tcPr>
          <w:p w14:paraId="3E66F2BE"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Use the Lauer distribution for analysis</w:t>
            </w:r>
          </w:p>
        </w:tc>
        <w:tc>
          <w:tcPr>
            <w:tcW w:w="1770" w:type="dxa"/>
            <w:shd w:val="clear" w:color="auto" w:fill="auto"/>
            <w:tcMar>
              <w:top w:w="100" w:type="dxa"/>
              <w:left w:w="100" w:type="dxa"/>
              <w:bottom w:w="100" w:type="dxa"/>
              <w:right w:w="100" w:type="dxa"/>
            </w:tcMar>
          </w:tcPr>
          <w:p w14:paraId="0E7B2929"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1.62</w:t>
            </w:r>
          </w:p>
        </w:tc>
      </w:tr>
      <w:tr w:rsidR="00932369" w:rsidRPr="00B51293" w14:paraId="11304380" w14:textId="77777777">
        <w:trPr>
          <w:trHeight w:val="440"/>
        </w:trPr>
        <w:tc>
          <w:tcPr>
            <w:tcW w:w="2130" w:type="dxa"/>
          </w:tcPr>
          <w:p w14:paraId="2012B627" w14:textId="77777777" w:rsidR="00F679C0" w:rsidRPr="00B51293" w:rsidRDefault="00F679C0">
            <w:pPr>
              <w:widowControl w:val="0"/>
              <w:spacing w:line="240" w:lineRule="auto"/>
              <w:rPr>
                <w:rFonts w:ascii="Times New Roman" w:hAnsi="Times New Roman" w:cs="Times New Roman"/>
                <w:i/>
                <w:color w:val="000000" w:themeColor="text1"/>
                <w:sz w:val="16"/>
                <w:szCs w:val="16"/>
              </w:rPr>
            </w:pPr>
          </w:p>
          <w:p w14:paraId="08E2AE98"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time_inf_to_symp_sd</w:t>
            </w:r>
          </w:p>
        </w:tc>
        <w:tc>
          <w:tcPr>
            <w:tcW w:w="2595" w:type="dxa"/>
            <w:vMerge/>
            <w:shd w:val="clear" w:color="auto" w:fill="auto"/>
            <w:tcMar>
              <w:top w:w="100" w:type="dxa"/>
              <w:left w:w="100" w:type="dxa"/>
              <w:bottom w:w="100" w:type="dxa"/>
              <w:right w:w="100" w:type="dxa"/>
            </w:tcMar>
          </w:tcPr>
          <w:p w14:paraId="7B50A813"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shd w:val="clear" w:color="auto" w:fill="auto"/>
            <w:tcMar>
              <w:top w:w="100" w:type="dxa"/>
              <w:left w:w="100" w:type="dxa"/>
              <w:bottom w:w="100" w:type="dxa"/>
              <w:right w:w="100" w:type="dxa"/>
            </w:tcMar>
          </w:tcPr>
          <w:p w14:paraId="604CDD35" w14:textId="3B5B24E7"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highlight w:val="white"/>
              </w:rPr>
              <w:t xml:space="preserve">Log normally distribution, with mean of 5.8 (95% CI 5.0 to 6.7) days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{"citationID":"KX3x62Am","properties":{"formattedCitation":"(5)","plainCitation":"(5)","noteIndex":0},"citationItems":[{"id":16189,"uris":["http://zotero.org/groups/2623950/items/YJ7IFHHZ"],"itemData":{"id":16189,"type":"article-journal","abstract":"OBJECTIVES: The aim of this study was to conduct a rapid systematic review and meta-analysis of estimates of the incubation period of COVID-19.\nDESIGN: Rapid systematic review and meta-analysis of observational research.\nSETTING: International studies on incubation period of COVID-19.\nPARTICIPANTS: Searches were carried out in PubMed, Google Scholar, Embase, Cochrane Library as well as the preprint servers MedRxiv and BioRxiv. Studies were selected for meta-analysis if they reported either the parameters and CIs of the distributions fit to the data, or sufficient information to facilitate calculation of those values. After initial eligibility screening, 24 studies were selected for initial review, nine of these were shortlisted for meta-analysis. Final estimates are from meta-analysis of eight studies.\nPRIMARY OUTCOME MEASURES: Parameters of a lognormal distribution of incubation periods.\nRESULTS: The incubation period distribution may be modelled with a lognormal distribution with pooled mu and sigma parameters (95% CIs) of 1.63 (95% CI 1.51 to 1.75) and 0.50 (95% CI 0.46 to 0.55), respectively. The corresponding mean (95% CIs) was 5.8 (95% CI 5.0 to 6.7) days. It should be noted that uncertainty increases towards the tail of the distribution: the pooled parameter estimates (95% CIs) resulted in a median incubation period of 5.1 (95% CI 4.5 to 5.8) days, whereas the 95th percentile was 11.7 (95% CI 9.7 to 14.2) days.\nCONCLUSIONS: The choice of which parameter values are adopted will depend on how the information is used, the associated risks and the perceived consequences of decisions to be taken. These recommendations will need to be revisited once further relevant information becomes available. Accordingly, we present an R Shiny app that facilitates updating these estimates as new data become available.","container-title":"BMJ open","DOI":"10.1136/bmjopen-2020-039652","ISSN":"2044-6055","issue":"8","journalAbbreviation":"BMJ Open","language":"eng","note":"PMID: 32801208\nPMCID: PMC7430485","page":"e039652","source":"PubMed","title":"Incubation period of COVID-19: a rapid systematic review and meta-analysis of observational research","title-short":"Incubation period of COVID-19","volume":"10","author":[{"family":"McAloon","given":"Conor"},{"family":"Collins","given":"Áine"},{"family":"Hunt","given":"Kevin"},{"family":"Barber","given":"Ann"},{"family":"Byrne","given":"Andrew W."},{"family":"Butler","given":"Francis"},{"family":"Casey","given":"Miriam"},{"family":"Griffin","given":"John"},{"family":"Lane","given":"Elizabeth"},{"family":"McEvoy","given":"David"},{"family":"Wall","given":"Patrick"},{"family":"Green","given":"Martin"},{"family":"O'Grady","given":"Luke"},{"family":"More","given":"Simon J."}],"issued":{"date-parts":[["2020",8,16]]}}}],"schema":"https://github.com/citation-style-language/schema/raw/master/csl-citation.json"}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highlight w:val="white"/>
              </w:rPr>
              <w:t>(5)</w:t>
            </w:r>
            <w:r w:rsidRPr="00B51293">
              <w:rPr>
                <w:rFonts w:ascii="Times New Roman" w:hAnsi="Times New Roman" w:cs="Times New Roman"/>
                <w:color w:val="000000" w:themeColor="text1"/>
                <w:sz w:val="16"/>
                <w:szCs w:val="16"/>
                <w:highlight w:val="white"/>
              </w:rPr>
              <w:fldChar w:fldCharType="end"/>
            </w:r>
          </w:p>
        </w:tc>
        <w:tc>
          <w:tcPr>
            <w:tcW w:w="3855" w:type="dxa"/>
            <w:vMerge/>
            <w:shd w:val="clear" w:color="auto" w:fill="auto"/>
            <w:tcMar>
              <w:top w:w="100" w:type="dxa"/>
              <w:left w:w="100" w:type="dxa"/>
              <w:bottom w:w="100" w:type="dxa"/>
              <w:right w:w="100" w:type="dxa"/>
            </w:tcMar>
          </w:tcPr>
          <w:p w14:paraId="7FCF2147"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tcPr>
          <w:p w14:paraId="483C97A1" w14:textId="77777777" w:rsidR="00F679C0" w:rsidRPr="00B51293" w:rsidRDefault="00F679C0">
            <w:pPr>
              <w:widowControl w:val="0"/>
              <w:spacing w:line="240" w:lineRule="auto"/>
              <w:rPr>
                <w:rFonts w:ascii="Times New Roman" w:hAnsi="Times New Roman" w:cs="Times New Roman"/>
                <w:color w:val="000000" w:themeColor="text1"/>
                <w:sz w:val="16"/>
                <w:szCs w:val="16"/>
              </w:rPr>
            </w:pPr>
          </w:p>
          <w:p w14:paraId="5791D89F"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0.4</w:t>
            </w:r>
          </w:p>
        </w:tc>
      </w:tr>
      <w:tr w:rsidR="00932369" w:rsidRPr="00B51293" w14:paraId="0E6D51EB" w14:textId="77777777">
        <w:trPr>
          <w:trHeight w:val="440"/>
        </w:trPr>
        <w:tc>
          <w:tcPr>
            <w:tcW w:w="2130" w:type="dxa"/>
            <w:shd w:val="clear" w:color="auto" w:fill="auto"/>
            <w:tcMar>
              <w:top w:w="100" w:type="dxa"/>
              <w:left w:w="100" w:type="dxa"/>
              <w:bottom w:w="100" w:type="dxa"/>
              <w:right w:w="100" w:type="dxa"/>
            </w:tcMar>
          </w:tcPr>
          <w:p w14:paraId="039A4305"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time_inf_to_symp_mean_sd</w:t>
            </w:r>
          </w:p>
        </w:tc>
        <w:tc>
          <w:tcPr>
            <w:tcW w:w="2595" w:type="dxa"/>
            <w:vMerge w:val="restart"/>
            <w:shd w:val="clear" w:color="auto" w:fill="auto"/>
            <w:tcMar>
              <w:top w:w="100" w:type="dxa"/>
              <w:left w:w="100" w:type="dxa"/>
              <w:bottom w:w="100" w:type="dxa"/>
              <w:right w:w="100" w:type="dxa"/>
            </w:tcMar>
          </w:tcPr>
          <w:p w14:paraId="5009CF29"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Standard deviation in estimates of mean and standard deviation time to symptom onset from infection </w:t>
            </w:r>
          </w:p>
        </w:tc>
        <w:tc>
          <w:tcPr>
            <w:tcW w:w="4455" w:type="dxa"/>
            <w:vMerge w:val="restart"/>
            <w:shd w:val="clear" w:color="auto" w:fill="auto"/>
            <w:tcMar>
              <w:top w:w="100" w:type="dxa"/>
              <w:left w:w="100" w:type="dxa"/>
              <w:bottom w:w="100" w:type="dxa"/>
              <w:right w:w="100" w:type="dxa"/>
            </w:tcMar>
          </w:tcPr>
          <w:p w14:paraId="235D4884" w14:textId="363D1E40"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Incubation period: mean of 5.1 days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{"citationID":"ANdWvMgy","properties":{"formattedCitation":"(4)","plainCitation":"(4)","noteIndex":0},"citationItems":[{"id":16183,"uris":["http://zotero.org/groups/2623950/items/WG98B9KA"],"itemData":{"id":16183,"type":"article-journal","abstract":"Background: A novel human coronavirus, severe acute respiratory syndrome coronavirus 2 (SARS-CoV-2), was identified in China in December 2019. There is limited support for many of its key epidemiologic features, including the incubation period for clinical disease (coronavirus disease 2019 [COVID-19]), which has important implications for surveillance and control activities.\nObjective: To estimate the length of the incubation period of COVID-19 and describe its public health implications.\nDesign: Pooled analysis of confirmed COVID-19 cases reported between 4 January 2020 and 24 February 2020.\nSetting: News reports and press releases from 50 provinces, regions, and countries outside Wuhan, Hubei province, China.\nParticipants: Persons with confirmed SARS-CoV-2 infection outside Hubei province, China.\nMeasurements: Patient demographic characteristics and dates and times of possible exposure, symptom onset, fever onset, and hospitalization.\nResults: There were 181 confirmed cases with identifiable exposure and symptom onset windows to estimate the incubation period of COVID-19. The median incubation period was estimated to be 5.1 days (95% CI, 4.5 to 5.8 days), and 97.5% of those who develop symptoms will do so within 11.5 days (CI, 8.2 to 15.6 days) of infection. These estimates imply that, under conservative assumptions, 101 out of every 10 000 cases (99th percentile, 482) will develop symptoms after 14 days of active monitoring or quarantine.\nLimitation: Publicly reported cases may overrepresent severe cases, the incubation period for which may differ from that of mild cases.\nConclusion: This work provides additional evidence for a median incubation period for COVID-19 of approximately 5 days, similar to SARS. Our results support current proposals for the length of quarantine or active monitoring of persons potentially exposed to SARS-CoV-2, although longer monitoring periods might be justified in extreme cases.\nPrimary Funding Source: U.S. Centers for Disease Control and Prevention, National Institute of Allergy and Infectious Diseases, National Institute of General Medical Sciences, and Alexander von Humboldt Foundation.","container-title":"Annals of Internal Medicine","DOI":"10.7326/M20-0504","ISSN":"1539-3704","issue":"9","journalAbbreviation":"Ann Intern Med","language":"eng","note":"PMID: 32150748\nPMCID: PMC7081172","page":"577-582","source":"PubMed","title":"The Incubation Period of Coronavirus Disease 2019 (COVID-19) From Publicly Reported Confirmed Cases: Estimation and Application","title-short":"The Incubation Period of Coronavirus Disease 2019 (COVID-19) From Publicly Reported Confirmed Cases","volume":"172","author":[{"family":"Lauer","given":"Stephen A."},{"family":"Grantz","given":"Kyra H."},{"family":"Bi","given":"Qifang"},{"family":"Jones","given":"Forrest K."},{"family":"Zheng","given":"Qulu"},{"family":"Meredith","given":"Hannah R."},{"family":"Azman","given":"Andrew S."},{"family":"Reich","given":"Nicholas G."},{"family":"Lessler","given":"Justin"}],"issued":{"date-parts":[["2020",5,5]]}}}],"schema":"https://github.com/citation-style-language/schema/raw/master/csl-citation.json"}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(4)</w:t>
            </w:r>
            <w:r w:rsidRPr="00B51293">
              <w:rPr>
                <w:rFonts w:ascii="Times New Roman" w:hAnsi="Times New Roman" w:cs="Times New Roman"/>
                <w:color w:val="000000" w:themeColor="text1"/>
                <w:sz w:val="16"/>
                <w:szCs w:val="16"/>
              </w:rPr>
              <w:fldChar w:fldCharType="end"/>
            </w:r>
          </w:p>
        </w:tc>
        <w:tc>
          <w:tcPr>
            <w:tcW w:w="3855" w:type="dxa"/>
            <w:shd w:val="clear" w:color="auto" w:fill="auto"/>
            <w:tcMar>
              <w:top w:w="100" w:type="dxa"/>
              <w:left w:w="100" w:type="dxa"/>
              <w:bottom w:w="100" w:type="dxa"/>
              <w:right w:w="100" w:type="dxa"/>
            </w:tcMar>
          </w:tcPr>
          <w:p w14:paraId="4CB3A3A7"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Taken from range from Lauer et al </w:t>
            </w:r>
          </w:p>
        </w:tc>
        <w:tc>
          <w:tcPr>
            <w:tcW w:w="1770" w:type="dxa"/>
            <w:shd w:val="clear" w:color="auto" w:fill="auto"/>
            <w:tcMar>
              <w:top w:w="100" w:type="dxa"/>
              <w:left w:w="100" w:type="dxa"/>
              <w:bottom w:w="100" w:type="dxa"/>
              <w:right w:w="100" w:type="dxa"/>
            </w:tcMar>
          </w:tcPr>
          <w:p w14:paraId="229A243F"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0.064</w:t>
            </w:r>
          </w:p>
        </w:tc>
      </w:tr>
      <w:tr w:rsidR="00932369" w:rsidRPr="00B51293" w14:paraId="4CABD6D0" w14:textId="77777777">
        <w:trPr>
          <w:trHeight w:val="440"/>
        </w:trPr>
        <w:tc>
          <w:tcPr>
            <w:tcW w:w="2130" w:type="dxa"/>
          </w:tcPr>
          <w:p w14:paraId="12EC4D5C" w14:textId="77777777" w:rsidR="00F679C0" w:rsidRPr="00B51293" w:rsidRDefault="00F679C0">
            <w:pPr>
              <w:widowControl w:val="0"/>
              <w:spacing w:line="240" w:lineRule="auto"/>
              <w:rPr>
                <w:rFonts w:ascii="Times New Roman" w:hAnsi="Times New Roman" w:cs="Times New Roman"/>
                <w:i/>
                <w:color w:val="000000" w:themeColor="text1"/>
                <w:sz w:val="16"/>
                <w:szCs w:val="16"/>
              </w:rPr>
            </w:pPr>
          </w:p>
          <w:p w14:paraId="0E60839D"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time_inf_to_symp_sd_sd</w:t>
            </w:r>
          </w:p>
        </w:tc>
        <w:tc>
          <w:tcPr>
            <w:tcW w:w="2595" w:type="dxa"/>
            <w:vMerge/>
            <w:shd w:val="clear" w:color="auto" w:fill="auto"/>
            <w:tcMar>
              <w:top w:w="100" w:type="dxa"/>
              <w:left w:w="100" w:type="dxa"/>
              <w:bottom w:w="100" w:type="dxa"/>
              <w:right w:w="100" w:type="dxa"/>
            </w:tcMar>
          </w:tcPr>
          <w:p w14:paraId="27A5D290"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vMerge/>
            <w:shd w:val="clear" w:color="auto" w:fill="auto"/>
            <w:tcMar>
              <w:top w:w="100" w:type="dxa"/>
              <w:left w:w="100" w:type="dxa"/>
              <w:bottom w:w="100" w:type="dxa"/>
              <w:right w:w="100" w:type="dxa"/>
            </w:tcMar>
          </w:tcPr>
          <w:p w14:paraId="1F8B9E74" w14:textId="77777777" w:rsidR="00F679C0" w:rsidRPr="00B51293" w:rsidRDefault="00F679C0">
            <w:pPr>
              <w:spacing w:line="240" w:lineRule="auto"/>
              <w:rPr>
                <w:rFonts w:ascii="Times New Roman" w:hAnsi="Times New Roman" w:cs="Times New Roman"/>
                <w:color w:val="000000" w:themeColor="text1"/>
                <w:sz w:val="16"/>
                <w:szCs w:val="16"/>
              </w:rPr>
            </w:pPr>
          </w:p>
        </w:tc>
        <w:tc>
          <w:tcPr>
            <w:tcW w:w="3855" w:type="dxa"/>
            <w:shd w:val="clear" w:color="auto" w:fill="auto"/>
            <w:tcMar>
              <w:top w:w="100" w:type="dxa"/>
              <w:left w:w="100" w:type="dxa"/>
              <w:bottom w:w="100" w:type="dxa"/>
              <w:right w:w="100" w:type="dxa"/>
            </w:tcMar>
          </w:tcPr>
          <w:p w14:paraId="4A4A8E33"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shd w:val="clear" w:color="auto" w:fill="auto"/>
            <w:tcMar>
              <w:top w:w="100" w:type="dxa"/>
              <w:left w:w="100" w:type="dxa"/>
              <w:bottom w:w="100" w:type="dxa"/>
              <w:right w:w="100" w:type="dxa"/>
            </w:tcMar>
          </w:tcPr>
          <w:p w14:paraId="293E0E00"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0.0691</w:t>
            </w:r>
          </w:p>
        </w:tc>
      </w:tr>
      <w:tr w:rsidR="00932369" w:rsidRPr="00B51293" w14:paraId="5FAE87BF" w14:textId="77777777">
        <w:trPr>
          <w:trHeight w:val="440"/>
        </w:trPr>
        <w:tc>
          <w:tcPr>
            <w:tcW w:w="2130" w:type="dxa"/>
            <w:shd w:val="clear" w:color="auto" w:fill="auto"/>
            <w:tcMar>
              <w:top w:w="100" w:type="dxa"/>
              <w:left w:w="100" w:type="dxa"/>
              <w:bottom w:w="100" w:type="dxa"/>
              <w:right w:w="100" w:type="dxa"/>
            </w:tcMar>
          </w:tcPr>
          <w:p w14:paraId="775CC7F8"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time_symp_to_hosp_meanlog</w:t>
            </w:r>
          </w:p>
        </w:tc>
        <w:tc>
          <w:tcPr>
            <w:tcW w:w="2595" w:type="dxa"/>
            <w:vMerge w:val="restart"/>
            <w:shd w:val="clear" w:color="auto" w:fill="auto"/>
            <w:tcMar>
              <w:top w:w="100" w:type="dxa"/>
              <w:left w:w="100" w:type="dxa"/>
              <w:bottom w:w="100" w:type="dxa"/>
              <w:right w:w="100" w:type="dxa"/>
            </w:tcMar>
          </w:tcPr>
          <w:p w14:paraId="3D707034"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Time to hospitalisation from symptom onset </w:t>
            </w:r>
          </w:p>
        </w:tc>
        <w:tc>
          <w:tcPr>
            <w:tcW w:w="4455" w:type="dxa"/>
            <w:vMerge w:val="restart"/>
            <w:shd w:val="clear" w:color="auto" w:fill="auto"/>
            <w:tcMar>
              <w:top w:w="100" w:type="dxa"/>
              <w:left w:w="100" w:type="dxa"/>
              <w:bottom w:w="100" w:type="dxa"/>
              <w:right w:w="100" w:type="dxa"/>
            </w:tcMar>
          </w:tcPr>
          <w:p w14:paraId="1D8D3F27" w14:textId="168D6F0F"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Gamma distribution, shape parameter equal to the mean of 7 days (standard deviation 2.65) “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C2qs4paQ","properties":{"formattedCitation":"(6)","plainCitation":"(6)","noteIndex":0},"citationItems":[{"id":16179,"uris":["http://zotero.org/groups/2623950/items/M9DMFT5H"],"itemData":{"id":16179,"type":"article-journal","abstract":"&lt;h2&gt;Summary&lt;/h2&gt;&lt;h3&gt;Background&lt;/h3&gt;&lt;p&gt;Non-pharmaceutical interventions have been implemented to reduce transmission of severe acute respiratory syndrome coronavirus 2 (SARS-CoV-2) in the UK. Projecting the size of an unmitigated epidemic and the potential effect of different control measures has been crucial to support evidence-based policy making during the early stages of the epidemic. This study assesses the potential impact of different control measures for mitigating the burden of COVID-19 in the UK.&lt;/p&gt;&lt;h3&gt;Methods&lt;/h3&gt;&lt;p&gt;We used a stochastic age-structured transmission model to explore a range of intervention scenarios, tracking 66·4 million people aggregated to 186 county-level administrative units in England, Wales, Scotland, and Northern Ireland. The four base interventions modelled were school closures, physical distancing, shielding of people aged 70 years or older, and self-isolation of symptomatic cases. We also modelled the combination of these interventions, as well as a programme of intensive interventions with phased lockdown-type restrictions that substantially limited contacts outside of the home for repeated periods. We simulated different triggers for the introduction of interventions, and estimated the impact of varying adherence to interventions across counties. For each scenario, we projected estimated new cases over time, patients requiring inpatient and critical care (ie, admission to the intensive care units [ICU]) treatment, and deaths, and compared the effect of each intervention on the basic reproduction number, &lt;i&gt;R&lt;/i&gt;&lt;sub&gt;0&lt;/sub&gt;.&lt;/p&gt;&lt;h3&gt;Findings&lt;/h3&gt;&lt;p&gt;We projected a median unmitigated burden of 23 million (95% prediction interval 13–30) clinical cases and 350 000 deaths (170 000–480 000) due to COVID-19 in the UK by December, 2021. We found that the four base interventions were each likely to decrease &lt;i&gt;R&lt;/i&gt;&lt;sub&gt;0&lt;/sub&gt;, but not sufficiently to prevent ICU demand from exceeding health service capacity. The combined intervention was more effective at reducing &lt;i&gt;R&lt;/i&gt;&lt;sub&gt;0&lt;/sub&gt;, but only lockdown periods were sufficient to bring &lt;i&gt;R&lt;/i&gt;&lt;sub&gt;0&lt;/sub&gt; near or below 1; the most stringent lockdown scenario resulted in a projected 120 000 cases (46 000–700 000) and 50 000 deaths (9300–160 000). Intensive interventions with lockdown periods would need to be in place for a large proportion of the coming year to prevent health-care demand exceeding availability.&lt;/p&gt;&lt;h3&gt;Interpretation&lt;/h3&gt;&lt;p&gt;The characteristics of SARS-CoV-2 mean that extreme measures are probably required to bring the epidemic under control and to prevent very large numbers of deaths and an excess of demand on hospital beds, especially those in ICUs.&lt;/p&gt;&lt;h3&gt;Funding&lt;/h3&gt;&lt;p&gt;Medical Research Council.&lt;/p&gt;","container-title":"The Lancet Public Health","DOI":"10.1016/S2468-2667(20)30133-X","ISSN":"2468-2667","issue":"7","journalAbbreviation":"The Lancet Public Health","language":"English","note":"publisher: Elsevier\nPMID: 32502389","page":"e375-e385","source":"www.thelancet.com","title":"Effects of non-pharmaceutical interventions on COVID-19 cases, deaths, and demand for hospital services in the UK: a modelling study","title-short":"Effects of non-pharmaceutical interventions on COVID-19 cases, deaths, and demand for hospital services in the UK","volume":"5","author":[{"family":"Davies","given":"Nicholas G."},{"family":"Kucharski","given":"Adam J."},{"family":"Eggo","given":"Rosalind M."},{"family":"Gimma","given":"Amy"},{"family":"Edmunds","given":"W. John"},{"family":"Jombart","given":"Thibaut"},{"family":"O'Reilly","given":"Kathleen"},{"family":"Endo","given":"Akira"},{"family":"Hellewell","given":"Joel"},{"family":"Nightingale","given":"Emily S."},{"family":"Quilty","given":"Billy J."},{"family":"Jarvis","given":"Christopher I."},{"family":"Russell","given":"Timothy W."},{"family":"Klepac","given":"Petra"},{"family":"Bosse","given":"Nikos I."},{"family":"Funk","given":"Sebastian"},{"family":"Abbott","given":"Sam"},{"family":"Medley","given":"Graham F."},{"family":"Gibbs","given":"Hamish"},{"family":"Pearson","given":"Carl A. B."},{"family":"Flasche","given":"Stefan"},{"family":"Jit","given":"Mark"},{"family":"Clifford","given":"Samuel"},{"family":"Prem","given":"Kiesha"},{"family":"Diamond","given":"Charlie"},{"family":"Emery","given":"Jon"},{"family":"Deol","given":"Arminder K."},{"family":"Procter","given":"Simon R."},{"family":"Zandvoort","given":"Kevin","dropping-particle":"van"},{"family":"Sun","given":"Yueqian Fiona"},{"family":"Munday","given":"James D."},{"family":"Rosello","given":"Alicia"},{"family":"Auzenbergs","given":"Megan"},{"family":"Knight","given":"Gwen"},{"family":"Houben","given":"Rein M. G. J."},{"family":"Liu","given":"Yang"}],"issued":{"date-parts":[["2020",7,1]]}}}],"schema":"https://github.com/citation-style-language/schema/raw/master/csl-citation.json"}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(6)</w:t>
            </w:r>
            <w:r w:rsidRPr="00B51293">
              <w:rPr>
                <w:rFonts w:ascii="Times New Roman" w:hAnsi="Times New Roman" w:cs="Times New Roman"/>
                <w:color w:val="000000" w:themeColor="text1"/>
                <w:sz w:val="16"/>
                <w:szCs w:val="16"/>
              </w:rPr>
              <w:fldChar w:fldCharType="end"/>
            </w:r>
          </w:p>
        </w:tc>
        <w:tc>
          <w:tcPr>
            <w:tcW w:w="3855" w:type="dxa"/>
            <w:vMerge w:val="restart"/>
            <w:shd w:val="clear" w:color="auto" w:fill="auto"/>
            <w:tcMar>
              <w:top w:w="100" w:type="dxa"/>
              <w:left w:w="100" w:type="dxa"/>
              <w:bottom w:w="100" w:type="dxa"/>
              <w:right w:w="100" w:type="dxa"/>
            </w:tcMar>
          </w:tcPr>
          <w:p w14:paraId="4EBC80DA"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Scenario (1) : Log normal distribution fitted to CO-CIN data (mean of 7 days, median 6 days)  </w:t>
            </w:r>
          </w:p>
          <w:p w14:paraId="30A80230" w14:textId="77777777" w:rsidR="00F679C0" w:rsidRPr="00B51293" w:rsidRDefault="00F679C0">
            <w:pPr>
              <w:widowControl w:val="0"/>
              <w:spacing w:line="240" w:lineRule="auto"/>
              <w:rPr>
                <w:rFonts w:ascii="Times New Roman" w:hAnsi="Times New Roman" w:cs="Times New Roman"/>
                <w:color w:val="000000" w:themeColor="text1"/>
                <w:sz w:val="16"/>
                <w:szCs w:val="16"/>
              </w:rPr>
            </w:pPr>
          </w:p>
          <w:p w14:paraId="3868C0DB"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Scenario (2): Gamma distribution as in Davies et al (gamma(7,1))</w:t>
            </w:r>
          </w:p>
          <w:p w14:paraId="25BB6E19" w14:textId="77777777" w:rsidR="00F679C0" w:rsidRPr="00B51293" w:rsidRDefault="00F679C0">
            <w:pPr>
              <w:widowControl w:val="0"/>
              <w:spacing w:line="240" w:lineRule="auto"/>
              <w:rPr>
                <w:rFonts w:ascii="Times New Roman" w:hAnsi="Times New Roman" w:cs="Times New Roman"/>
                <w:color w:val="000000" w:themeColor="text1"/>
                <w:sz w:val="16"/>
                <w:szCs w:val="16"/>
                <w:highlight w:val="yellow"/>
              </w:rPr>
            </w:pPr>
          </w:p>
          <w:p w14:paraId="227B7513" w14:textId="77777777" w:rsidR="00F679C0" w:rsidRPr="00B51293" w:rsidRDefault="00F679C0">
            <w:pPr>
              <w:widowControl w:val="0"/>
              <w:spacing w:line="240" w:lineRule="auto"/>
              <w:rPr>
                <w:rFonts w:ascii="Times New Roman" w:hAnsi="Times New Roman" w:cs="Times New Roman"/>
                <w:color w:val="000000" w:themeColor="text1"/>
                <w:sz w:val="16"/>
                <w:szCs w:val="16"/>
                <w:highlight w:val="yellow"/>
              </w:rPr>
            </w:pPr>
          </w:p>
          <w:p w14:paraId="75471205"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Scenario (3): Log-normal distribution from FF100 data (log-normal(1.44, 0.72))</w:t>
            </w:r>
          </w:p>
          <w:p w14:paraId="428B4BE4"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(See below)</w:t>
            </w:r>
          </w:p>
        </w:tc>
        <w:tc>
          <w:tcPr>
            <w:tcW w:w="1770" w:type="dxa"/>
            <w:shd w:val="clear" w:color="auto" w:fill="auto"/>
            <w:tcMar>
              <w:top w:w="100" w:type="dxa"/>
              <w:left w:w="100" w:type="dxa"/>
              <w:bottom w:w="100" w:type="dxa"/>
              <w:right w:w="100" w:type="dxa"/>
            </w:tcMar>
          </w:tcPr>
          <w:p w14:paraId="74EB5041" w14:textId="77777777" w:rsidR="00F679C0" w:rsidRPr="00B51293" w:rsidRDefault="00F679C0">
            <w:pPr>
              <w:widowControl w:val="0"/>
              <w:spacing w:line="240" w:lineRule="auto"/>
              <w:rPr>
                <w:rFonts w:ascii="Times New Roman" w:hAnsi="Times New Roman" w:cs="Times New Roman"/>
                <w:color w:val="000000" w:themeColor="text1"/>
                <w:sz w:val="16"/>
                <w:szCs w:val="16"/>
              </w:rPr>
            </w:pPr>
          </w:p>
          <w:p w14:paraId="0272B312" w14:textId="77777777"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1.66</w:t>
            </w:r>
          </w:p>
          <w:p w14:paraId="054C6AEC"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r>
      <w:tr w:rsidR="00932369" w:rsidRPr="00B51293" w14:paraId="563B9409" w14:textId="77777777">
        <w:trPr>
          <w:trHeight w:val="440"/>
        </w:trPr>
        <w:tc>
          <w:tcPr>
            <w:tcW w:w="2130" w:type="dxa"/>
            <w:vMerge w:val="restart"/>
            <w:shd w:val="clear" w:color="auto" w:fill="auto"/>
            <w:tcMar>
              <w:top w:w="100" w:type="dxa"/>
              <w:left w:w="100" w:type="dxa"/>
              <w:bottom w:w="100" w:type="dxa"/>
              <w:right w:w="100" w:type="dxa"/>
            </w:tcMar>
          </w:tcPr>
          <w:p w14:paraId="459A9B12"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time_symp_to_hosp_sdlog</w:t>
            </w:r>
          </w:p>
        </w:tc>
        <w:tc>
          <w:tcPr>
            <w:tcW w:w="2595" w:type="dxa"/>
            <w:vMerge/>
            <w:shd w:val="clear" w:color="auto" w:fill="auto"/>
            <w:tcMar>
              <w:top w:w="100" w:type="dxa"/>
              <w:left w:w="100" w:type="dxa"/>
              <w:bottom w:w="100" w:type="dxa"/>
              <w:right w:w="100" w:type="dxa"/>
            </w:tcMar>
          </w:tcPr>
          <w:p w14:paraId="573BD349"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vMerge/>
            <w:shd w:val="clear" w:color="auto" w:fill="auto"/>
            <w:tcMar>
              <w:top w:w="100" w:type="dxa"/>
              <w:left w:w="100" w:type="dxa"/>
              <w:bottom w:w="100" w:type="dxa"/>
              <w:right w:w="100" w:type="dxa"/>
            </w:tcMar>
          </w:tcPr>
          <w:p w14:paraId="2D2577E1" w14:textId="77777777" w:rsidR="00F679C0" w:rsidRPr="00B51293" w:rsidRDefault="00F679C0">
            <w:pPr>
              <w:spacing w:line="240" w:lineRule="auto"/>
              <w:rPr>
                <w:rFonts w:ascii="Times New Roman" w:hAnsi="Times New Roman" w:cs="Times New Roman"/>
                <w:color w:val="000000" w:themeColor="text1"/>
                <w:sz w:val="16"/>
                <w:szCs w:val="16"/>
              </w:rPr>
            </w:pPr>
          </w:p>
        </w:tc>
        <w:tc>
          <w:tcPr>
            <w:tcW w:w="3855" w:type="dxa"/>
            <w:vMerge/>
            <w:shd w:val="clear" w:color="auto" w:fill="auto"/>
            <w:tcMar>
              <w:top w:w="100" w:type="dxa"/>
              <w:left w:w="100" w:type="dxa"/>
              <w:bottom w:w="100" w:type="dxa"/>
              <w:right w:w="100" w:type="dxa"/>
            </w:tcMar>
          </w:tcPr>
          <w:p w14:paraId="1174BCD8"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vMerge w:val="restart"/>
            <w:shd w:val="clear" w:color="auto" w:fill="auto"/>
            <w:tcMar>
              <w:top w:w="100" w:type="dxa"/>
              <w:left w:w="100" w:type="dxa"/>
              <w:bottom w:w="100" w:type="dxa"/>
              <w:right w:w="100" w:type="dxa"/>
            </w:tcMar>
          </w:tcPr>
          <w:p w14:paraId="467D7699"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0.89</w:t>
            </w:r>
          </w:p>
        </w:tc>
      </w:tr>
      <w:tr w:rsidR="00932369" w:rsidRPr="00B51293" w14:paraId="045BCBF6" w14:textId="77777777">
        <w:trPr>
          <w:trHeight w:val="440"/>
        </w:trPr>
        <w:tc>
          <w:tcPr>
            <w:tcW w:w="2130" w:type="dxa"/>
            <w:vMerge/>
            <w:shd w:val="clear" w:color="auto" w:fill="auto"/>
            <w:tcMar>
              <w:top w:w="100" w:type="dxa"/>
              <w:left w:w="100" w:type="dxa"/>
              <w:bottom w:w="100" w:type="dxa"/>
              <w:right w:w="100" w:type="dxa"/>
            </w:tcMar>
          </w:tcPr>
          <w:p w14:paraId="46AB0FE9" w14:textId="77777777" w:rsidR="00F679C0" w:rsidRPr="00B51293" w:rsidRDefault="00F679C0">
            <w:pPr>
              <w:widowControl w:val="0"/>
              <w:spacing w:line="240" w:lineRule="auto"/>
              <w:rPr>
                <w:rFonts w:ascii="Times New Roman" w:hAnsi="Times New Roman" w:cs="Times New Roman"/>
                <w:i/>
                <w:color w:val="000000" w:themeColor="text1"/>
                <w:sz w:val="16"/>
                <w:szCs w:val="16"/>
              </w:rPr>
            </w:pPr>
          </w:p>
        </w:tc>
        <w:tc>
          <w:tcPr>
            <w:tcW w:w="2595" w:type="dxa"/>
            <w:vMerge/>
            <w:shd w:val="clear" w:color="auto" w:fill="auto"/>
            <w:tcMar>
              <w:top w:w="100" w:type="dxa"/>
              <w:left w:w="100" w:type="dxa"/>
              <w:bottom w:w="100" w:type="dxa"/>
              <w:right w:w="100" w:type="dxa"/>
            </w:tcMar>
          </w:tcPr>
          <w:p w14:paraId="2B8E340A"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shd w:val="clear" w:color="auto" w:fill="auto"/>
            <w:tcMar>
              <w:top w:w="100" w:type="dxa"/>
              <w:left w:w="100" w:type="dxa"/>
              <w:bottom w:w="100" w:type="dxa"/>
              <w:right w:w="100" w:type="dxa"/>
            </w:tcMar>
          </w:tcPr>
          <w:p w14:paraId="096F27AC"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Analysis of “first” wave CO-CIN gives a mean of 7.7 days, median = 6 days and a range of 1-129. </w:t>
            </w:r>
          </w:p>
        </w:tc>
        <w:tc>
          <w:tcPr>
            <w:tcW w:w="3855" w:type="dxa"/>
            <w:vMerge/>
            <w:shd w:val="clear" w:color="auto" w:fill="auto"/>
            <w:tcMar>
              <w:top w:w="100" w:type="dxa"/>
              <w:left w:w="100" w:type="dxa"/>
              <w:bottom w:w="100" w:type="dxa"/>
              <w:right w:w="100" w:type="dxa"/>
            </w:tcMar>
          </w:tcPr>
          <w:p w14:paraId="0851A244"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vMerge/>
            <w:shd w:val="clear" w:color="auto" w:fill="auto"/>
            <w:tcMar>
              <w:top w:w="100" w:type="dxa"/>
              <w:left w:w="100" w:type="dxa"/>
              <w:bottom w:w="100" w:type="dxa"/>
              <w:right w:w="100" w:type="dxa"/>
            </w:tcMar>
          </w:tcPr>
          <w:p w14:paraId="3ECAC7B2"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r>
      <w:tr w:rsidR="00932369" w:rsidRPr="00B51293" w14:paraId="1F987611" w14:textId="77777777">
        <w:trPr>
          <w:trHeight w:val="440"/>
        </w:trPr>
        <w:tc>
          <w:tcPr>
            <w:tcW w:w="2130" w:type="dxa"/>
            <w:vMerge/>
            <w:shd w:val="clear" w:color="auto" w:fill="auto"/>
            <w:tcMar>
              <w:top w:w="100" w:type="dxa"/>
              <w:left w:w="100" w:type="dxa"/>
              <w:bottom w:w="100" w:type="dxa"/>
              <w:right w:w="100" w:type="dxa"/>
            </w:tcMar>
          </w:tcPr>
          <w:p w14:paraId="50AC5D1B" w14:textId="77777777" w:rsidR="00F679C0" w:rsidRPr="00B51293" w:rsidRDefault="00F679C0">
            <w:pPr>
              <w:widowControl w:val="0"/>
              <w:spacing w:line="240" w:lineRule="auto"/>
              <w:rPr>
                <w:rFonts w:ascii="Times New Roman" w:hAnsi="Times New Roman" w:cs="Times New Roman"/>
                <w:i/>
                <w:color w:val="000000" w:themeColor="text1"/>
                <w:sz w:val="16"/>
                <w:szCs w:val="16"/>
              </w:rPr>
            </w:pPr>
          </w:p>
        </w:tc>
        <w:tc>
          <w:tcPr>
            <w:tcW w:w="2595" w:type="dxa"/>
            <w:vMerge/>
            <w:shd w:val="clear" w:color="auto" w:fill="auto"/>
            <w:tcMar>
              <w:top w:w="100" w:type="dxa"/>
              <w:left w:w="100" w:type="dxa"/>
              <w:bottom w:w="100" w:type="dxa"/>
              <w:right w:w="100" w:type="dxa"/>
            </w:tcMar>
          </w:tcPr>
          <w:p w14:paraId="7F7CAC3F"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shd w:val="clear" w:color="auto" w:fill="auto"/>
            <w:tcMar>
              <w:top w:w="100" w:type="dxa"/>
              <w:left w:w="100" w:type="dxa"/>
              <w:bottom w:w="100" w:type="dxa"/>
              <w:right w:w="100" w:type="dxa"/>
            </w:tcMar>
          </w:tcPr>
          <w:p w14:paraId="6CE8EC1D" w14:textId="3E627160"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Analysis of first few 100 cases in the UK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{"citationID":"gxegGvit","properties":{"formattedCitation":"(7)","plainCitation":"(7)","noteIndex":0},"citationItems":[{"id":21278,"uris":["http://zotero.org/users/6698211/items/NGCX7JEW"],"itemData":{"id":21278,"type":"article-journal","abstract":"&lt;h3&gt;Abstract&lt;/h3&gt; &lt;h3&gt;Objectives&lt;/h3&gt; &lt;p&gt;Following detection of the first virologically-confirmed cases of COVID-19 in Great Britain, an enhanced surveillance study was initiated by Public Health England to describe the clinical presentation, course of disease and underlying health conditions associated with infection of the first few hundred cases.&lt;/p&gt;&lt;h3&gt;Methods&lt;/h3&gt; &lt;p&gt;Information was collected on the first COVID-19 cases according to the First Few X WHO protocol. Case-control analyses of the sensitivity, specificity and predictive value of symptoms and underlying health conditions associated with infection were conducted. Point prevalences of underlying health conditions among the UK general population were presented.&lt;/p&gt;&lt;h3&gt;Findings&lt;/h3&gt; &lt;p&gt;The majority of FF100 cases were imported (51.4%), of which the majority had recent travel to Italy (71.4%). 24.7% were secondary cases acquired mainly through household contact (40.4%). Children had lower odds of COVID-19 infection compared with the general population.&lt;/p&gt;&lt;p&gt;The clinical presentation of cases was dominated by cough, fever and fatigue. Non-linear relationships with age were observed for fever, and sensitivity and specificity of symptoms varied by age.&lt;/p&gt;&lt;p&gt;Conditions associated with higher odds of COVID-19 infection (after adjusting for age and sex) were chronic heart disease, immunosuppression and multimorbidity.&lt;/p&gt;&lt;h3&gt;Conclusion&lt;/h3&gt; &lt;p&gt;This study presents the first epidemiological and clinical summary of COVID-19 cases in Great Britain. The FFX study design enabled systematic data collection. The study characterized underlying health conditions associated with infection and set relative risks in context with population prevalence estimates. It also provides important evidence for generating case definitions to support public health risk assessment, clinical triage and diagnostic algorithms.&lt;/p&gt;","container-title":"medRxiv","DOI":"10.1101/2020.05.18.20086157","language":"en","note":"publisher: Cold Spring Harbor Laboratory Press","page":"2020.05.18.20086157","source":"www.medrxiv.org","title":"COVID-19 in Great Britain: epidemiological and clinical characteristics of the first few hundred (FF100) cases: a descriptive case series and case control analysis","title-short":"COVID-19 in Great Britain","author":[{"family":"Boddington","given":"Nicola L."},{"family":"Charlett","given":"Andre"},{"family":"Elgohari","given":"Suzanne"},{"family":"Walker","given":"Jemma L."},{"family":"McDonald","given":"Helen I."},{"family":"Byers","given":"Chloe"},{"family":"Coughlan","given":"Laura"},{"family":"Vilaplana","given":"Tatiana Garcia"},{"family":"Whillock","given":"Rosie"},{"family":"Sinnathamby","given":"Mary"},{"family":"Panagiotopoulos","given":"Nikolaos"},{"family":"Letley","given":"Louise"},{"family":"MacDonald","given":"Pauline"},{"family":"Vivancos","given":"Roberto"},{"family":"Edeghere","given":"Obaghe"},{"family":"Shingleton","given":"Joseph"},{"family":"Bennett","given":"Emma"},{"family":"Grint","given":"Daniel J."},{"family":"Strongman","given":"Helen"},{"family":"Mansfield","given":"Kathryn E."},{"family":"Rentsch","given":"Christopher"},{"family":"Minassian","given":"Caroline"},{"family":"Douglas","given":"Ian J."},{"family":"Mathur","given":"Rohini"},{"family":"Peppa","given":"Maria"},{"family":"Cottrell","given":"Simon"},{"family":"McMenamin","given":"Jim"},{"family":"Zambon","given":"Maria"},{"family":"Ramsay","given":"Mary"},{"family":"Dabrera","given":"Gavin"},{"family":"Saliba","given":"Vanessa"},{"family":"Bernal","given":"Jamie Lopez"}],"issued":{"date-parts":[["2020",5,22]]}}}],"schema":"https://github.com/citation-style-language/schema/raw/master/csl-citation.json"}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(7)</w:t>
            </w:r>
            <w:r w:rsidRPr="00B51293">
              <w:rPr>
                <w:rFonts w:ascii="Times New Roman" w:hAnsi="Times New Roman" w:cs="Times New Roman"/>
                <w:color w:val="000000" w:themeColor="text1"/>
                <w:sz w:val="16"/>
                <w:szCs w:val="16"/>
              </w:rPr>
              <w:fldChar w:fldCharType="end"/>
            </w:r>
          </w:p>
        </w:tc>
        <w:tc>
          <w:tcPr>
            <w:tcW w:w="3855" w:type="dxa"/>
            <w:vMerge/>
            <w:shd w:val="clear" w:color="auto" w:fill="auto"/>
            <w:tcMar>
              <w:top w:w="100" w:type="dxa"/>
              <w:left w:w="100" w:type="dxa"/>
              <w:bottom w:w="100" w:type="dxa"/>
              <w:right w:w="100" w:type="dxa"/>
            </w:tcMar>
          </w:tcPr>
          <w:p w14:paraId="3EB6FEDC"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vMerge/>
            <w:shd w:val="clear" w:color="auto" w:fill="auto"/>
            <w:tcMar>
              <w:top w:w="100" w:type="dxa"/>
              <w:left w:w="100" w:type="dxa"/>
              <w:bottom w:w="100" w:type="dxa"/>
              <w:right w:w="100" w:type="dxa"/>
            </w:tcMar>
          </w:tcPr>
          <w:p w14:paraId="0D5C0E2C"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r>
      <w:tr w:rsidR="00932369" w:rsidRPr="00B51293" w14:paraId="5379B482" w14:textId="77777777">
        <w:trPr>
          <w:trHeight w:val="440"/>
        </w:trPr>
        <w:tc>
          <w:tcPr>
            <w:tcW w:w="4725" w:type="dxa"/>
            <w:gridSpan w:val="2"/>
            <w:shd w:val="clear" w:color="auto" w:fill="auto"/>
            <w:tcMar>
              <w:top w:w="100" w:type="dxa"/>
              <w:left w:w="100" w:type="dxa"/>
              <w:bottom w:w="100" w:type="dxa"/>
              <w:right w:w="100" w:type="dxa"/>
            </w:tcMar>
          </w:tcPr>
          <w:p w14:paraId="36F639FA"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lastRenderedPageBreak/>
              <w:t>Time from symptom onset to hospitalisation</w:t>
            </w:r>
          </w:p>
        </w:tc>
        <w:tc>
          <w:tcPr>
            <w:tcW w:w="4455" w:type="dxa"/>
            <w:shd w:val="clear" w:color="auto" w:fill="auto"/>
            <w:tcMar>
              <w:top w:w="100" w:type="dxa"/>
              <w:left w:w="100" w:type="dxa"/>
              <w:bottom w:w="100" w:type="dxa"/>
              <w:right w:w="100" w:type="dxa"/>
            </w:tcMar>
          </w:tcPr>
          <w:p w14:paraId="1F1AF075"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Approximately 2 weeks</w:t>
            </w:r>
          </w:p>
        </w:tc>
        <w:tc>
          <w:tcPr>
            <w:tcW w:w="5625" w:type="dxa"/>
            <w:gridSpan w:val="2"/>
            <w:shd w:val="clear" w:color="auto" w:fill="auto"/>
            <w:tcMar>
              <w:top w:w="100" w:type="dxa"/>
              <w:left w:w="100" w:type="dxa"/>
              <w:bottom w:w="100" w:type="dxa"/>
              <w:right w:w="100" w:type="dxa"/>
            </w:tcMar>
          </w:tcPr>
          <w:p w14:paraId="67877AAA"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Sum of means = 7 + 5.1 = 12.1 days</w:t>
            </w:r>
          </w:p>
        </w:tc>
      </w:tr>
      <w:tr w:rsidR="00932369" w:rsidRPr="00B51293" w14:paraId="39254CD1" w14:textId="77777777">
        <w:trPr>
          <w:trHeight w:val="440"/>
        </w:trPr>
        <w:tc>
          <w:tcPr>
            <w:tcW w:w="2130" w:type="dxa"/>
            <w:shd w:val="clear" w:color="auto" w:fill="auto"/>
            <w:tcMar>
              <w:top w:w="100" w:type="dxa"/>
              <w:left w:w="100" w:type="dxa"/>
              <w:bottom w:w="100" w:type="dxa"/>
              <w:right w:w="100" w:type="dxa"/>
            </w:tcMar>
          </w:tcPr>
          <w:p w14:paraId="7F0EB684"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R</w:t>
            </w:r>
          </w:p>
        </w:tc>
        <w:tc>
          <w:tcPr>
            <w:tcW w:w="2595" w:type="dxa"/>
            <w:shd w:val="clear" w:color="auto" w:fill="auto"/>
            <w:tcMar>
              <w:top w:w="100" w:type="dxa"/>
              <w:left w:w="100" w:type="dxa"/>
              <w:bottom w:w="100" w:type="dxa"/>
              <w:right w:w="100" w:type="dxa"/>
            </w:tcMar>
          </w:tcPr>
          <w:p w14:paraId="727CD73E"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Average number of secondary infections from one infected individual in the community</w:t>
            </w:r>
          </w:p>
        </w:tc>
        <w:tc>
          <w:tcPr>
            <w:tcW w:w="4455" w:type="dxa"/>
            <w:shd w:val="clear" w:color="auto" w:fill="auto"/>
            <w:tcMar>
              <w:top w:w="100" w:type="dxa"/>
              <w:left w:w="100" w:type="dxa"/>
              <w:bottom w:w="100" w:type="dxa"/>
              <w:right w:w="100" w:type="dxa"/>
            </w:tcMar>
          </w:tcPr>
          <w:p w14:paraId="3A5A57F1" w14:textId="77777777"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Use the time varying estimates of </w:t>
            </w:r>
            <w:r w:rsidRPr="00B51293">
              <w:rPr>
                <w:rFonts w:ascii="Times New Roman" w:hAnsi="Times New Roman" w:cs="Times New Roman"/>
                <w:i/>
                <w:color w:val="000000" w:themeColor="text1"/>
                <w:sz w:val="16"/>
                <w:szCs w:val="16"/>
              </w:rPr>
              <w:t>R</w:t>
            </w:r>
            <w:r w:rsidRPr="00B51293">
              <w:rPr>
                <w:rFonts w:ascii="Times New Roman" w:hAnsi="Times New Roman" w:cs="Times New Roman"/>
                <w:color w:val="000000" w:themeColor="text1"/>
                <w:sz w:val="16"/>
                <w:szCs w:val="16"/>
              </w:rPr>
              <w:t xml:space="preserve"> from </w:t>
            </w:r>
            <w:r w:rsidRPr="00B51293">
              <w:rPr>
                <w:rFonts w:ascii="Times New Roman" w:hAnsi="Times New Roman" w:cs="Times New Roman"/>
                <w:i/>
                <w:color w:val="000000" w:themeColor="text1"/>
                <w:sz w:val="16"/>
                <w:szCs w:val="16"/>
              </w:rPr>
              <w:t>epiforecasts.io</w:t>
            </w:r>
            <w:r w:rsidRPr="00B51293">
              <w:rPr>
                <w:rFonts w:ascii="Times New Roman" w:hAnsi="Times New Roman" w:cs="Times New Roman"/>
                <w:color w:val="000000" w:themeColor="text1"/>
                <w:sz w:val="16"/>
                <w:szCs w:val="16"/>
              </w:rPr>
              <w:t xml:space="preserve"> as well as constants </w:t>
            </w:r>
          </w:p>
        </w:tc>
        <w:tc>
          <w:tcPr>
            <w:tcW w:w="3855" w:type="dxa"/>
            <w:shd w:val="clear" w:color="auto" w:fill="auto"/>
            <w:tcMar>
              <w:top w:w="100" w:type="dxa"/>
              <w:left w:w="100" w:type="dxa"/>
              <w:bottom w:w="100" w:type="dxa"/>
              <w:right w:w="100" w:type="dxa"/>
            </w:tcMar>
          </w:tcPr>
          <w:p w14:paraId="36EC7A1D"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Constant or time varying estimate</w:t>
            </w:r>
          </w:p>
        </w:tc>
        <w:tc>
          <w:tcPr>
            <w:tcW w:w="1770" w:type="dxa"/>
            <w:shd w:val="clear" w:color="auto" w:fill="auto"/>
            <w:tcMar>
              <w:top w:w="100" w:type="dxa"/>
              <w:left w:w="100" w:type="dxa"/>
              <w:bottom w:w="100" w:type="dxa"/>
              <w:right w:w="100" w:type="dxa"/>
            </w:tcMar>
          </w:tcPr>
          <w:p w14:paraId="291581E7"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0.8, 1.2 and “rt”</w:t>
            </w:r>
          </w:p>
        </w:tc>
      </w:tr>
      <w:tr w:rsidR="00932369" w:rsidRPr="00B51293" w14:paraId="3F885ED2" w14:textId="77777777">
        <w:trPr>
          <w:trHeight w:val="440"/>
        </w:trPr>
        <w:tc>
          <w:tcPr>
            <w:tcW w:w="2130" w:type="dxa"/>
            <w:shd w:val="clear" w:color="auto" w:fill="auto"/>
            <w:tcMar>
              <w:top w:w="100" w:type="dxa"/>
              <w:left w:w="100" w:type="dxa"/>
              <w:bottom w:w="100" w:type="dxa"/>
              <w:right w:w="100" w:type="dxa"/>
            </w:tcMar>
          </w:tcPr>
          <w:p w14:paraId="6700B5DB"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infectious_shape</w:t>
            </w:r>
          </w:p>
        </w:tc>
        <w:tc>
          <w:tcPr>
            <w:tcW w:w="2595" w:type="dxa"/>
            <w:vMerge w:val="restart"/>
            <w:shd w:val="clear" w:color="auto" w:fill="auto"/>
            <w:tcMar>
              <w:top w:w="100" w:type="dxa"/>
              <w:left w:w="100" w:type="dxa"/>
              <w:bottom w:w="100" w:type="dxa"/>
              <w:right w:w="100" w:type="dxa"/>
            </w:tcMar>
          </w:tcPr>
          <w:p w14:paraId="214D7AC9"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Time period over which an infected individual is infectious (time from exposure to infection)</w:t>
            </w:r>
          </w:p>
        </w:tc>
        <w:tc>
          <w:tcPr>
            <w:tcW w:w="4455" w:type="dxa"/>
            <w:shd w:val="clear" w:color="auto" w:fill="auto"/>
            <w:tcMar>
              <w:top w:w="100" w:type="dxa"/>
              <w:left w:w="100" w:type="dxa"/>
              <w:bottom w:w="100" w:type="dxa"/>
              <w:right w:w="100" w:type="dxa"/>
            </w:tcMar>
          </w:tcPr>
          <w:p w14:paraId="346C3DE6" w14:textId="679BB55C" w:rsidR="00F679C0" w:rsidRPr="00B51293" w:rsidRDefault="00E45E40">
            <w:pPr>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Duration of clinical infectiousness: gamma (shape=3.5, scale = 4)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KDDs4620","properties":{"formattedCitation":"(6)","plainCitation":"(6)","noteIndex":0},"citationItems":[{"id":16179,"uris":["http://zotero.org/groups/2623950/items/M9DMFT5H"],"itemData":{"id":16179,"type":"article-journal","abstract":"&lt;h2&gt;Summary&lt;/h2&gt;&lt;h3&gt;Background&lt;/h3&gt;&lt;p&gt;Non-pharmaceutical interventions have been implemented to reduce transmission of severe acute respiratory syndrome coronavirus 2 (SARS-CoV-2) in the UK. Projecting the size of an unmitigated epidemic and the potential effect of different control measures has been crucial to support evidence-based policy making during the early stages of the epidemic. This study assesses the potential impact of different control measures for mitigating the burden of COVID-19 in the UK.&lt;/p&gt;&lt;h3&gt;Methods&lt;/h3&gt;&lt;p&gt;We used a stochastic age-structured transmission model to explore a range of intervention scenarios, tracking 66·4 million people aggregated to 186 county-level administrative units in England, Wales, Scotland, and Northern Ireland. The four base interventions modelled were school closures, physical distancing, shielding of people aged 70 years or older, and self-isolation of symptomatic cases. We also modelled the combination of these interventions, as well as a programme of intensive interventions with phased lockdown-type restrictions that substantially limited contacts outside of the home for repeated periods. We simulated different triggers for the introduction of interventions, and estimated the impact of varying adherence to interventions across counties. For each scenario, we projected estimated new cases over time, patients requiring inpatient and critical care (ie, admission to the intensive care units [ICU]) treatment, and deaths, and compared the effect of each intervention on the basic reproduction number, &lt;i&gt;R&lt;/i&gt;&lt;sub&gt;0&lt;/sub&gt;.&lt;/p&gt;&lt;h3&gt;Findings&lt;/h3&gt;&lt;p&gt;We projected a median unmitigated burden of 23 million (95% prediction interval 13–30) clinical cases and 350 000 deaths (170 000–480 000) due to COVID-19 in the UK by December, 2021. We found that the four base interventions were each likely to decrease &lt;i&gt;R&lt;/i&gt;&lt;sub&gt;0&lt;/sub&gt;, but not sufficiently to prevent ICU demand from exceeding health service capacity. The combined intervention was more effective at reducing &lt;i&gt;R&lt;/i&gt;&lt;sub&gt;0&lt;/sub&gt;, but only lockdown periods were sufficient to bring &lt;i&gt;R&lt;/i&gt;&lt;sub&gt;0&lt;/sub&gt; near or below 1; the most stringent lockdown scenario resulted in a projected 120 000 cases (46 000–700 000) and 50 000 deaths (9300–160 000). Intensive interventions with lockdown periods would need to be in place for a large proportion of the coming year to prevent health-care demand exceeding availability.&lt;/p&gt;&lt;h3&gt;Interpretation&lt;/h3&gt;&lt;p&gt;The characteristics of SARS-CoV-2 mean that extreme measures are probably required to bring the epidemic under control and to prevent very large numbers of deaths and an excess of demand on hospital beds, especially those in ICUs.&lt;/p&gt;&lt;h3&gt;Funding&lt;/h3&gt;&lt;p&gt;Medical Research Council.&lt;/p&gt;","container-title":"The Lancet Public Health","DOI":"10.1016/S2468-2667(20)30133-X","ISSN":"2468-2667","issue":"7","journalAbbreviation":"The Lancet Public Health","language":"English","note":"publisher: Elsevier\nPMID: 32502389","page":"e375-e385","source":"www.thelancet.com","title":"Effects of non-pharmaceutical interventions on COVID-19 cases, deaths, and demand for hospital services in the UK: a modelling study","title-short":"Effects of non-pharmaceutical interventions on COVID-19 cases, deaths, and demand for hospital services in the UK","volume":"5","author":[{"family":"Davies","given":"Nicholas G."},{"family":"Kucharski","given":"Adam J."},{"family":"Eggo","given":"Rosalind M."},{"family":"Gimma","given":"Amy"},{"family":"Edmunds","given":"W. John"},{"family":"Jombart","given":"Thibaut"},{"family":"O'Reilly","given":"Kathleen"},{"family":"Endo","given":"Akira"},{"family":"Hellewell","given":"Joel"},{"family":"Nightingale","given":"Emily S."},{"family":"Quilty","given":"Billy J."},{"family":"Jarvis","given":"Christopher I."},{"family":"Russell","given":"Timothy W."},{"family":"Klepac","given":"Petra"},{"family":"Bosse","given":"Nikos I."},{"family":"Funk","given":"Sebastian"},{"family":"Abbott","given":"Sam"},{"family":"Medley","given":"Graham F."},{"family":"Gibbs","given":"Hamish"},{"family":"Pearson","given":"Carl A. B."},{"family":"Flasche","given":"Stefan"},{"family":"Jit","given":"Mark"},{"family":"Clifford","given":"Samuel"},{"family":"Prem","given":"Kiesha"},{"family":"Diamond","given":"Charlie"},{"family":"Emery","given":"Jon"},{"family":"Deol","given":"Arminder K."},{"family":"Procter","given":"Simon R."},{"family":"Zandvoort","given":"Kevin","dropping-particle":"van"},{"family":"Sun","given":"Yueqian Fiona"},{"family":"Munday","given":"James D."},{"family":"Rosello","given":"Alicia"},{"family":"Auzenbergs","given":"Megan"},{"family":"Knight","given":"Gwen"},{"family":"Houben","given":"Rein M. G. J."},{"family":"Liu","given":"Yang"}],"issued":{"date-parts":[["2020",7,1]]}}}],"schema":"https://github.com/citation-style-language/schema/raw/master/csl-citation.json"}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(6)</w:t>
            </w:r>
            <w:r w:rsidRPr="00B51293">
              <w:rPr>
                <w:rFonts w:ascii="Times New Roman" w:hAnsi="Times New Roman" w:cs="Times New Roman"/>
                <w:color w:val="000000" w:themeColor="text1"/>
                <w:sz w:val="16"/>
                <w:szCs w:val="16"/>
              </w:rPr>
              <w:fldChar w:fldCharType="end"/>
            </w:r>
          </w:p>
        </w:tc>
        <w:tc>
          <w:tcPr>
            <w:tcW w:w="3855" w:type="dxa"/>
            <w:vMerge w:val="restart"/>
            <w:shd w:val="clear" w:color="auto" w:fill="auto"/>
            <w:tcMar>
              <w:top w:w="100" w:type="dxa"/>
              <w:left w:w="100" w:type="dxa"/>
              <w:bottom w:w="100" w:type="dxa"/>
              <w:right w:w="100" w:type="dxa"/>
            </w:tcMar>
          </w:tcPr>
          <w:p w14:paraId="378F61F8" w14:textId="36A1A144"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Taken to be as in Davies et al as a balance between underestimating due to lack of pre-clinical period vs. an overestimate if look at serial interval estimates (3 - 6 days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{"citationID":"a1n2gbm5pm2","properties":{"formattedCitation":"(8)","plainCitation":"(8)","noteIndex":0},"citationItems":[{"id":21091,"uris":["http://zotero.org/users/6698211/items/NPV3J773"],"itemData":{"id":21091,"type":"article-journal","abstract":"The serial interval is the time between symptom onsets in an infector–infectee pair. The generation time, also known as the generation interval, is the time between infection events in an infector–infectee pair. The serial interval and the generation time are key parameters for assessing the dynamics of a disease. A number of scientific papers reported information pertaining to the serial interval and/or generation time for COVID-19.\nObjective Conduct a review of available evidence to advise on appropriate parameter values for serial interval and generation time in national COVID-19 transmission models for Ireland and on methodological issues relating to those parameters.\nMethods We conducted a rapid review of the literature covering the period 1 January 2020 and 21 August 2020, following predefined eligibility criteria. Forty scientific papers met our inclusion criteria and were included in the review.\nResults The mean of the serial interval ranged from 3.03 to 7.6 days, based on 38 estimates, and the median from 1.0 to 6.0 days (based on 15 estimates). Only three estimates were provided for the mean of the generation time. These ranged from 3.95 to 5.20 days. One estimate of 5.0 days was provided for the median of the generation time.\nDiscussion Estimates of the serial interval and the generation time are very dependent on the specific factors that apply at the time that the data are collected, including the level of social contact. Consequently, the estimates may not be entirely relevant to other environments. Therefore, local estimates should be obtained as soon as possible. Careful consideration should be given to the methodology that is used. Real-time estimations of the serial interval/generation time, allowing for variations over time, may provide more accurate estimates of reproduction numbers than using conventionally fixed serial interval/generation time distributions.","container-title":"BMJ Open","DOI":"10.1136/bmjopen-2020-040263","ISSN":"2044-6055, 2044-6055","issue":"11","language":"en","note":"publisher: British Medical Journal Publishing Group\nsection: Epidemiology\nPMID: 33234640","page":"e040263","source":"bmjopen.bmj.com","title":"Rapid review of available evidence on the serial interval and generation time of COVID-19","volume":"10","author":[{"family":"Griffin","given":"John"},{"family":"Casey","given":"Miriam"},{"family":"Collins","given":"Áine"},{"family":"Hunt","given":"Kevin"},{"family":"McEvoy","given":"David"},{"family":"Byrne","given":"Andrew"},{"family":"McAloon","given":"Conor"},{"family":"Barber","given":"Ann"},{"family":"Lane","given":"Elizabeth Ann"},{"family":"More","given":"Simon"}],"issued":{"date-parts":[["2020",11,1]]}}}],"schema":"https://github.com/citation-style-language/schema/raw/master/csl-citation.json"}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(8)</w:t>
            </w:r>
            <w:r w:rsidRPr="00B51293">
              <w:rPr>
                <w:rFonts w:ascii="Times New Roman" w:hAnsi="Times New Roman" w:cs="Times New Roman"/>
                <w:color w:val="000000" w:themeColor="text1"/>
                <w:sz w:val="16"/>
                <w:szCs w:val="16"/>
              </w:rPr>
              <w:fldChar w:fldCharType="end"/>
            </w:r>
            <w:r w:rsidRPr="00B51293">
              <w:rPr>
                <w:rFonts w:ascii="Times New Roman" w:hAnsi="Times New Roman" w:cs="Times New Roman"/>
                <w:color w:val="000000" w:themeColor="text1"/>
                <w:sz w:val="16"/>
                <w:szCs w:val="16"/>
              </w:rPr>
              <w:t xml:space="preserve">) </w:t>
            </w:r>
          </w:p>
        </w:tc>
        <w:tc>
          <w:tcPr>
            <w:tcW w:w="1770" w:type="dxa"/>
            <w:shd w:val="clear" w:color="auto" w:fill="auto"/>
            <w:tcMar>
              <w:top w:w="100" w:type="dxa"/>
              <w:left w:w="100" w:type="dxa"/>
              <w:bottom w:w="100" w:type="dxa"/>
              <w:right w:w="100" w:type="dxa"/>
            </w:tcMar>
          </w:tcPr>
          <w:p w14:paraId="12AE3087"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4 </w:t>
            </w:r>
          </w:p>
        </w:tc>
      </w:tr>
      <w:tr w:rsidR="00932369" w:rsidRPr="00B51293" w14:paraId="33A8A40F" w14:textId="77777777">
        <w:trPr>
          <w:trHeight w:val="440"/>
        </w:trPr>
        <w:tc>
          <w:tcPr>
            <w:tcW w:w="2130" w:type="dxa"/>
            <w:shd w:val="clear" w:color="auto" w:fill="auto"/>
            <w:tcMar>
              <w:top w:w="100" w:type="dxa"/>
              <w:left w:w="100" w:type="dxa"/>
              <w:bottom w:w="100" w:type="dxa"/>
              <w:right w:w="100" w:type="dxa"/>
            </w:tcMar>
          </w:tcPr>
          <w:p w14:paraId="6DAA6578"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infectious_scale</w:t>
            </w:r>
          </w:p>
        </w:tc>
        <w:tc>
          <w:tcPr>
            <w:tcW w:w="2595" w:type="dxa"/>
            <w:vMerge/>
            <w:shd w:val="clear" w:color="auto" w:fill="auto"/>
            <w:tcMar>
              <w:top w:w="100" w:type="dxa"/>
              <w:left w:w="100" w:type="dxa"/>
              <w:bottom w:w="100" w:type="dxa"/>
              <w:right w:w="100" w:type="dxa"/>
            </w:tcMar>
          </w:tcPr>
          <w:p w14:paraId="3D039BDD"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4455" w:type="dxa"/>
            <w:shd w:val="clear" w:color="auto" w:fill="auto"/>
            <w:tcMar>
              <w:top w:w="100" w:type="dxa"/>
              <w:left w:w="100" w:type="dxa"/>
              <w:bottom w:w="100" w:type="dxa"/>
              <w:right w:w="100" w:type="dxa"/>
            </w:tcMar>
          </w:tcPr>
          <w:p w14:paraId="4E7F3D15" w14:textId="5D2D001E"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 xml:space="preserve">Generation time estimates: 3.95 to 5.20 days </w:t>
            </w:r>
            <w:r w:rsidRPr="00B51293">
              <w:rPr>
                <w:rFonts w:ascii="Times New Roman" w:hAnsi="Times New Roman" w:cs="Times New Roman"/>
                <w:color w:val="000000" w:themeColor="text1"/>
                <w:sz w:val="16"/>
                <w:szCs w:val="16"/>
              </w:rPr>
              <w:fldChar w:fldCharType="begin"/>
            </w:r>
            <w:r w:rsidR="003516A5">
              <w:rPr>
                <w:rFonts w:ascii="Times New Roman" w:hAnsi="Times New Roman" w:cs="Times New Roman"/>
                <w:color w:val="000000" w:themeColor="text1"/>
                <w:sz w:val="16"/>
                <w:szCs w:val="16"/>
              </w:rPr>
              <w:instrText xml:space="preserve"> ADDIN ZOTERO_ITEM CSL_CITATION {"citationID":"zOULUFzs","properties":{"formattedCitation":"(8)","plainCitation":"(8)","noteIndex":0},"citationItems":[{"id":21091,"uris":["http://zotero.org/users/6698211/items/NPV3J773"],"itemData":{"id":21091,"type":"article-journal","abstract":"The serial interval is the time between symptom onsets in an infector–infectee pair. The generation time, also known as the generation interval, is the time between infection events in an infector–infectee pair. The serial interval and the generation time are key parameters for assessing the dynamics of a disease. A number of scientific papers reported information pertaining to the serial interval and/or generation time for COVID-19.\nObjective Conduct a review of available evidence to advise on appropriate parameter values for serial interval and generation time in national COVID-19 transmission models for Ireland and on methodological issues relating to those parameters.\nMethods We conducted a rapid review of the literature covering the period 1 January 2020 and 21 August 2020, following predefined eligibility criteria. Forty scientific papers met our inclusion criteria and were included in the review.\nResults The mean of the serial interval ranged from 3.03 to 7.6 days, based on 38 estimates, and the median from 1.0 to 6.0 days (based on 15 estimates). Only three estimates were provided for the mean of the generation time. These ranged from 3.95 to 5.20 days. One estimate of 5.0 days was provided for the median of the generation time.\nDiscussion Estimates of the serial interval and the generation time are very dependent on the specific factors that apply at the time that the data are collected, including the level of social contact. Consequently, the estimates may not be entirely relevant to other environments. Therefore, local estimates should be obtained as soon as possible. Careful consideration should be given to the methodology that is used. Real-time estimations of the serial interval/generation time, allowing for variations over time, may provide more accurate estimates of reproduction numbers than using conventionally fixed serial interval/generation time distributions.","container-title":"BMJ Open","DOI":"10.1136/bmjopen-2020-040263","ISSN":"2044-6055, 2044-6055","issue":"11","language":"en","note":"publisher: British Medical Journal Publishing Group\nsection: Epidemiology\nPMID: 33234640","page":"e040263","source":"bmjopen.bmj.com","title":"Rapid review of available evidence on the serial interval and generation time of COVID-19","volume":"10","author":[{"family":"Griffin","given":"John"},{"family":"Casey","given":"Miriam"},{"family":"Collins","given":"Áine"},{"family":"Hunt","given":"Kevin"},{"family":"McEvoy","given":"David"},{"family":"Byrne","given":"Andrew"},{"family":"McAloon","given":"Conor"},{"family":"Barber","given":"Ann"},{"family":"Lane","given":"Elizabeth Ann"},{"family":"More","given":"Simon"}],"issued":{"date-parts":[["2020",11,1]]}}}],"schema":"https://github.com/citation-style-language/schema/raw/master/csl-citation.json"} </w:instrText>
            </w:r>
            <w:r w:rsidRPr="00B51293">
              <w:rPr>
                <w:rFonts w:ascii="Times New Roman" w:hAnsi="Times New Roman" w:cs="Times New Roman"/>
                <w:color w:val="000000" w:themeColor="text1"/>
                <w:sz w:val="16"/>
                <w:szCs w:val="16"/>
              </w:rPr>
              <w:fldChar w:fldCharType="separate"/>
            </w:r>
            <w:r w:rsidR="003516A5">
              <w:rPr>
                <w:rFonts w:ascii="Times New Roman" w:hAnsi="Times New Roman" w:cs="Times New Roman"/>
                <w:color w:val="000000" w:themeColor="text1"/>
                <w:sz w:val="16"/>
                <w:szCs w:val="16"/>
              </w:rPr>
              <w:t>(8)</w:t>
            </w:r>
            <w:r w:rsidRPr="00B51293">
              <w:rPr>
                <w:rFonts w:ascii="Times New Roman" w:hAnsi="Times New Roman" w:cs="Times New Roman"/>
                <w:color w:val="000000" w:themeColor="text1"/>
                <w:sz w:val="16"/>
                <w:szCs w:val="16"/>
              </w:rPr>
              <w:fldChar w:fldCharType="end"/>
            </w:r>
          </w:p>
        </w:tc>
        <w:tc>
          <w:tcPr>
            <w:tcW w:w="3855" w:type="dxa"/>
            <w:vMerge/>
            <w:shd w:val="clear" w:color="auto" w:fill="auto"/>
            <w:tcMar>
              <w:top w:w="100" w:type="dxa"/>
              <w:left w:w="100" w:type="dxa"/>
              <w:bottom w:w="100" w:type="dxa"/>
              <w:right w:w="100" w:type="dxa"/>
            </w:tcMar>
          </w:tcPr>
          <w:p w14:paraId="025739A1" w14:textId="77777777" w:rsidR="00F679C0" w:rsidRPr="00B51293" w:rsidRDefault="00F679C0">
            <w:pPr>
              <w:widowControl w:val="0"/>
              <w:spacing w:line="240" w:lineRule="auto"/>
              <w:rPr>
                <w:rFonts w:ascii="Times New Roman" w:hAnsi="Times New Roman" w:cs="Times New Roman"/>
                <w:color w:val="000000" w:themeColor="text1"/>
                <w:sz w:val="16"/>
                <w:szCs w:val="16"/>
              </w:rPr>
            </w:pPr>
          </w:p>
        </w:tc>
        <w:tc>
          <w:tcPr>
            <w:tcW w:w="1770" w:type="dxa"/>
            <w:shd w:val="clear" w:color="auto" w:fill="auto"/>
            <w:tcMar>
              <w:top w:w="100" w:type="dxa"/>
              <w:left w:w="100" w:type="dxa"/>
              <w:bottom w:w="100" w:type="dxa"/>
              <w:right w:w="100" w:type="dxa"/>
            </w:tcMar>
          </w:tcPr>
          <w:p w14:paraId="674A97A6"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0.875 (3.5/4)</w:t>
            </w:r>
          </w:p>
        </w:tc>
      </w:tr>
      <w:tr w:rsidR="00932369" w:rsidRPr="00B51293" w14:paraId="287443E0" w14:textId="77777777">
        <w:trPr>
          <w:trHeight w:val="440"/>
        </w:trPr>
        <w:tc>
          <w:tcPr>
            <w:tcW w:w="2130" w:type="dxa"/>
            <w:shd w:val="clear" w:color="auto" w:fill="auto"/>
            <w:tcMar>
              <w:top w:w="100" w:type="dxa"/>
              <w:left w:w="100" w:type="dxa"/>
              <w:bottom w:w="100" w:type="dxa"/>
              <w:right w:w="100" w:type="dxa"/>
            </w:tcMar>
          </w:tcPr>
          <w:p w14:paraId="67AA9B61" w14:textId="77777777" w:rsidR="00F679C0" w:rsidRPr="00B51293" w:rsidRDefault="00E45E40">
            <w:pPr>
              <w:widowControl w:val="0"/>
              <w:spacing w:line="240" w:lineRule="auto"/>
              <w:rPr>
                <w:rFonts w:ascii="Times New Roman" w:hAnsi="Times New Roman" w:cs="Times New Roman"/>
                <w:i/>
                <w:color w:val="000000" w:themeColor="text1"/>
                <w:sz w:val="16"/>
                <w:szCs w:val="16"/>
              </w:rPr>
            </w:pPr>
            <w:r w:rsidRPr="00B51293">
              <w:rPr>
                <w:rFonts w:ascii="Times New Roman" w:hAnsi="Times New Roman" w:cs="Times New Roman"/>
                <w:i/>
                <w:color w:val="000000" w:themeColor="text1"/>
                <w:sz w:val="16"/>
                <w:szCs w:val="16"/>
              </w:rPr>
              <w:t>cut-off_date</w:t>
            </w:r>
          </w:p>
        </w:tc>
        <w:tc>
          <w:tcPr>
            <w:tcW w:w="2595" w:type="dxa"/>
            <w:shd w:val="clear" w:color="auto" w:fill="auto"/>
            <w:tcMar>
              <w:top w:w="100" w:type="dxa"/>
              <w:left w:w="100" w:type="dxa"/>
              <w:bottom w:w="100" w:type="dxa"/>
              <w:right w:w="100" w:type="dxa"/>
            </w:tcMar>
          </w:tcPr>
          <w:p w14:paraId="1717C077"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Days from admission cut off for defining hospital-acquired case</w:t>
            </w:r>
          </w:p>
        </w:tc>
        <w:tc>
          <w:tcPr>
            <w:tcW w:w="4455" w:type="dxa"/>
            <w:shd w:val="clear" w:color="auto" w:fill="auto"/>
            <w:tcMar>
              <w:top w:w="100" w:type="dxa"/>
              <w:left w:w="100" w:type="dxa"/>
              <w:bottom w:w="100" w:type="dxa"/>
              <w:right w:w="100" w:type="dxa"/>
            </w:tcMar>
          </w:tcPr>
          <w:p w14:paraId="053F621C"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Assumed 5, 8, 10, 14</w:t>
            </w:r>
          </w:p>
        </w:tc>
        <w:tc>
          <w:tcPr>
            <w:tcW w:w="3855" w:type="dxa"/>
            <w:shd w:val="clear" w:color="auto" w:fill="auto"/>
            <w:tcMar>
              <w:top w:w="100" w:type="dxa"/>
              <w:left w:w="100" w:type="dxa"/>
              <w:bottom w:w="100" w:type="dxa"/>
              <w:right w:w="100" w:type="dxa"/>
            </w:tcMar>
          </w:tcPr>
          <w:p w14:paraId="6BA38D95"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Will affect time series of hospital-acquired cases</w:t>
            </w:r>
          </w:p>
        </w:tc>
        <w:tc>
          <w:tcPr>
            <w:tcW w:w="1770" w:type="dxa"/>
            <w:shd w:val="clear" w:color="auto" w:fill="auto"/>
            <w:tcMar>
              <w:top w:w="100" w:type="dxa"/>
              <w:left w:w="100" w:type="dxa"/>
              <w:bottom w:w="100" w:type="dxa"/>
              <w:right w:w="100" w:type="dxa"/>
            </w:tcMar>
          </w:tcPr>
          <w:p w14:paraId="7C7B7CEB" w14:textId="77777777" w:rsidR="00F679C0" w:rsidRPr="00B51293" w:rsidRDefault="00E45E40">
            <w:pPr>
              <w:widowControl w:val="0"/>
              <w:spacing w:line="240" w:lineRule="auto"/>
              <w:rPr>
                <w:rFonts w:ascii="Times New Roman" w:hAnsi="Times New Roman" w:cs="Times New Roman"/>
                <w:color w:val="000000" w:themeColor="text1"/>
                <w:sz w:val="16"/>
                <w:szCs w:val="16"/>
              </w:rPr>
            </w:pPr>
            <w:r w:rsidRPr="00B51293">
              <w:rPr>
                <w:rFonts w:ascii="Times New Roman" w:hAnsi="Times New Roman" w:cs="Times New Roman"/>
                <w:color w:val="000000" w:themeColor="text1"/>
                <w:sz w:val="16"/>
                <w:szCs w:val="16"/>
              </w:rPr>
              <w:t>5</w:t>
            </w:r>
          </w:p>
        </w:tc>
      </w:tr>
    </w:tbl>
    <w:p w14:paraId="0F5CAFA3" w14:textId="77777777" w:rsidR="00DB1C4C" w:rsidRPr="00B51293" w:rsidRDefault="00E45E40">
      <w:pPr>
        <w:rPr>
          <w:rFonts w:ascii="Times New Roman" w:hAnsi="Times New Roman" w:cs="Times New Roman"/>
          <w:color w:val="000000" w:themeColor="text1"/>
          <w:sz w:val="20"/>
          <w:szCs w:val="20"/>
        </w:rPr>
        <w:sectPr w:rsidR="00DB1C4C" w:rsidRPr="00B51293">
          <w:footerReference w:type="default" r:id="rId7"/>
          <w:pgSz w:w="15840" w:h="12240" w:orient="landscape"/>
          <w:pgMar w:top="1440" w:right="1440" w:bottom="1440" w:left="1440" w:header="720" w:footer="720" w:gutter="0"/>
          <w:cols w:space="720"/>
        </w:sectPr>
      </w:pPr>
      <w:r w:rsidRPr="00B51293">
        <w:rPr>
          <w:rFonts w:ascii="Times New Roman" w:hAnsi="Times New Roman" w:cs="Times New Roman"/>
          <w:i/>
          <w:color w:val="000000" w:themeColor="text1"/>
          <w:sz w:val="20"/>
          <w:szCs w:val="20"/>
        </w:rPr>
        <w:t xml:space="preserve">Table S2: </w:t>
      </w:r>
      <w:r w:rsidRPr="00B51293">
        <w:rPr>
          <w:rFonts w:ascii="Times New Roman" w:hAnsi="Times New Roman" w:cs="Times New Roman"/>
          <w:color w:val="000000" w:themeColor="text1"/>
          <w:sz w:val="20"/>
          <w:szCs w:val="20"/>
        </w:rPr>
        <w:t xml:space="preserve">Parameters values used in the model. Extended version of Table 2. </w:t>
      </w:r>
    </w:p>
    <w:p w14:paraId="71CAA9B9"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lastRenderedPageBreak/>
        <w:t xml:space="preserve">Serial interval: </w:t>
      </w:r>
    </w:p>
    <w:p w14:paraId="06DE102D"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Latency period</w:t>
      </w:r>
      <w:r w:rsidRPr="00B51293">
        <w:rPr>
          <w:rFonts w:ascii="Times New Roman" w:hAnsi="Times New Roman" w:cs="Times New Roman"/>
          <w:color w:val="000000" w:themeColor="text1"/>
          <w:sz w:val="20"/>
          <w:szCs w:val="20"/>
        </w:rPr>
        <w:tab/>
      </w:r>
      <w:r w:rsidRPr="00B51293">
        <w:rPr>
          <w:rFonts w:ascii="Times New Roman" w:hAnsi="Times New Roman" w:cs="Times New Roman"/>
          <w:color w:val="000000" w:themeColor="text1"/>
          <w:sz w:val="20"/>
          <w:szCs w:val="20"/>
        </w:rPr>
        <w:tab/>
        <w:t>mean of 5.1 days</w:t>
      </w:r>
    </w:p>
    <w:p w14:paraId="101F4C77"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Infectious period </w:t>
      </w:r>
      <w:r w:rsidRPr="00B51293">
        <w:rPr>
          <w:rFonts w:ascii="Times New Roman" w:hAnsi="Times New Roman" w:cs="Times New Roman"/>
          <w:color w:val="000000" w:themeColor="text1"/>
          <w:sz w:val="20"/>
          <w:szCs w:val="20"/>
        </w:rPr>
        <w:tab/>
        <w:t>mean of 3.4 days</w:t>
      </w:r>
    </w:p>
    <w:p w14:paraId="1BC53AF6"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Subsequent infection </w:t>
      </w:r>
      <w:r w:rsidRPr="00B51293">
        <w:rPr>
          <w:rFonts w:ascii="Times New Roman" w:hAnsi="Times New Roman" w:cs="Times New Roman"/>
          <w:color w:val="000000" w:themeColor="text1"/>
          <w:sz w:val="20"/>
          <w:szCs w:val="20"/>
        </w:rPr>
        <w:tab/>
        <w:t>mean of 5.1 + uniform(0,1) * 3.4 = mean of 6.8 days</w:t>
      </w:r>
    </w:p>
    <w:p w14:paraId="7873BF03" w14:textId="77777777" w:rsidR="00F679C0" w:rsidRPr="00B51293" w:rsidRDefault="00F679C0">
      <w:pPr>
        <w:rPr>
          <w:rFonts w:ascii="Times New Roman" w:hAnsi="Times New Roman" w:cs="Times New Roman"/>
          <w:color w:val="000000" w:themeColor="text1"/>
          <w:sz w:val="20"/>
          <w:szCs w:val="20"/>
        </w:rPr>
      </w:pPr>
    </w:p>
    <w:p w14:paraId="0B73D985"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For each infection, a latency period, infectious period and uniform random number were sampled. An “</w:t>
      </w:r>
      <w:r w:rsidRPr="00B51293">
        <w:rPr>
          <w:rFonts w:ascii="Times New Roman" w:hAnsi="Times New Roman" w:cs="Times New Roman"/>
          <w:i/>
          <w:color w:val="000000" w:themeColor="text1"/>
          <w:sz w:val="20"/>
          <w:szCs w:val="20"/>
        </w:rPr>
        <w:t>R</w:t>
      </w:r>
      <w:r w:rsidRPr="00B51293">
        <w:rPr>
          <w:rFonts w:ascii="Times New Roman" w:hAnsi="Times New Roman" w:cs="Times New Roman"/>
          <w:color w:val="000000" w:themeColor="text1"/>
          <w:sz w:val="20"/>
          <w:szCs w:val="20"/>
        </w:rPr>
        <w:t xml:space="preserve">” number of subsequent infections were then generated at a time latency period plus the uniform random number times the infectious period. </w:t>
      </w:r>
    </w:p>
    <w:p w14:paraId="766C6781" w14:textId="77777777" w:rsidR="00F679C0" w:rsidRPr="00B51293" w:rsidRDefault="00F679C0">
      <w:pPr>
        <w:rPr>
          <w:rFonts w:ascii="Times New Roman" w:hAnsi="Times New Roman" w:cs="Times New Roman"/>
          <w:color w:val="000000" w:themeColor="text1"/>
          <w:sz w:val="20"/>
          <w:szCs w:val="20"/>
        </w:rPr>
      </w:pPr>
    </w:p>
    <w:p w14:paraId="37CBB5CD" w14:textId="071FD69F"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We chose to look at approximately the first month of transmission after discharge to limit the number of onward cases. It is likely that chains of transmission are short: 4 generations in China </w:t>
      </w:r>
      <w:r w:rsidRPr="00B51293">
        <w:rPr>
          <w:rFonts w:ascii="Times New Roman" w:hAnsi="Times New Roman" w:cs="Times New Roman"/>
          <w:color w:val="000000" w:themeColor="text1"/>
          <w:sz w:val="20"/>
          <w:szCs w:val="20"/>
        </w:rPr>
        <w:fldChar w:fldCharType="begin"/>
      </w:r>
      <w:r w:rsidR="003516A5">
        <w:rPr>
          <w:rFonts w:ascii="Times New Roman" w:hAnsi="Times New Roman" w:cs="Times New Roman"/>
          <w:color w:val="000000" w:themeColor="text1"/>
          <w:sz w:val="20"/>
          <w:szCs w:val="20"/>
        </w:rPr>
        <w:instrText xml:space="preserve"> ADDIN ZOTERO_ITEM CSL_CITATION {"citationID":"akvsops5be","properties":{"formattedCitation":"(9)","plainCitation":"(9)","noteIndex":0},"citationItems":[{"id":22140,"uris":["http://zotero.org/users/6698211/items/TSBWAN66"],"itemData":{"id":22140,"type":"article-journal","abstract":"The WHO has described coronavirus disease 2019 (COVID-19) as a pandemic due to the speed and scale of its transmission. Without effective interventions, the rapidly increasing number of COVID-19 cases would greatly increase the burden of clinical treatments. Identifying the transmission sources and pathways is of vital importance to block transmission and allocate limited public health resources. According to the relationships among cases, we constructed disease transmission network graphs for the COVID-19 epidemic through a visualization technique based on individual reports of epidemiological data. We proposed an analysis strategy of the transmission network with the epidemiological data in Tianjin and Chengdu. The transmission networks showed different transmission characteristics. In Tianjin, an imported case of COVID-19 can produce an average of 2.9 secondary infections and ultimately produce as many as 4 generations of infections, with a maximum of 6 cases being generated before the imported case is identified. In Chengdu, 45 noninformative cases and 24 cases with vague exposure information made accurate information about the transmission network difficult to provide. The proposed analysis framework of visualized transmission networks can trace the transmission source and contacts, assess the current situation of transmission and prevention, and provide evidence for the global response and control of the COVID-19 pandemic.","container-title":"Scientific Reports","DOI":"10.1038/s41598-021-87802-x","ISSN":"2045-2322","issue":"1","journalAbbreviation":"Sci Rep","language":"en","note":"Bandiera_abtest: a\nCc_license_type: cc_by\nCg_type: Nature Research Journals\nnumber: 1\nPrimary_atype: Research\npublisher: Nature Publishing Group\nSubject_term: Disease prevention;Diseases;Health care;Infectious diseases\nSubject_term_id: disease-prevention;diseases;health-care;infectious-diseases","page":"8605","source":"www.nature.com","title":"The construction and visualization of the transmission networks for COVID-19: A potential solution for contact tracing and assessments of epidemics","title-short":"The construction and visualization of the transmission networks for COVID-19","volume":"11","author":[{"family":"Luo","given":"Caiying"},{"family":"Ma","given":"Yue"},{"family":"Jiang","given":"Pei"},{"family":"Zhang","given":"Tao"},{"family":"Yin","given":"Fei"}],"issued":{"date-parts":[["2021",4,21]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3516A5">
        <w:rPr>
          <w:rFonts w:ascii="Times New Roman" w:hAnsi="Times New Roman" w:cs="Times New Roman"/>
          <w:color w:val="000000" w:themeColor="text1"/>
          <w:sz w:val="20"/>
          <w:szCs w:val="20"/>
        </w:rPr>
        <w:t>(9)</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and suggested to be short from genomic data in the UK and New Zealand </w:t>
      </w:r>
      <w:r w:rsidRPr="00B51293">
        <w:rPr>
          <w:rFonts w:ascii="Times New Roman" w:hAnsi="Times New Roman" w:cs="Times New Roman"/>
          <w:color w:val="000000" w:themeColor="text1"/>
          <w:sz w:val="20"/>
          <w:szCs w:val="20"/>
        </w:rPr>
        <w:fldChar w:fldCharType="begin"/>
      </w:r>
      <w:r w:rsidR="003516A5">
        <w:rPr>
          <w:rFonts w:ascii="Times New Roman" w:hAnsi="Times New Roman" w:cs="Times New Roman"/>
          <w:color w:val="000000" w:themeColor="text1"/>
          <w:sz w:val="20"/>
          <w:szCs w:val="20"/>
        </w:rPr>
        <w:instrText xml:space="preserve"> ADDIN ZOTERO_ITEM CSL_CITATION {"citationID":"a2q2e4qfoeh","properties":{"formattedCitation":"(10,11)","plainCitation":"(10,11)","noteIndex":0},"citationItems":[{"id":22145,"uris":["http://zotero.org/users/6698211/items/5N6MBEG7"],"itemData":{"id":22145,"type":"article-journal","abstract":"New Zealand, a geographically remote Pacific island with easily sealable borders, implemented a nationwide ‘lockdown’ of all non-essential services to curb the spread of COVID-19. Here, we generate 649 SARS-CoV-2 genome sequences from infected patients in New Zealand with samples collected during the ‘first wave’, representing 56% of all confirmed cases in this time period. Despite its remoteness, the viruses imported into New Zealand represented nearly all of the genomic diversity sequenced from the global virus population. These data helped to quantify the effectiveness of public health interventions. For example, the effective reproductive number, Re of New Zealand’s largest cluster decreased from 7 to 0.2 within the first week of lockdown. Similarly, only 19% of virus introductions into New Zealand resulted in ongoing transmission of more than one additional case. Overall, these results demonstrate the utility of genomic pathogen surveillance to inform public health and disease mitigation.","container-title":"Nature Communications","DOI":"10.1038/s41467-020-20235-8","ISSN":"2041-1723","issue":"1","journalAbbreviation":"Nat Commun","language":"en","note":"Bandiera_abtest: a\nCc_license_type: cc_by\nCg_type: Nature Research Journals\nnumber: 1\nPrimary_atype: Research\npublisher: Nature Publishing Group\nSubject_term: Epidemiology;Genome evolution;Phylogenetics;SARS-CoV-2\nSubject_term_id: epidemiology;genome-evolution;phylogenetics;sars-cov-2","page":"6351","source":"www.nature.com","title":"Genomic epidemiology reveals transmission patterns and dynamics of SARS-CoV-2 in Aotearoa New Zealand","volume":"11","author":[{"family":"Geoghegan","given":"Jemma L."},{"family":"Ren","given":"Xiaoyun"},{"family":"Storey","given":"Matthew"},{"family":"Hadfield","given":"James"},{"family":"Jelley","given":"Lauren"},{"family":"Jefferies","given":"Sarah"},{"family":"Sherwood","given":"Jill"},{"family":"Paine","given":"Shevaun"},{"family":"Huang","given":"Sue"},{"family":"Douglas","given":"Jordan"},{"family":"Mendes","given":"Fábio K."},{"family":"Sporle","given":"Andrew"},{"family":"Baker","given":"Michael G."},{"family":"Murdoch","given":"David R."},{"family":"French","given":"Nigel"},{"family":"Simpson","given":"Colin R."},{"family":"Welch","given":"David"},{"family":"Drummond","given":"Alexei J."},{"family":"Holmes","given":"Edward C."},{"family":"Duchêne","given":"Sebastián"},{"family":"Ligt","given":"Joep","non-dropping-particle":"de"}],"issued":{"date-parts":[["2020",12,11]]}}},{"id":22148,"uris":["http://zotero.org/users/6698211/items/4HPNCX8M"],"itemData":{"id":22148,"type":"article-journal","abstract":"&lt;p&gt;The United Kingdom’s COVID-19 epidemic during early 2020 was one of world’s largest and was unusually well represented by virus genomic sampling. We determined the fine-scale genetic lineage structure of this epidemic through analysis of 50,887 severe acute respiratory syndrome coronavirus 2 (SARS-CoV-2) genomes, including 26,181 from the UK sampled throughout the country’s first wave of infection. Using large-scale phylogenetic analyses combined with epidemiological and travel data, we quantified the size, spatiotemporal origins, and persistence of genetically distinct UK transmission lineages. Rapid fluctuations in virus importation rates resulted in &amp;gt;1000 lineages; those introduced prior to national lockdown tended to be larger and more dispersed. Lineage importation and regional lineage diversity declined after lockdown, whereas lineage elimination was size-dependent. We discuss the implications of our genetic perspective on transmission dynamics for COVID-19 epidemiology and control.&lt;/p&gt;","container-title":"Science","DOI":"10.1126/science.abf2946","ISSN":"0036-8075, 1095-9203","issue":"6530","language":"en","note":"publisher: American Association for the Advancement of Science\nsection: Research Article\nPMID: 33419936","page":"708-712","source":"science.sciencemag.org","title":"Establishment and lineage dynamics of the SARS-CoV-2 epidemic in the UK","volume":"371","author":[{"family":"Plessis","given":"Louis","dropping-particle":"du"},{"family":"McCrone","given":"John T."},{"family":"Zarebski","given":"Alexander E."},{"family":"Hill","given":"Verity"},{"family":"Ruis","given":"Christopher"},{"family":"Gutierrez","given":"Bernardo"},{"family":"Raghwani","given":"Jayna"},{"family":"Ashworth","given":"Jordan"},{"family":"Colquhoun","given":"Rachel"},{"family":"Connor","given":"Thomas R."},{"family":"Faria","given":"Nuno R."},{"family":"Jackson","given":"Ben"},{"family":"Loman","given":"Nicholas J."},{"family":"O’Toole","given":"Áine"},{"family":"Nicholls","given":"Samuel M."},{"family":"Parag","given":"Kris V."},{"family":"Scher","given":"Emily"},{"family":"Vasylyeva","given":"Tetyana I."},{"family":"Volz","given":"Erik M."},{"family":"Watts","given":"Alexander"},{"family":"Bogoch","given":"Isaac I."},{"family":"Khan","given":"Kamran"},{"family":"Consortium†","given":"COVID-19 Genomics UK (COG-UK)"},{"family":"Aanensen","given":"David M."},{"family":"Kraemer","given":"Moritz U. G."},{"family":"Rambaut","given":"Andrew"},{"family":"Pybus","given":"Oliver G."}],"issued":{"date-parts":[["2021",2,12]]}}}],"schema":"https://github.com/citation-style-language/schema/raw/master/csl-citation.json"}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3516A5">
        <w:rPr>
          <w:rFonts w:ascii="Times New Roman" w:hAnsi="Times New Roman" w:cs="Times New Roman"/>
          <w:color w:val="000000" w:themeColor="text1"/>
          <w:sz w:val="20"/>
          <w:szCs w:val="20"/>
        </w:rPr>
        <w:t>(10,11)</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w:t>
      </w:r>
    </w:p>
    <w:p w14:paraId="1D0A4FB8" w14:textId="77777777" w:rsidR="00F679C0" w:rsidRPr="00B51293" w:rsidRDefault="00F679C0">
      <w:pPr>
        <w:rPr>
          <w:rFonts w:ascii="Times New Roman" w:hAnsi="Times New Roman" w:cs="Times New Roman"/>
          <w:color w:val="000000" w:themeColor="text1"/>
          <w:sz w:val="20"/>
          <w:szCs w:val="20"/>
        </w:rPr>
      </w:pPr>
    </w:p>
    <w:p w14:paraId="2FA0FBF1" w14:textId="77777777" w:rsidR="004932E8" w:rsidRPr="00B51293" w:rsidRDefault="004932E8">
      <w:pPr>
        <w:rPr>
          <w:rFonts w:ascii="Times New Roman" w:hAnsi="Times New Roman" w:cs="Times New Roman"/>
          <w:b/>
          <w:bCs/>
          <w:color w:val="000000" w:themeColor="text1"/>
          <w:sz w:val="20"/>
          <w:szCs w:val="20"/>
        </w:rPr>
      </w:pPr>
      <w:r w:rsidRPr="00B51293">
        <w:rPr>
          <w:rFonts w:ascii="Times New Roman" w:hAnsi="Times New Roman" w:cs="Times New Roman"/>
          <w:b/>
          <w:bCs/>
          <w:color w:val="000000" w:themeColor="text1"/>
          <w:sz w:val="20"/>
          <w:szCs w:val="20"/>
        </w:rPr>
        <w:t>Additional methods</w:t>
      </w:r>
    </w:p>
    <w:p w14:paraId="4DEE2BEF" w14:textId="77777777" w:rsidR="00DB1C4C" w:rsidRPr="00B51293" w:rsidRDefault="00DB1C4C">
      <w:pPr>
        <w:rPr>
          <w:rFonts w:ascii="Times New Roman" w:hAnsi="Times New Roman" w:cs="Times New Roman"/>
          <w:b/>
          <w:bCs/>
          <w:color w:val="000000" w:themeColor="text1"/>
          <w:sz w:val="20"/>
          <w:szCs w:val="20"/>
        </w:rPr>
      </w:pPr>
    </w:p>
    <w:p w14:paraId="4518526E" w14:textId="77777777" w:rsidR="00DB1C4C" w:rsidRPr="00B51293" w:rsidRDefault="00DB1C4C">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Extending the methods given in the main paper we include further details for some of the stages in Figure 2 below. </w:t>
      </w:r>
    </w:p>
    <w:p w14:paraId="511F214C" w14:textId="77777777" w:rsidR="00DB1C4C" w:rsidRPr="00B51293" w:rsidRDefault="00DB1C4C">
      <w:pPr>
        <w:rPr>
          <w:rFonts w:ascii="Times New Roman" w:hAnsi="Times New Roman" w:cs="Times New Roman"/>
          <w:b/>
          <w:bCs/>
          <w:color w:val="000000" w:themeColor="text1"/>
          <w:sz w:val="20"/>
          <w:szCs w:val="20"/>
        </w:rPr>
      </w:pPr>
    </w:p>
    <w:p w14:paraId="324D4A8F" w14:textId="77777777" w:rsidR="00126DFF" w:rsidRPr="00B51293" w:rsidRDefault="00126DFF" w:rsidP="00126DFF">
      <w:pPr>
        <w:pStyle w:val="ListParagraph"/>
        <w:numPr>
          <w:ilvl w:val="0"/>
          <w:numId w:val="10"/>
        </w:numPr>
        <w:rPr>
          <w:rFonts w:ascii="Times New Roman" w:hAnsi="Times New Roman" w:cs="Times New Roman"/>
          <w:b/>
          <w:bCs/>
          <w:color w:val="000000" w:themeColor="text1"/>
          <w:sz w:val="20"/>
          <w:szCs w:val="20"/>
        </w:rPr>
      </w:pPr>
      <w:r w:rsidRPr="00B51293">
        <w:rPr>
          <w:rFonts w:ascii="Times New Roman" w:hAnsi="Times New Roman" w:cs="Times New Roman"/>
          <w:b/>
          <w:bCs/>
          <w:color w:val="000000" w:themeColor="text1"/>
          <w:sz w:val="20"/>
          <w:szCs w:val="20"/>
        </w:rPr>
        <w:t>Proportion of hospital-acquired infections that are identified</w:t>
      </w:r>
    </w:p>
    <w:p w14:paraId="5A3223A5" w14:textId="77777777" w:rsidR="00126DFF" w:rsidRPr="00B51293" w:rsidRDefault="00126DFF" w:rsidP="00126DFF">
      <w:pPr>
        <w:spacing w:line="240" w:lineRule="auto"/>
        <w:jc w:val="left"/>
        <w:rPr>
          <w:rFonts w:ascii="Times New Roman" w:hAnsi="Times New Roman" w:cs="Times New Roman"/>
          <w:b/>
          <w:bCs/>
          <w:color w:val="000000" w:themeColor="text1"/>
          <w:sz w:val="20"/>
          <w:szCs w:val="20"/>
        </w:rPr>
      </w:pPr>
    </w:p>
    <w:p w14:paraId="508E46A9" w14:textId="11E8F901" w:rsidR="00126DFF" w:rsidRPr="00126DFF" w:rsidRDefault="00126DFF" w:rsidP="00126DFF">
      <w:pPr>
        <w:spacing w:line="240" w:lineRule="auto"/>
        <w:jc w:val="left"/>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To calculate this w</w:t>
      </w:r>
      <w:r w:rsidRPr="00126DFF">
        <w:rPr>
          <w:rFonts w:ascii="Times New Roman" w:eastAsia="Times New Roman" w:hAnsi="Times New Roman" w:cs="Times New Roman"/>
          <w:color w:val="000000"/>
          <w:sz w:val="20"/>
          <w:szCs w:val="20"/>
          <w:lang w:val="en-GB"/>
        </w:rPr>
        <w:t>e assumed that the daily risk of infection did not change with the day of hospital stay, supported by data analysis (</w:t>
      </w:r>
      <w:r w:rsidR="003516A5">
        <w:rPr>
          <w:rFonts w:ascii="Times New Roman" w:eastAsia="Times New Roman" w:hAnsi="Times New Roman" w:cs="Times New Roman"/>
          <w:color w:val="000000"/>
          <w:sz w:val="20"/>
          <w:szCs w:val="20"/>
          <w:lang w:val="en-GB"/>
        </w:rPr>
        <w:t xml:space="preserve">Additional File </w:t>
      </w:r>
      <w:r w:rsidRPr="00126DFF">
        <w:rPr>
          <w:rFonts w:ascii="Times New Roman" w:eastAsia="Times New Roman" w:hAnsi="Times New Roman" w:cs="Times New Roman"/>
          <w:color w:val="000000"/>
          <w:sz w:val="20"/>
          <w:szCs w:val="20"/>
          <w:lang w:val="en-GB"/>
        </w:rPr>
        <w:t xml:space="preserve">5). The proportions of true hospital-acquired infections which are identified is dependent on (i) the assumed cut-off threshold and (ii) the length of stay (LoS) distribution for patients hospitalised for reasons other than COVID-19 and hence at risk of becoming infected, with the latter varying by week and setting. </w:t>
      </w:r>
    </w:p>
    <w:p w14:paraId="7D399370" w14:textId="77777777" w:rsidR="00126DFF" w:rsidRPr="00B51293" w:rsidRDefault="00126DFF" w:rsidP="00126DFF">
      <w:pPr>
        <w:rPr>
          <w:rFonts w:ascii="Times New Roman" w:hAnsi="Times New Roman" w:cs="Times New Roman"/>
          <w:b/>
          <w:bCs/>
          <w:color w:val="000000" w:themeColor="text1"/>
          <w:sz w:val="20"/>
          <w:szCs w:val="20"/>
        </w:rPr>
      </w:pPr>
    </w:p>
    <w:p w14:paraId="24DA2BEC" w14:textId="77777777" w:rsidR="004932E8" w:rsidRPr="00B51293" w:rsidRDefault="006309F4" w:rsidP="006309F4">
      <w:pPr>
        <w:pStyle w:val="NormalWeb"/>
        <w:numPr>
          <w:ilvl w:val="0"/>
          <w:numId w:val="10"/>
        </w:numPr>
        <w:spacing w:before="0" w:beforeAutospacing="0" w:after="0" w:afterAutospacing="0"/>
        <w:jc w:val="both"/>
        <w:textAlignment w:val="baseline"/>
        <w:rPr>
          <w:b/>
          <w:bCs/>
          <w:color w:val="000000"/>
          <w:sz w:val="20"/>
          <w:szCs w:val="20"/>
        </w:rPr>
      </w:pPr>
      <w:r w:rsidRPr="00B51293">
        <w:rPr>
          <w:b/>
          <w:bCs/>
          <w:color w:val="000000"/>
          <w:sz w:val="20"/>
          <w:szCs w:val="20"/>
        </w:rPr>
        <w:t>Reclassifying community-acquired as hospital-acquired</w:t>
      </w:r>
    </w:p>
    <w:p w14:paraId="60D3B681" w14:textId="77777777" w:rsidR="006309F4" w:rsidRPr="00B51293" w:rsidRDefault="006309F4" w:rsidP="006309F4">
      <w:pPr>
        <w:spacing w:line="240" w:lineRule="auto"/>
        <w:rPr>
          <w:rFonts w:ascii="Times New Roman" w:eastAsia="Times New Roman" w:hAnsi="Times New Roman" w:cs="Times New Roman"/>
          <w:color w:val="000000"/>
          <w:sz w:val="20"/>
          <w:szCs w:val="20"/>
          <w:lang w:val="en-GB"/>
        </w:rPr>
      </w:pPr>
    </w:p>
    <w:p w14:paraId="350D4E6D" w14:textId="77777777" w:rsidR="006309F4" w:rsidRPr="00B51293" w:rsidRDefault="006309F4" w:rsidP="006309F4">
      <w:pPr>
        <w:spacing w:line="240" w:lineRule="auto"/>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To determine the contribution of unidentified hospital-acquired infections to hospitalised patient burden, we estimated when an unidentified “missed'' hospital-acquired infection would return as a hospital admission by generating the entire disease progression trajectory for each unidentified “missed” hospital-acquired infection (Figure 2). </w:t>
      </w:r>
    </w:p>
    <w:p w14:paraId="5A868416" w14:textId="77777777" w:rsidR="006309F4" w:rsidRPr="00B51293" w:rsidRDefault="006309F4" w:rsidP="006309F4">
      <w:pPr>
        <w:spacing w:line="240" w:lineRule="auto"/>
        <w:rPr>
          <w:rFonts w:ascii="Times New Roman" w:eastAsia="Times New Roman" w:hAnsi="Times New Roman" w:cs="Times New Roman"/>
          <w:color w:val="000000"/>
          <w:sz w:val="20"/>
          <w:szCs w:val="20"/>
          <w:lang w:val="en-GB"/>
        </w:rPr>
      </w:pPr>
    </w:p>
    <w:p w14:paraId="75862DAF" w14:textId="77777777" w:rsidR="006309F4" w:rsidRPr="00B51293" w:rsidRDefault="006309F4" w:rsidP="006309F4">
      <w:pPr>
        <w:spacing w:line="240" w:lineRule="auto"/>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For the disease progression trajectory, the proportion returning to hospital was sampled using a Bernouilli trial and varied for each simulation (Table 2). For each individual that was expected to become a hospitalised case we sampled a time (i) from infection until discharge (ii) from infection to symptoms and (iii) from symptoms to potential hospitalisation (Figure 2, Table 2). The time since infection was subtracted from the time to hospitalisation (the sum of time to symptoms from infection and time from symptoms to hospitalisation) to calculate the time at which the unidentified “missed” hospital-acquired infected individuals would be identified but currently misclassified as a “community” case at hospital admission (new “community onset, hospital-acquired” cases, Figure 2, Table 1). </w:t>
      </w:r>
    </w:p>
    <w:p w14:paraId="37938FC8" w14:textId="77777777" w:rsidR="004932E8" w:rsidRPr="00B51293" w:rsidRDefault="004932E8">
      <w:pPr>
        <w:rPr>
          <w:rFonts w:ascii="Times New Roman" w:hAnsi="Times New Roman" w:cs="Times New Roman"/>
          <w:b/>
          <w:bCs/>
          <w:color w:val="000000" w:themeColor="text1"/>
          <w:sz w:val="20"/>
          <w:szCs w:val="20"/>
        </w:rPr>
      </w:pPr>
    </w:p>
    <w:p w14:paraId="32FFB337" w14:textId="77777777" w:rsidR="00333B2F" w:rsidRPr="00B51293" w:rsidRDefault="00333B2F" w:rsidP="00333B2F">
      <w:pPr>
        <w:pStyle w:val="ListParagraph"/>
        <w:numPr>
          <w:ilvl w:val="0"/>
          <w:numId w:val="10"/>
        </w:numPr>
        <w:rPr>
          <w:rFonts w:ascii="Times New Roman" w:hAnsi="Times New Roman" w:cs="Times New Roman"/>
          <w:b/>
          <w:bCs/>
          <w:color w:val="000000" w:themeColor="text1"/>
          <w:sz w:val="20"/>
          <w:szCs w:val="20"/>
        </w:rPr>
      </w:pPr>
      <w:r w:rsidRPr="00B51293">
        <w:rPr>
          <w:rFonts w:ascii="Times New Roman" w:hAnsi="Times New Roman" w:cs="Times New Roman"/>
          <w:b/>
          <w:bCs/>
          <w:color w:val="000000" w:themeColor="text1"/>
          <w:sz w:val="20"/>
          <w:szCs w:val="20"/>
        </w:rPr>
        <w:t>Hospital-linked cases</w:t>
      </w:r>
    </w:p>
    <w:p w14:paraId="168B0A5E" w14:textId="10CAF08F" w:rsidR="00333B2F" w:rsidRPr="00B51293" w:rsidRDefault="00333B2F" w:rsidP="00333B2F">
      <w:pPr>
        <w:pStyle w:val="NormalWeb"/>
        <w:spacing w:before="0" w:beforeAutospacing="0" w:after="0" w:afterAutospacing="0"/>
        <w:jc w:val="both"/>
        <w:rPr>
          <w:sz w:val="20"/>
          <w:szCs w:val="20"/>
        </w:rPr>
      </w:pPr>
      <w:r w:rsidRPr="00B51293">
        <w:rPr>
          <w:color w:val="000000"/>
          <w:sz w:val="20"/>
          <w:szCs w:val="20"/>
        </w:rPr>
        <w:t xml:space="preserve">To account for onward transmission in the community from patients with unidentified “missed” hospital-acquired infections (due to symptom onset after discharge) we estimated "hospital-linked infections'': calculated as first-, second-, third- and fourth-generation infections. This is approximately the number of infections caused within one month after discharge (~6.7 day serial interval, </w:t>
      </w:r>
      <w:r w:rsidR="003516A5">
        <w:rPr>
          <w:color w:val="000000"/>
          <w:sz w:val="20"/>
          <w:szCs w:val="20"/>
        </w:rPr>
        <w:t xml:space="preserve">Additional File </w:t>
      </w:r>
      <w:r w:rsidRPr="00B51293">
        <w:rPr>
          <w:color w:val="000000"/>
          <w:sz w:val="20"/>
          <w:szCs w:val="20"/>
        </w:rPr>
        <w:t>6) and assumes that most onward transmission chains are relatively short</w:t>
      </w:r>
      <w:r w:rsidR="00173783" w:rsidRPr="00B51293">
        <w:rPr>
          <w:color w:val="000000"/>
          <w:sz w:val="20"/>
          <w:szCs w:val="20"/>
        </w:rPr>
        <w:t xml:space="preserve"> </w:t>
      </w:r>
      <w:r w:rsidR="00173783" w:rsidRPr="00B51293">
        <w:rPr>
          <w:color w:val="000000"/>
          <w:sz w:val="20"/>
          <w:szCs w:val="20"/>
        </w:rPr>
        <w:fldChar w:fldCharType="begin"/>
      </w:r>
      <w:r w:rsidR="003516A5">
        <w:rPr>
          <w:color w:val="000000"/>
          <w:sz w:val="20"/>
          <w:szCs w:val="20"/>
        </w:rPr>
        <w:instrText xml:space="preserve"> ADDIN ZOTERO_ITEM CSL_CITATION {"citationID":"algnu2giot","properties":{"formattedCitation":"(9\\uc0\\u8211{}11)","plainCitation":"(9–11)","noteIndex":0},"citationItems":[{"id":22140,"uris":["http://zotero.org/users/6698211/items/TSBWAN66"],"itemData":{"id":22140,"type":"article-journal","abstract":"The WHO has described coronavirus disease 2019 (COVID-19) as a pandemic due to the speed and scale of its transmission. Without effective interventions, the rapidly increasing number of COVID-19 cases would greatly increase the burden of clinical treatments. Identifying the transmission sources and pathways is of vital importance to block transmission and allocate limited public health resources. According to the relationships among cases, we constructed disease transmission network graphs for the COVID-19 epidemic through a visualization technique based on individual reports of epidemiological data. We proposed an analysis strategy of the transmission network with the epidemiological data in Tianjin and Chengdu. The transmission networks showed different transmission characteristics. In Tianjin, an imported case of COVID-19 can produce an average of 2.9 secondary infections and ultimately produce as many as 4 generations of infections, with a maximum of 6 cases being generated before the imported case is identified. In Chengdu, 45 noninformative cases and 24 cases with vague exposure information made accurate information about the transmission network difficult to provide. The proposed analysis framework of visualized transmission networks can trace the transmission source and contacts, assess the current situation of transmission and prevention, and provide evidence for the global response and control of the COVID-19 pandemic.","container-title":"Scientific Reports","DOI":"10.1038/s41598-021-87802-x","ISSN":"2045-2322","issue":"1","journalAbbreviation":"Sci Rep","language":"en","note":"Bandiera_abtest: a\nCc_license_type: cc_by\nCg_type: Nature Research Journals\nnumber: 1\nPrimary_atype: Research\npublisher: Nature Publishing Group\nSubject_term: Disease prevention;Diseases;Health care;Infectious diseases\nSubject_term_id: disease-prevention;diseases;health-care;infectious-diseases","page":"8605","source":"www.nature.com","title":"The construction and visualization of the transmission networks for COVID-19: A potential solution for contact tracing and assessments of epidemics","title-short":"The construction and visualization of the transmission networks for COVID-19","volume":"11","author":[{"family":"Luo","given":"Caiying"},{"family":"Ma","given":"Yue"},{"family":"Jiang","given":"Pei"},{"family":"Zhang","given":"Tao"},{"family":"Yin","given":"Fei"}],"issued":{"date-parts":[["2021",4,21]]}}},{"id":22145,"uris":["http://zotero.org/users/6698211/items/5N6MBEG7"],"itemData":{"id":22145,"type":"article-journal","abstract":"New Zealand, a geographically remote Pacific island with easily sealable borders, implemented a nationwide ‘lockdown’ of all non-essential services to curb the spread of COVID-19. Here, we generate 649 SARS-CoV-2 genome sequences from infected patients in New Zealand with samples collected during the ‘first wave’, representing 56% of all confirmed cases in this time period. Despite its remoteness, the viruses imported into New Zealand represented nearly all of the genomic diversity sequenced from the global virus population. These data helped to quantify the effectiveness of public health interventions. For example, the effective reproductive number, Re of New Zealand’s largest cluster decreased from 7 to 0.2 within the first week of lockdown. Similarly, only 19% of virus introductions into New Zealand resulted in ongoing transmission of more than one additional case. Overall, these results demonstrate the utility of genomic pathogen surveillance to inform public health and disease mitigation.","container-title":"Nature Communications","DOI":"10.1038/s41467-020-20235-8","ISSN":"2041-1723","issue":"1","journalAbbreviation":"Nat Commun","language":"en","note":"Bandiera_abtest: a\nCc_license_type: cc_by\nCg_type: Nature Research Journals\nnumber: 1\nPrimary_atype: Research\npublisher: Nature Publishing Group\nSubject_term: Epidemiology;Genome evolution;Phylogenetics;SARS-CoV-2\nSubject_term_id: epidemiology;genome-evolution;phylogenetics;sars-cov-2","page":"6351","source":"www.nature.com","title":"Genomic epidemiology reveals transmission patterns and dynamics of SARS-CoV-2 in Aotearoa New Zealand","volume":"11","author":[{"family":"Geoghegan","given":"Jemma L."},{"family":"Ren","given":"Xiaoyun"},{"family":"Storey","given":"Matthew"},{"family":"Hadfield","given":"James"},{"family":"Jelley","given":"Lauren"},{"family":"Jefferies","given":"Sarah"},{"family":"Sherwood","given":"Jill"},{"family":"Paine","given":"Shevaun"},{"family":"Huang","given":"Sue"},{"family":"Douglas","given":"Jordan"},{"family":"Mendes","given":"Fábio K."},{"family":"Sporle","given":"Andrew"},{"family":"Baker","given":"Michael G."},{"family":"Murdoch","given":"David R."},{"family":"French","given":"Nigel"},{"family":"Simpson","given":"Colin R."},{"family":"Welch","given":"David"},{"family":"Drummond","given":"Alexei J."},{"family":"Holmes","given":"Edward C."},{"family":"Duchêne","given":"Sebastián"},{"family":"Ligt","given":"Joep","non-dropping-particle":"de"}],"issued":{"date-parts":[["2020",12,11]]}}},{"id":22148,"uris":["http://zotero.org/users/6698211/items/4HPNCX8M"],"itemData":{"id":22148,"type":"article-journal","abstract":"&lt;p&gt;The United Kingdom’s COVID-19 epidemic during early 2020 was one of world’s largest and was unusually well represented by virus genomic sampling. We determined the fine-scale genetic lineage structure of this epidemic through analysis of 50,887 severe acute respiratory syndrome coronavirus 2 (SARS-CoV-2) genomes, including 26,181 from the UK sampled throughout the country’s first wave of infection. Using large-scale phylogenetic analyses combined with epidemiological and travel data, we quantified the size, spatiotemporal origins, and persistence of genetically distinct UK transmission lineages. Rapid fluctuations in virus importation rates resulted in &amp;gt;1000 lineages; those introduced prior to national lockdown tended to be larger and more dispersed. Lineage importation and regional lineage diversity declined after lockdown, whereas lineage elimination was size-dependent. We discuss the implications of our genetic perspective on transmission dynamics for COVID-19 epidemiology and control.&lt;/p&gt;","container-title":"Science","DOI":"10.1126/science.abf2946","ISSN":"0036-8075, 1095-9203","issue":"6530","language":"en","note":"publisher: American Association for the Advancement of Science\nsection: Research Article\nPMID: 33419936","page":"708-712","source":"science.sciencemag.org","title":"Establishment and lineage dynamics of the SARS-CoV-2 epidemic in the UK","volume":"371","author":[{"family":"Plessis","given":"Louis","dropping-particle":"du"},{"family":"McCrone","given":"John T."},{"family":"Zarebski","given":"Alexander E."},{"family":"Hill","given":"Verity"},{"family":"Ruis","given":"Christopher"},{"family":"Gutierrez","given":"Bernardo"},{"family":"Raghwani","given":"Jayna"},{"family":"Ashworth","given":"Jordan"},{"family":"Colquhoun","given":"Rachel"},{"family":"Connor","given":"Thomas R."},{"family":"Faria","given":"Nuno R."},{"family":"Jackson","given":"Ben"},{"family":"Loman","given":"Nicholas J."},{"family":"O’Toole","given":"Áine"},{"family":"Nicholls","given":"Samuel M."},{"family":"Parag","given":"Kris V."},{"family":"Scher","given":"Emily"},{"family":"Vasylyeva","given":"Tetyana I."},{"family":"Volz","given":"Erik M."},{"family":"Watts","given":"Alexander"},{"family":"Bogoch","given":"Isaac I."},{"family":"Khan","given":"Kamran"},{"family":"Consortium†","given":"COVID-19 Genomics UK (COG-UK)"},{"family":"Aanensen","given":"David M."},{"family":"Kraemer","given":"Moritz U. G."},{"family":"Rambaut","given":"Andrew"},{"family":"Pybus","given":"Oliver G."}],"issued":{"date-parts":[["2021",2,12]]}}}],"schema":"https://github.com/citation-style-language/schema/raw/master/csl-citation.json"} </w:instrText>
      </w:r>
      <w:r w:rsidR="00173783" w:rsidRPr="00B51293">
        <w:rPr>
          <w:color w:val="000000"/>
          <w:sz w:val="20"/>
          <w:szCs w:val="20"/>
        </w:rPr>
        <w:fldChar w:fldCharType="separate"/>
      </w:r>
      <w:r w:rsidR="003516A5" w:rsidRPr="003516A5">
        <w:rPr>
          <w:color w:val="000000"/>
          <w:sz w:val="20"/>
        </w:rPr>
        <w:t>(9–11)</w:t>
      </w:r>
      <w:r w:rsidR="00173783" w:rsidRPr="00B51293">
        <w:rPr>
          <w:color w:val="000000"/>
          <w:sz w:val="20"/>
          <w:szCs w:val="20"/>
        </w:rPr>
        <w:fldChar w:fldCharType="end"/>
      </w:r>
      <w:r w:rsidRPr="00B51293">
        <w:rPr>
          <w:color w:val="000000"/>
          <w:sz w:val="20"/>
          <w:szCs w:val="20"/>
        </w:rPr>
        <w:t>. </w:t>
      </w:r>
    </w:p>
    <w:p w14:paraId="6F197344" w14:textId="77777777" w:rsidR="00333B2F" w:rsidRPr="00B51293" w:rsidRDefault="00333B2F" w:rsidP="00333B2F">
      <w:pPr>
        <w:pStyle w:val="NormalWeb"/>
        <w:spacing w:before="0" w:beforeAutospacing="0" w:after="0" w:afterAutospacing="0"/>
        <w:jc w:val="both"/>
        <w:rPr>
          <w:color w:val="000000"/>
          <w:sz w:val="20"/>
          <w:szCs w:val="20"/>
        </w:rPr>
      </w:pPr>
    </w:p>
    <w:p w14:paraId="3E67DD9B" w14:textId="77777777" w:rsidR="00333B2F" w:rsidRPr="00B51293" w:rsidRDefault="00333B2F" w:rsidP="00333B2F">
      <w:pPr>
        <w:pStyle w:val="NormalWeb"/>
        <w:spacing w:before="0" w:beforeAutospacing="0" w:after="0" w:afterAutospacing="0"/>
        <w:jc w:val="both"/>
        <w:rPr>
          <w:color w:val="000000"/>
          <w:sz w:val="20"/>
          <w:szCs w:val="20"/>
        </w:rPr>
      </w:pPr>
      <w:r w:rsidRPr="00B51293">
        <w:rPr>
          <w:color w:val="000000"/>
          <w:sz w:val="20"/>
          <w:szCs w:val="20"/>
        </w:rPr>
        <w:t xml:space="preserve">The time series for these was calculated by sampling a certain time to infection (a sum of a sample from the latency distribution and a sample from a uniform distribution on 0-1 multiplied by a sample from the distribution for the duration of clinical infectiousness (~ 3 days)), a number of secondary infections (using estimates for the reproduction number, </w:t>
      </w:r>
      <w:r w:rsidRPr="00B51293">
        <w:rPr>
          <w:i/>
          <w:iCs/>
          <w:color w:val="000000"/>
          <w:sz w:val="20"/>
          <w:szCs w:val="20"/>
        </w:rPr>
        <w:t>R</w:t>
      </w:r>
      <w:r w:rsidRPr="00B51293">
        <w:rPr>
          <w:color w:val="000000"/>
          <w:sz w:val="20"/>
          <w:szCs w:val="20"/>
        </w:rPr>
        <w:t>), a sampled proportion which progress to disease, a sampled proportion of infections that become hospitalised and a sampled time to hospitalisation (with different distributions for each symptom onset to hospitalisation scenario) (Figure 2, Table 2). </w:t>
      </w:r>
    </w:p>
    <w:p w14:paraId="31AD5E59" w14:textId="77777777" w:rsidR="00333B2F" w:rsidRPr="00B51293" w:rsidRDefault="00333B2F" w:rsidP="00333B2F">
      <w:pPr>
        <w:pStyle w:val="NormalWeb"/>
        <w:spacing w:before="0" w:beforeAutospacing="0" w:after="0" w:afterAutospacing="0"/>
        <w:jc w:val="both"/>
        <w:rPr>
          <w:sz w:val="20"/>
          <w:szCs w:val="20"/>
        </w:rPr>
      </w:pPr>
    </w:p>
    <w:p w14:paraId="63094A68" w14:textId="6CACD80A" w:rsidR="00333B2F" w:rsidRPr="00B51293" w:rsidRDefault="00333B2F" w:rsidP="00333B2F">
      <w:pPr>
        <w:pStyle w:val="NormalWeb"/>
        <w:spacing w:before="0" w:beforeAutospacing="0" w:after="0" w:afterAutospacing="0"/>
        <w:jc w:val="both"/>
        <w:rPr>
          <w:sz w:val="20"/>
          <w:szCs w:val="20"/>
        </w:rPr>
      </w:pPr>
      <w:r w:rsidRPr="00B51293">
        <w:rPr>
          <w:color w:val="000000"/>
          <w:sz w:val="20"/>
          <w:szCs w:val="20"/>
        </w:rPr>
        <w:lastRenderedPageBreak/>
        <w:t>For the onward transmission, we explored three reproduction number values: a constant value of 0.8 or 1.2 with a range generated as +/- 5% of the constant value. For a time-varying estimate “</w:t>
      </w:r>
      <w:r w:rsidRPr="00B51293">
        <w:rPr>
          <w:i/>
          <w:iCs/>
          <w:color w:val="000000"/>
          <w:sz w:val="20"/>
          <w:szCs w:val="20"/>
        </w:rPr>
        <w:t>Rt”</w:t>
      </w:r>
      <w:r w:rsidRPr="00B51293">
        <w:rPr>
          <w:color w:val="000000"/>
          <w:sz w:val="20"/>
          <w:szCs w:val="20"/>
        </w:rPr>
        <w:t xml:space="preserve"> we took upper/lower bounds for the 50% credible interval from a publicly available repository </w:t>
      </w:r>
      <w:r w:rsidR="00173783" w:rsidRPr="00B51293">
        <w:rPr>
          <w:color w:val="000000"/>
          <w:sz w:val="20"/>
          <w:szCs w:val="20"/>
        </w:rPr>
        <w:fldChar w:fldCharType="begin"/>
      </w:r>
      <w:r w:rsidR="003516A5">
        <w:rPr>
          <w:color w:val="000000"/>
          <w:sz w:val="20"/>
          <w:szCs w:val="20"/>
        </w:rPr>
        <w:instrText xml:space="preserve"> ADDIN ZOTERO_ITEM CSL_CITATION {"citationID":"a71bf78p52","properties":{"formattedCitation":"(12)","plainCitation":"(12)","noteIndex":0},"citationItems":[{"id":20277,"uris":["http://zotero.org/users/6698211/items/6IVARBT3"],"itemData":{"id":20277,"type":"article-journal","abstract":"Background:\n              Assessing temporal variations in transmission in different countries is essential for monitoring the epidemic, evaluating the effectiveness of public health interventions and estimating the impact of changes in policy.\n            \n            \n            \n              Methods:\n              We use case and death notification data to generate daily estimates of the time-varying reproduction number globally, regionally, nationally, and subnationally over a 12-week rolling window. Our modelling framework, based on open source tooling, accounts for uncertainty in reporting delays, so that the reproduction number is estimated based on underlying latent infections.\n            \n            \n            \n              Results:\n              Estimates of the reproduction number, trajectories of infections, and forecasts are displayed on a dedicated website as both maps and time series, and made available to download in tabular form.\n            \n            \n            \n              Conclusions:\n               This decision-support tool can be used to assess changes in virus transmission both globally, regionally, nationally, and subnationally. This allows public health officials and policymakers to track the progress of the outbreak in near real-time using an epidemiologically valid measure. As well as providing regular updates on our website, we also provide an open source tool-set so that our approach can be used directly by researchers and policymakers on confidential data-sets. We hope that our tool will be used to support decisions in countries worldwide throughout the ongoing COVID-19 pandemic.","container-title":"Wellcome Open Research","DOI":"10.12688/wellcomeopenres.16006.2","ISSN":"2398-502X","journalAbbreviation":"Wellcome Open Res","language":"en","page":"112","source":"DOI.org (Crossref)","title":"Estimating the time-varying reproduction number of SARS-CoV-2 using national and subnational case counts","volume":"5","author":[{"family":"Abbott","given":"Sam"},{"family":"Hellewell","given":"Joel"},{"family":"Thompson","given":"Robin N."},{"family":"Sherratt","given":"Katharine"},{"family":"Gibbs","given":"Hamish P."},{"family":"Bosse","given":"Nikos I."},{"family":"Munday","given":"James D."},{"family":"Meakin","given":"Sophie"},{"family":"Doughty","given":"Emma L."},{"family":"Chun","given":"June Young"},{"family":"Chan","given":"Yung-Wai Desmond"},{"family":"Finger","given":"Flavio"},{"family":"Campbell","given":"Paul"},{"family":"Endo","given":"Akira"},{"family":"Pearson","given":"Carl A. B."},{"family":"Gimma","given":"Amy"},{"family":"Russell","given":"Tim"},{"literal":"CMMID COVID modelling group"},{"family":"Flasche","given":"Stefan"},{"family":"Kucharski","given":"Adam J."},{"family":"Eggo","given":"Rosalind M."},{"family":"Funk","given":"Sebastian"}],"issued":{"date-parts":[["2020",12,8]]}}}],"schema":"https://github.com/citation-style-language/schema/raw/master/csl-citation.json"} </w:instrText>
      </w:r>
      <w:r w:rsidR="00173783" w:rsidRPr="00B51293">
        <w:rPr>
          <w:color w:val="000000"/>
          <w:sz w:val="20"/>
          <w:szCs w:val="20"/>
        </w:rPr>
        <w:fldChar w:fldCharType="separate"/>
      </w:r>
      <w:r w:rsidR="003516A5">
        <w:rPr>
          <w:color w:val="000000"/>
          <w:sz w:val="20"/>
          <w:szCs w:val="20"/>
        </w:rPr>
        <w:t>(12)</w:t>
      </w:r>
      <w:r w:rsidR="00173783" w:rsidRPr="00B51293">
        <w:rPr>
          <w:color w:val="000000"/>
          <w:sz w:val="20"/>
          <w:szCs w:val="20"/>
        </w:rPr>
        <w:fldChar w:fldCharType="end"/>
      </w:r>
      <w:r w:rsidRPr="00B51293">
        <w:rPr>
          <w:color w:val="000000"/>
          <w:sz w:val="20"/>
          <w:szCs w:val="20"/>
        </w:rPr>
        <w:t xml:space="preserve"> (</w:t>
      </w:r>
      <w:r w:rsidR="003516A5">
        <w:rPr>
          <w:color w:val="000000"/>
          <w:sz w:val="20"/>
          <w:szCs w:val="20"/>
        </w:rPr>
        <w:t xml:space="preserve">Additional File </w:t>
      </w:r>
      <w:r w:rsidRPr="00B51293">
        <w:rPr>
          <w:color w:val="000000"/>
          <w:sz w:val="20"/>
          <w:szCs w:val="20"/>
        </w:rPr>
        <w:t xml:space="preserve">9). Mean and 95% ranges for onward transmission infections and case numbers are presented as over the 600 simulations generated from 200 simulations on each </w:t>
      </w:r>
      <w:r w:rsidRPr="00B51293">
        <w:rPr>
          <w:i/>
          <w:iCs/>
          <w:color w:val="000000"/>
          <w:sz w:val="20"/>
          <w:szCs w:val="20"/>
        </w:rPr>
        <w:t xml:space="preserve">R </w:t>
      </w:r>
      <w:r w:rsidRPr="00B51293">
        <w:rPr>
          <w:color w:val="000000"/>
          <w:sz w:val="20"/>
          <w:szCs w:val="20"/>
        </w:rPr>
        <w:t>value (estimate, upper and lower bound).</w:t>
      </w:r>
    </w:p>
    <w:p w14:paraId="76785BF5" w14:textId="77777777" w:rsidR="00333B2F" w:rsidRPr="00B51293" w:rsidRDefault="00333B2F" w:rsidP="00333B2F">
      <w:pPr>
        <w:rPr>
          <w:rFonts w:ascii="Times New Roman" w:hAnsi="Times New Roman" w:cs="Times New Roman"/>
          <w:b/>
          <w:bCs/>
          <w:color w:val="000000" w:themeColor="text1"/>
          <w:sz w:val="20"/>
          <w:szCs w:val="20"/>
        </w:rPr>
      </w:pPr>
    </w:p>
    <w:p w14:paraId="026CC097" w14:textId="77777777" w:rsidR="00333B2F" w:rsidRPr="00B51293" w:rsidRDefault="00333B2F" w:rsidP="00333B2F">
      <w:pPr>
        <w:rPr>
          <w:rFonts w:ascii="Times New Roman" w:hAnsi="Times New Roman" w:cs="Times New Roman"/>
          <w:b/>
          <w:bCs/>
          <w:color w:val="000000" w:themeColor="text1"/>
          <w:sz w:val="20"/>
          <w:szCs w:val="20"/>
        </w:rPr>
      </w:pPr>
    </w:p>
    <w:p w14:paraId="21251AA1" w14:textId="77777777" w:rsidR="00C44346" w:rsidRPr="00B51293" w:rsidRDefault="00C44346" w:rsidP="00C44346">
      <w:pPr>
        <w:pStyle w:val="ListParagraph"/>
        <w:numPr>
          <w:ilvl w:val="0"/>
          <w:numId w:val="10"/>
        </w:numPr>
        <w:spacing w:line="240" w:lineRule="auto"/>
        <w:textAlignment w:val="baseline"/>
        <w:rPr>
          <w:rFonts w:ascii="Times New Roman" w:eastAsia="Times New Roman" w:hAnsi="Times New Roman" w:cs="Times New Roman"/>
          <w:b/>
          <w:bCs/>
          <w:color w:val="000000"/>
          <w:sz w:val="20"/>
          <w:szCs w:val="20"/>
          <w:lang w:val="en-GB"/>
        </w:rPr>
      </w:pPr>
      <w:r w:rsidRPr="00B51293">
        <w:rPr>
          <w:rFonts w:ascii="Times New Roman" w:eastAsia="Times New Roman" w:hAnsi="Times New Roman" w:cs="Times New Roman"/>
          <w:b/>
          <w:bCs/>
          <w:color w:val="000000"/>
          <w:sz w:val="20"/>
          <w:szCs w:val="20"/>
          <w:lang w:val="en-GB"/>
        </w:rPr>
        <w:t>Reclassifying community-acquired to hospital-acquired </w:t>
      </w:r>
    </w:p>
    <w:p w14:paraId="277B47B1" w14:textId="77777777" w:rsidR="00C44346" w:rsidRPr="00B51293" w:rsidRDefault="00C44346" w:rsidP="00C44346">
      <w:pPr>
        <w:spacing w:line="240" w:lineRule="auto"/>
        <w:jc w:val="left"/>
        <w:rPr>
          <w:rFonts w:ascii="Times New Roman" w:eastAsia="Times New Roman" w:hAnsi="Times New Roman" w:cs="Times New Roman"/>
          <w:sz w:val="20"/>
          <w:szCs w:val="20"/>
          <w:lang w:val="en-GB"/>
        </w:rPr>
      </w:pPr>
    </w:p>
    <w:p w14:paraId="3F7A1A6E" w14:textId="77777777" w:rsidR="00C44346" w:rsidRPr="00B51293" w:rsidRDefault="00C44346" w:rsidP="00C44346">
      <w:pPr>
        <w:spacing w:line="240" w:lineRule="auto"/>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The number of unadjusted identified hospital-acquired COVID-19 cases is from the inflated CO-CIN dataset (“hospital-onset, hospital-acquired” cases, Figure 2, Table 1). The unadjusted community-acquired classifications were then defined as the difference between the total number of COVID-19 hospital admissions and the unadjusted identified hospital-acquired COVID-19 cases. </w:t>
      </w:r>
    </w:p>
    <w:p w14:paraId="4A54D297" w14:textId="77777777" w:rsidR="00C44346" w:rsidRPr="00B51293" w:rsidRDefault="00C44346" w:rsidP="00C44346">
      <w:pPr>
        <w:spacing w:line="240" w:lineRule="auto"/>
        <w:jc w:val="left"/>
        <w:rPr>
          <w:rFonts w:ascii="Times New Roman" w:eastAsia="Times New Roman" w:hAnsi="Times New Roman" w:cs="Times New Roman"/>
          <w:sz w:val="20"/>
          <w:szCs w:val="20"/>
          <w:lang w:val="en-GB"/>
        </w:rPr>
      </w:pPr>
    </w:p>
    <w:p w14:paraId="331FC286" w14:textId="77777777" w:rsidR="00C44346" w:rsidRPr="00B51293" w:rsidRDefault="00C44346" w:rsidP="00C44346">
      <w:pPr>
        <w:spacing w:line="240" w:lineRule="auto"/>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We adjusted the number of hospital-acquired cases by adding our model estimates of (1) "community-onset, hospital-acquired" and (2) any hospital-linked cases, to the identified hospital-acquired case numbers ("adjusted" hospital-acquired assignations). The "adjusted" community-acquired classifications are then altered accordingly. We then calculated the proportion of community cases that were reassigned as (unadjusted community # - adjusted community #) / (unadjusted community #).</w:t>
      </w:r>
    </w:p>
    <w:p w14:paraId="64765616" w14:textId="77777777" w:rsidR="00C44346" w:rsidRPr="00B51293" w:rsidRDefault="00C44346" w:rsidP="00C44346">
      <w:pPr>
        <w:spacing w:line="240" w:lineRule="auto"/>
        <w:jc w:val="left"/>
        <w:rPr>
          <w:rFonts w:ascii="Times New Roman" w:eastAsia="Times New Roman" w:hAnsi="Times New Roman" w:cs="Times New Roman"/>
          <w:sz w:val="20"/>
          <w:szCs w:val="20"/>
          <w:lang w:val="en-GB"/>
        </w:rPr>
      </w:pPr>
    </w:p>
    <w:p w14:paraId="2AD167CE" w14:textId="77777777" w:rsidR="00C44346" w:rsidRPr="00B51293" w:rsidRDefault="00C44346" w:rsidP="00C44346">
      <w:pPr>
        <w:spacing w:line="240" w:lineRule="auto"/>
        <w:rPr>
          <w:rFonts w:ascii="Times New Roman" w:eastAsia="Times New Roman" w:hAnsi="Times New Roman" w:cs="Times New Roman"/>
          <w:color w:val="000000"/>
          <w:sz w:val="20"/>
          <w:szCs w:val="20"/>
          <w:lang w:val="en-GB"/>
        </w:rPr>
      </w:pPr>
      <w:r w:rsidRPr="00B51293">
        <w:rPr>
          <w:rFonts w:ascii="Times New Roman" w:eastAsia="Times New Roman" w:hAnsi="Times New Roman" w:cs="Times New Roman"/>
          <w:color w:val="000000"/>
          <w:sz w:val="20"/>
          <w:szCs w:val="20"/>
          <w:lang w:val="en-GB"/>
        </w:rPr>
        <w:t xml:space="preserve">To calculate the counterfactual of no transmission in hospital settings, we compared the original total number of hospitalised cases to the adjusted community number (i.e. those that we did not model as being acquired-in or linked-to hospital settings). </w:t>
      </w:r>
    </w:p>
    <w:p w14:paraId="3E880D32" w14:textId="77777777" w:rsidR="007D4E10" w:rsidRPr="00B51293" w:rsidRDefault="007D4E10" w:rsidP="00C44346">
      <w:pPr>
        <w:spacing w:line="240" w:lineRule="auto"/>
        <w:rPr>
          <w:rFonts w:ascii="Times New Roman" w:eastAsia="Times New Roman" w:hAnsi="Times New Roman" w:cs="Times New Roman"/>
          <w:color w:val="000000"/>
          <w:sz w:val="20"/>
          <w:szCs w:val="20"/>
          <w:lang w:val="en-GB"/>
        </w:rPr>
      </w:pPr>
    </w:p>
    <w:p w14:paraId="046F1C52" w14:textId="77777777" w:rsidR="007D4E10" w:rsidRPr="00B51293" w:rsidRDefault="007D4E10" w:rsidP="007D4E10">
      <w:pPr>
        <w:pStyle w:val="NormalWeb"/>
        <w:spacing w:before="0" w:beforeAutospacing="0" w:after="0" w:afterAutospacing="0"/>
        <w:jc w:val="both"/>
        <w:rPr>
          <w:b/>
          <w:bCs/>
          <w:color w:val="000000"/>
          <w:sz w:val="20"/>
          <w:szCs w:val="20"/>
        </w:rPr>
      </w:pPr>
      <w:r w:rsidRPr="00B51293">
        <w:rPr>
          <w:b/>
          <w:bCs/>
          <w:color w:val="000000"/>
          <w:sz w:val="20"/>
          <w:szCs w:val="20"/>
        </w:rPr>
        <w:t xml:space="preserve">Total English burden </w:t>
      </w:r>
    </w:p>
    <w:p w14:paraId="359E3182" w14:textId="77777777" w:rsidR="00F679C0" w:rsidRPr="00B51293" w:rsidRDefault="007D4E10" w:rsidP="007D4E10">
      <w:pPr>
        <w:pStyle w:val="NormalWeb"/>
        <w:spacing w:before="0" w:beforeAutospacing="0" w:after="0" w:afterAutospacing="0"/>
        <w:jc w:val="both"/>
        <w:rPr>
          <w:sz w:val="20"/>
          <w:szCs w:val="20"/>
        </w:rPr>
      </w:pPr>
      <w:r w:rsidRPr="00B51293">
        <w:rPr>
          <w:color w:val="000000"/>
          <w:sz w:val="20"/>
          <w:szCs w:val="20"/>
        </w:rPr>
        <w:t xml:space="preserve">Acute Trusts in CO-CIN covered approximately 85% of the COVID-19 cases recorded in SUS. In order to give estimates for all English trusts, we multiplied our results by 1.17 and assumed similar levels of nosocomial transmission in non-acute English trusts. </w:t>
      </w:r>
    </w:p>
    <w:p w14:paraId="10DE1927" w14:textId="77777777" w:rsidR="00F679C0" w:rsidRPr="00B51293" w:rsidRDefault="00F679C0">
      <w:pPr>
        <w:rPr>
          <w:rFonts w:ascii="Times New Roman" w:hAnsi="Times New Roman" w:cs="Times New Roman"/>
          <w:b/>
          <w:color w:val="000000" w:themeColor="text1"/>
          <w:sz w:val="20"/>
          <w:szCs w:val="20"/>
        </w:rPr>
      </w:pPr>
    </w:p>
    <w:p w14:paraId="3377A73D" w14:textId="77777777" w:rsidR="00F679C0" w:rsidRPr="00B51293" w:rsidRDefault="00F679C0">
      <w:pPr>
        <w:rPr>
          <w:rFonts w:ascii="Times New Roman" w:hAnsi="Times New Roman" w:cs="Times New Roman"/>
          <w:b/>
          <w:color w:val="000000" w:themeColor="text1"/>
          <w:sz w:val="20"/>
          <w:szCs w:val="20"/>
        </w:rPr>
      </w:pPr>
    </w:p>
    <w:p w14:paraId="1057A03C" w14:textId="77777777" w:rsidR="00F679C0" w:rsidRPr="00B51293" w:rsidRDefault="00F679C0">
      <w:pPr>
        <w:rPr>
          <w:rFonts w:ascii="Times New Roman" w:hAnsi="Times New Roman" w:cs="Times New Roman"/>
          <w:b/>
          <w:color w:val="000000" w:themeColor="text1"/>
          <w:sz w:val="20"/>
          <w:szCs w:val="20"/>
        </w:rPr>
      </w:pPr>
    </w:p>
    <w:p w14:paraId="133ED8AB" w14:textId="77777777" w:rsidR="00F679C0" w:rsidRPr="00B51293" w:rsidRDefault="00F679C0">
      <w:pPr>
        <w:rPr>
          <w:rFonts w:ascii="Times New Roman" w:hAnsi="Times New Roman" w:cs="Times New Roman"/>
          <w:b/>
          <w:color w:val="000000" w:themeColor="text1"/>
          <w:sz w:val="20"/>
          <w:szCs w:val="20"/>
        </w:rPr>
        <w:sectPr w:rsidR="00F679C0" w:rsidRPr="00B51293" w:rsidSect="00DB1C4C">
          <w:pgSz w:w="12240" w:h="15840"/>
          <w:pgMar w:top="1440" w:right="1440" w:bottom="1440" w:left="1440" w:header="720" w:footer="720" w:gutter="0"/>
          <w:cols w:space="720"/>
          <w:docGrid w:linePitch="299"/>
        </w:sectPr>
      </w:pPr>
    </w:p>
    <w:p w14:paraId="7250CCCA" w14:textId="77777777" w:rsidR="00861B54" w:rsidRPr="00B51293" w:rsidRDefault="00861B54" w:rsidP="00861B54">
      <w:pPr>
        <w:pStyle w:val="Bibliography"/>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lastRenderedPageBreak/>
        <w:t>References</w:t>
      </w:r>
    </w:p>
    <w:p w14:paraId="3406674C" w14:textId="77777777" w:rsidR="003516A5" w:rsidRPr="003516A5" w:rsidRDefault="00861B54" w:rsidP="003516A5">
      <w:pPr>
        <w:pStyle w:val="Bibliography"/>
        <w:rPr>
          <w:rFonts w:ascii="Times New Roman" w:hAnsi="Times New Roman" w:cs="Times New Roman"/>
          <w:color w:val="000000"/>
          <w:sz w:val="20"/>
        </w:rPr>
      </w:pPr>
      <w:r w:rsidRPr="00B51293">
        <w:rPr>
          <w:b/>
          <w:color w:val="000000" w:themeColor="text1"/>
          <w:sz w:val="20"/>
          <w:szCs w:val="20"/>
        </w:rPr>
        <w:fldChar w:fldCharType="begin"/>
      </w:r>
      <w:r w:rsidR="003516A5">
        <w:rPr>
          <w:b/>
          <w:color w:val="000000" w:themeColor="text1"/>
          <w:sz w:val="20"/>
          <w:szCs w:val="20"/>
        </w:rPr>
        <w:instrText xml:space="preserve"> ADDIN ZOTERO_BIBL {"uncited":[],"omitted":[],"custom":[]} CSL_BIBLIOGRAPHY </w:instrText>
      </w:r>
      <w:r w:rsidRPr="00B51293">
        <w:rPr>
          <w:b/>
          <w:color w:val="000000" w:themeColor="text1"/>
          <w:sz w:val="20"/>
          <w:szCs w:val="20"/>
        </w:rPr>
        <w:fldChar w:fldCharType="separate"/>
      </w:r>
      <w:r w:rsidR="003516A5" w:rsidRPr="003516A5">
        <w:rPr>
          <w:rFonts w:ascii="Times New Roman" w:hAnsi="Times New Roman" w:cs="Times New Roman"/>
          <w:color w:val="000000"/>
          <w:sz w:val="20"/>
        </w:rPr>
        <w:t xml:space="preserve">1. </w:t>
      </w:r>
      <w:r w:rsidR="003516A5" w:rsidRPr="003516A5">
        <w:rPr>
          <w:rFonts w:ascii="Times New Roman" w:hAnsi="Times New Roman" w:cs="Times New Roman"/>
          <w:color w:val="000000"/>
          <w:sz w:val="20"/>
        </w:rPr>
        <w:tab/>
        <w:t>Knock ES, Whittles LK, Lees J. Report 41 - The 2020 SARS-CoV-2 epidemic in England: key epidemiological drivers and impact of interventions [Internet]. Imperial College London. 2020 [cited 2021 Mar 8]. Available from: https://doi.org/10.25561/85146</w:t>
      </w:r>
    </w:p>
    <w:p w14:paraId="74B5B0FD"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2. </w:t>
      </w:r>
      <w:r w:rsidRPr="003516A5">
        <w:rPr>
          <w:rFonts w:ascii="Times New Roman" w:hAnsi="Times New Roman" w:cs="Times New Roman"/>
          <w:color w:val="000000"/>
          <w:sz w:val="20"/>
        </w:rPr>
        <w:tab/>
        <w:t xml:space="preserve">Verity R, Okell LC, Dorigatti I, Winskill P, Whittaker C, Imai N, et al. Estimates of the severity of coronavirus disease 2019: a model-based analysis. Lancet Infect Dis. 2020 Jun 1;20(6):669–77. </w:t>
      </w:r>
    </w:p>
    <w:p w14:paraId="7953C6B4"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3. </w:t>
      </w:r>
      <w:r w:rsidRPr="003516A5">
        <w:rPr>
          <w:rFonts w:ascii="Times New Roman" w:hAnsi="Times New Roman" w:cs="Times New Roman"/>
          <w:color w:val="000000"/>
          <w:sz w:val="20"/>
        </w:rPr>
        <w:tab/>
        <w:t>Hospital Admitted Patient Care Activity, 2015-16 [Internet]. NHS Digital. 2018 [cited 2021 Mar 8]. Available from: https://digital.nhs.uk/data-and-information/publications/statistical/hospital-admitted-patient-care-activity/2015-16</w:t>
      </w:r>
    </w:p>
    <w:p w14:paraId="1DFADDB4"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4. </w:t>
      </w:r>
      <w:r w:rsidRPr="003516A5">
        <w:rPr>
          <w:rFonts w:ascii="Times New Roman" w:hAnsi="Times New Roman" w:cs="Times New Roman"/>
          <w:color w:val="000000"/>
          <w:sz w:val="20"/>
        </w:rPr>
        <w:tab/>
        <w:t xml:space="preserve">Lauer SA, Grantz KH, Bi Q, Jones FK, Zheng Q, Meredith HR, et al. The Incubation Period of Coronavirus Disease 2019 (COVID-19) From Publicly Reported Confirmed Cases: Estimation and Application. Ann Intern Med. 2020 May 5;172(9):577–82. </w:t>
      </w:r>
    </w:p>
    <w:p w14:paraId="3C181509"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5. </w:t>
      </w:r>
      <w:r w:rsidRPr="003516A5">
        <w:rPr>
          <w:rFonts w:ascii="Times New Roman" w:hAnsi="Times New Roman" w:cs="Times New Roman"/>
          <w:color w:val="000000"/>
          <w:sz w:val="20"/>
        </w:rPr>
        <w:tab/>
        <w:t xml:space="preserve">McAloon C, Collins Á, Hunt K, Barber A, Byrne AW, Butler F, et al. Incubation period of COVID-19: a rapid systematic review and meta-analysis of observational research. BMJ Open. 2020 Aug 16;10(8):e039652. </w:t>
      </w:r>
    </w:p>
    <w:p w14:paraId="02EBE186"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6. </w:t>
      </w:r>
      <w:r w:rsidRPr="003516A5">
        <w:rPr>
          <w:rFonts w:ascii="Times New Roman" w:hAnsi="Times New Roman" w:cs="Times New Roman"/>
          <w:color w:val="000000"/>
          <w:sz w:val="20"/>
        </w:rPr>
        <w:tab/>
        <w:t xml:space="preserve">Davies NG, Kucharski AJ, Eggo RM, Gimma A, Edmunds WJ, Jombart T, et al. Effects of non-pharmaceutical interventions on COVID-19 cases, deaths, and demand for hospital services in the UK: a modelling study. Lancet Public Health. 2020 Jul 1;5(7):e375–85. </w:t>
      </w:r>
    </w:p>
    <w:p w14:paraId="2E3790B2"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7. </w:t>
      </w:r>
      <w:r w:rsidRPr="003516A5">
        <w:rPr>
          <w:rFonts w:ascii="Times New Roman" w:hAnsi="Times New Roman" w:cs="Times New Roman"/>
          <w:color w:val="000000"/>
          <w:sz w:val="20"/>
        </w:rPr>
        <w:tab/>
        <w:t xml:space="preserve">Boddington NL, Charlett A, Elgohari S, Walker JL, McDonald HI, Byers C, et al. COVID-19 in Great Britain: epidemiological and clinical characteristics of the first few hundred (FF100) cases: a descriptive case series and case control analysis. medRxiv. 2020 May 22;2020.05.18.20086157. </w:t>
      </w:r>
    </w:p>
    <w:p w14:paraId="24B6CD4B"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8. </w:t>
      </w:r>
      <w:r w:rsidRPr="003516A5">
        <w:rPr>
          <w:rFonts w:ascii="Times New Roman" w:hAnsi="Times New Roman" w:cs="Times New Roman"/>
          <w:color w:val="000000"/>
          <w:sz w:val="20"/>
        </w:rPr>
        <w:tab/>
        <w:t xml:space="preserve">Griffin J, Casey M, Collins Á, Hunt K, McEvoy D, Byrne A, et al. Rapid review of available evidence on the serial interval and generation time of COVID-19. BMJ Open. 2020 Nov 1;10(11):e040263. </w:t>
      </w:r>
    </w:p>
    <w:p w14:paraId="13EE6B73"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9. </w:t>
      </w:r>
      <w:r w:rsidRPr="003516A5">
        <w:rPr>
          <w:rFonts w:ascii="Times New Roman" w:hAnsi="Times New Roman" w:cs="Times New Roman"/>
          <w:color w:val="000000"/>
          <w:sz w:val="20"/>
        </w:rPr>
        <w:tab/>
        <w:t xml:space="preserve">Luo C, Ma Y, Jiang P, Zhang T, Yin F. The construction and visualization of the transmission networks for COVID-19: A potential solution for contact tracing and assessments of epidemics. Sci Rep. 2021 Apr 21;11(1):8605. </w:t>
      </w:r>
    </w:p>
    <w:p w14:paraId="3C9CCCE8"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10. </w:t>
      </w:r>
      <w:r w:rsidRPr="003516A5">
        <w:rPr>
          <w:rFonts w:ascii="Times New Roman" w:hAnsi="Times New Roman" w:cs="Times New Roman"/>
          <w:color w:val="000000"/>
          <w:sz w:val="20"/>
        </w:rPr>
        <w:tab/>
        <w:t xml:space="preserve">Geoghegan JL, Ren X, Storey M, Hadfield J, Jelley L, Jefferies S, et al. Genomic epidemiology reveals transmission patterns and dynamics of SARS-CoV-2 in Aotearoa New Zealand. Nat Commun. 2020 Dec 11;11(1):6351. </w:t>
      </w:r>
    </w:p>
    <w:p w14:paraId="666DA79C"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11. </w:t>
      </w:r>
      <w:r w:rsidRPr="003516A5">
        <w:rPr>
          <w:rFonts w:ascii="Times New Roman" w:hAnsi="Times New Roman" w:cs="Times New Roman"/>
          <w:color w:val="000000"/>
          <w:sz w:val="20"/>
        </w:rPr>
        <w:tab/>
        <w:t xml:space="preserve">Plessis L du, McCrone JT, Zarebski AE, Hill V, Ruis C, Gutierrez B, et al. Establishment and lineage dynamics of the SARS-CoV-2 epidemic in the UK. Science. 2021 Feb 12;371(6530):708–12. </w:t>
      </w:r>
    </w:p>
    <w:p w14:paraId="17C408E1" w14:textId="77777777" w:rsidR="003516A5" w:rsidRPr="003516A5" w:rsidRDefault="003516A5" w:rsidP="003516A5">
      <w:pPr>
        <w:pStyle w:val="Bibliography"/>
        <w:rPr>
          <w:rFonts w:ascii="Times New Roman" w:hAnsi="Times New Roman" w:cs="Times New Roman"/>
          <w:color w:val="000000"/>
          <w:sz w:val="20"/>
        </w:rPr>
      </w:pPr>
      <w:r w:rsidRPr="003516A5">
        <w:rPr>
          <w:rFonts w:ascii="Times New Roman" w:hAnsi="Times New Roman" w:cs="Times New Roman"/>
          <w:color w:val="000000"/>
          <w:sz w:val="20"/>
        </w:rPr>
        <w:t xml:space="preserve">12. </w:t>
      </w:r>
      <w:r w:rsidRPr="003516A5">
        <w:rPr>
          <w:rFonts w:ascii="Times New Roman" w:hAnsi="Times New Roman" w:cs="Times New Roman"/>
          <w:color w:val="000000"/>
          <w:sz w:val="20"/>
        </w:rPr>
        <w:tab/>
        <w:t xml:space="preserve">Abbott S, Hellewell J, Thompson RN, Sherratt K, Gibbs HP, Bosse NI, et al. Estimating the time-varying reproduction number of SARS-CoV-2 using national and subnational case counts. Wellcome Open Res. 2020 Dec 8;5:112. </w:t>
      </w:r>
    </w:p>
    <w:p w14:paraId="044062C3" w14:textId="37C02AF1" w:rsidR="00861B54" w:rsidRPr="00B51293" w:rsidRDefault="00861B54" w:rsidP="00861B54">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fldChar w:fldCharType="end"/>
      </w:r>
    </w:p>
    <w:p w14:paraId="3519984D" w14:textId="77777777" w:rsidR="00F679C0" w:rsidRPr="00B51293" w:rsidRDefault="00F679C0">
      <w:pPr>
        <w:widowControl w:val="0"/>
        <w:pBdr>
          <w:top w:val="nil"/>
          <w:left w:val="nil"/>
          <w:bottom w:val="nil"/>
          <w:right w:val="nil"/>
          <w:between w:val="nil"/>
        </w:pBdr>
        <w:jc w:val="left"/>
        <w:rPr>
          <w:rFonts w:ascii="Times New Roman" w:hAnsi="Times New Roman" w:cs="Times New Roman"/>
          <w:b/>
          <w:color w:val="000000" w:themeColor="text1"/>
          <w:sz w:val="20"/>
          <w:szCs w:val="20"/>
        </w:rPr>
      </w:pPr>
    </w:p>
    <w:sectPr w:rsidR="00F679C0" w:rsidRPr="00B51293" w:rsidSect="00861B5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AC2D6" w14:textId="77777777" w:rsidR="00981A6A" w:rsidRDefault="00981A6A">
      <w:pPr>
        <w:spacing w:line="240" w:lineRule="auto"/>
      </w:pPr>
      <w:r>
        <w:separator/>
      </w:r>
    </w:p>
  </w:endnote>
  <w:endnote w:type="continuationSeparator" w:id="0">
    <w:p w14:paraId="6809FD06" w14:textId="77777777" w:rsidR="00981A6A" w:rsidRDefault="00981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BF1A" w14:textId="77777777" w:rsidR="00F679C0" w:rsidRDefault="00F67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DB0C" w14:textId="77777777" w:rsidR="00981A6A" w:rsidRDefault="00981A6A">
      <w:pPr>
        <w:spacing w:line="240" w:lineRule="auto"/>
      </w:pPr>
      <w:r>
        <w:separator/>
      </w:r>
    </w:p>
  </w:footnote>
  <w:footnote w:type="continuationSeparator" w:id="0">
    <w:p w14:paraId="6F6DF122" w14:textId="77777777" w:rsidR="00981A6A" w:rsidRDefault="00981A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E3D"/>
    <w:multiLevelType w:val="multilevel"/>
    <w:tmpl w:val="F1C6F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135E4A"/>
    <w:multiLevelType w:val="multilevel"/>
    <w:tmpl w:val="FED6E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F559A"/>
    <w:multiLevelType w:val="multilevel"/>
    <w:tmpl w:val="866A0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1150"/>
    <w:multiLevelType w:val="multilevel"/>
    <w:tmpl w:val="D4D46E1E"/>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4" w15:restartNumberingAfterBreak="0">
    <w:nsid w:val="45D53993"/>
    <w:multiLevelType w:val="multilevel"/>
    <w:tmpl w:val="F19EC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CF285B"/>
    <w:multiLevelType w:val="multilevel"/>
    <w:tmpl w:val="BB042726"/>
    <w:lvl w:ilvl="0">
      <w:start w:val="1"/>
      <w:numFmt w:val="decimal"/>
      <w:lvlText w:val="%1."/>
      <w:lvlJc w:val="left"/>
      <w:pPr>
        <w:ind w:left="720" w:hanging="360"/>
      </w:pPr>
      <w:rPr>
        <w:u w:val="none"/>
      </w:rPr>
    </w:lvl>
    <w:lvl w:ilvl="1">
      <w:start w:val="1"/>
      <w:numFmt w:val="lowerLetter"/>
      <w:lvlText w:val="%2."/>
      <w:lvlJc w:val="left"/>
      <w:pPr>
        <w:ind w:left="42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514819"/>
    <w:multiLevelType w:val="hybridMultilevel"/>
    <w:tmpl w:val="43DE2842"/>
    <w:lvl w:ilvl="0" w:tplc="66D80E06">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547C3"/>
    <w:multiLevelType w:val="multilevel"/>
    <w:tmpl w:val="8178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4727F"/>
    <w:multiLevelType w:val="multilevel"/>
    <w:tmpl w:val="8EC6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D06E4D"/>
    <w:multiLevelType w:val="multilevel"/>
    <w:tmpl w:val="B1BE7A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593531"/>
    <w:multiLevelType w:val="hybridMultilevel"/>
    <w:tmpl w:val="23C6E47A"/>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043799">
    <w:abstractNumId w:val="3"/>
  </w:num>
  <w:num w:numId="2" w16cid:durableId="1664888809">
    <w:abstractNumId w:val="8"/>
  </w:num>
  <w:num w:numId="3" w16cid:durableId="1336573775">
    <w:abstractNumId w:val="5"/>
  </w:num>
  <w:num w:numId="4" w16cid:durableId="1482887732">
    <w:abstractNumId w:val="0"/>
  </w:num>
  <w:num w:numId="5" w16cid:durableId="1922060738">
    <w:abstractNumId w:val="4"/>
  </w:num>
  <w:num w:numId="6" w16cid:durableId="69891676">
    <w:abstractNumId w:val="9"/>
  </w:num>
  <w:num w:numId="7" w16cid:durableId="593393823">
    <w:abstractNumId w:val="1"/>
  </w:num>
  <w:num w:numId="8" w16cid:durableId="1999309915">
    <w:abstractNumId w:val="6"/>
  </w:num>
  <w:num w:numId="9" w16cid:durableId="621502802">
    <w:abstractNumId w:val="7"/>
    <w:lvlOverride w:ilvl="0">
      <w:lvl w:ilvl="0">
        <w:numFmt w:val="lowerLetter"/>
        <w:lvlText w:val="%1."/>
        <w:lvlJc w:val="left"/>
      </w:lvl>
    </w:lvlOverride>
  </w:num>
  <w:num w:numId="10" w16cid:durableId="897012882">
    <w:abstractNumId w:val="10"/>
  </w:num>
  <w:num w:numId="11" w16cid:durableId="921985445">
    <w:abstractNumId w:val="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0"/>
    <w:rsid w:val="00005467"/>
    <w:rsid w:val="00047823"/>
    <w:rsid w:val="00067851"/>
    <w:rsid w:val="000A3253"/>
    <w:rsid w:val="000F1E26"/>
    <w:rsid w:val="00126DFF"/>
    <w:rsid w:val="0013002E"/>
    <w:rsid w:val="00150B70"/>
    <w:rsid w:val="001535D2"/>
    <w:rsid w:val="00173783"/>
    <w:rsid w:val="001A4463"/>
    <w:rsid w:val="002153EF"/>
    <w:rsid w:val="002367EA"/>
    <w:rsid w:val="002A6092"/>
    <w:rsid w:val="002E6F90"/>
    <w:rsid w:val="00305CDC"/>
    <w:rsid w:val="003134BE"/>
    <w:rsid w:val="00333B2F"/>
    <w:rsid w:val="00344BB2"/>
    <w:rsid w:val="003516A5"/>
    <w:rsid w:val="003A64BF"/>
    <w:rsid w:val="003B3EEA"/>
    <w:rsid w:val="003B5B3B"/>
    <w:rsid w:val="003D40FA"/>
    <w:rsid w:val="003D5ED0"/>
    <w:rsid w:val="003E10CE"/>
    <w:rsid w:val="0042182A"/>
    <w:rsid w:val="00423DF3"/>
    <w:rsid w:val="004667FB"/>
    <w:rsid w:val="004932E8"/>
    <w:rsid w:val="004C766E"/>
    <w:rsid w:val="00540299"/>
    <w:rsid w:val="005740CB"/>
    <w:rsid w:val="005C03C1"/>
    <w:rsid w:val="005C2C68"/>
    <w:rsid w:val="006309F4"/>
    <w:rsid w:val="006B0A71"/>
    <w:rsid w:val="006B3DAD"/>
    <w:rsid w:val="006C52E5"/>
    <w:rsid w:val="006D7E4F"/>
    <w:rsid w:val="00741C5A"/>
    <w:rsid w:val="00756D1B"/>
    <w:rsid w:val="007D4E10"/>
    <w:rsid w:val="007E3A3C"/>
    <w:rsid w:val="007F4DD1"/>
    <w:rsid w:val="00843667"/>
    <w:rsid w:val="00861B54"/>
    <w:rsid w:val="008C22A3"/>
    <w:rsid w:val="008E0D42"/>
    <w:rsid w:val="00932369"/>
    <w:rsid w:val="00961C90"/>
    <w:rsid w:val="00964B11"/>
    <w:rsid w:val="00964F0C"/>
    <w:rsid w:val="00981A6A"/>
    <w:rsid w:val="009D597C"/>
    <w:rsid w:val="00A111B7"/>
    <w:rsid w:val="00A34774"/>
    <w:rsid w:val="00A632DC"/>
    <w:rsid w:val="00A81FEC"/>
    <w:rsid w:val="00A85076"/>
    <w:rsid w:val="00AC7D5F"/>
    <w:rsid w:val="00AD6539"/>
    <w:rsid w:val="00B04836"/>
    <w:rsid w:val="00B11828"/>
    <w:rsid w:val="00B13742"/>
    <w:rsid w:val="00B40E23"/>
    <w:rsid w:val="00B51293"/>
    <w:rsid w:val="00B520DF"/>
    <w:rsid w:val="00B9476D"/>
    <w:rsid w:val="00BA12EE"/>
    <w:rsid w:val="00BB4FE5"/>
    <w:rsid w:val="00BC3A93"/>
    <w:rsid w:val="00BF088E"/>
    <w:rsid w:val="00C362D7"/>
    <w:rsid w:val="00C44346"/>
    <w:rsid w:val="00C81A08"/>
    <w:rsid w:val="00C95B83"/>
    <w:rsid w:val="00CB4A7A"/>
    <w:rsid w:val="00CC193F"/>
    <w:rsid w:val="00CD6C7D"/>
    <w:rsid w:val="00D918FA"/>
    <w:rsid w:val="00D94350"/>
    <w:rsid w:val="00D94C7C"/>
    <w:rsid w:val="00DA207F"/>
    <w:rsid w:val="00DB1C4C"/>
    <w:rsid w:val="00DE4808"/>
    <w:rsid w:val="00DE6F3B"/>
    <w:rsid w:val="00E35329"/>
    <w:rsid w:val="00E45E40"/>
    <w:rsid w:val="00E74F1F"/>
    <w:rsid w:val="00EA102E"/>
    <w:rsid w:val="00EB22F8"/>
    <w:rsid w:val="00EE3D0C"/>
    <w:rsid w:val="00EE536B"/>
    <w:rsid w:val="00F237F5"/>
    <w:rsid w:val="00F679C0"/>
    <w:rsid w:val="00F67B91"/>
    <w:rsid w:val="00FC2B1E"/>
    <w:rsid w:val="00FE0746"/>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ACDFCD"/>
  <w15:docId w15:val="{9226F7EA-7B4A-184D-BDF2-D82B36EB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FE0746"/>
    <w:pPr>
      <w:tabs>
        <w:tab w:val="left" w:pos="380"/>
        <w:tab w:val="left" w:pos="500"/>
      </w:tabs>
      <w:spacing w:after="240" w:line="240" w:lineRule="auto"/>
      <w:ind w:left="504" w:hanging="504"/>
    </w:pPr>
  </w:style>
  <w:style w:type="character" w:customStyle="1" w:styleId="Heading4Char">
    <w:name w:val="Heading 4 Char"/>
    <w:basedOn w:val="DefaultParagraphFont"/>
    <w:link w:val="Heading4"/>
    <w:uiPriority w:val="9"/>
    <w:rsid w:val="00F67B91"/>
    <w:rPr>
      <w:color w:val="666666"/>
      <w:sz w:val="24"/>
      <w:szCs w:val="24"/>
    </w:rPr>
  </w:style>
  <w:style w:type="paragraph" w:styleId="NormalWeb">
    <w:name w:val="Normal (Web)"/>
    <w:basedOn w:val="Normal"/>
    <w:uiPriority w:val="99"/>
    <w:unhideWhenUsed/>
    <w:rsid w:val="00F67B91"/>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94350"/>
    <w:pPr>
      <w:ind w:left="720"/>
      <w:contextualSpacing/>
    </w:pPr>
  </w:style>
  <w:style w:type="character" w:styleId="Hyperlink">
    <w:name w:val="Hyperlink"/>
    <w:basedOn w:val="DefaultParagraphFont"/>
    <w:uiPriority w:val="99"/>
    <w:unhideWhenUsed/>
    <w:rsid w:val="00B13742"/>
    <w:rPr>
      <w:color w:val="0000FF" w:themeColor="hyperlink"/>
      <w:u w:val="single"/>
    </w:rPr>
  </w:style>
  <w:style w:type="character" w:styleId="UnresolvedMention">
    <w:name w:val="Unresolved Mention"/>
    <w:basedOn w:val="DefaultParagraphFont"/>
    <w:uiPriority w:val="99"/>
    <w:semiHidden/>
    <w:unhideWhenUsed/>
    <w:rsid w:val="00B13742"/>
    <w:rPr>
      <w:color w:val="605E5C"/>
      <w:shd w:val="clear" w:color="auto" w:fill="E1DFDD"/>
    </w:rPr>
  </w:style>
  <w:style w:type="character" w:styleId="FollowedHyperlink">
    <w:name w:val="FollowedHyperlink"/>
    <w:basedOn w:val="DefaultParagraphFont"/>
    <w:uiPriority w:val="99"/>
    <w:semiHidden/>
    <w:unhideWhenUsed/>
    <w:rsid w:val="000A3253"/>
    <w:rPr>
      <w:color w:val="800080" w:themeColor="followedHyperlink"/>
      <w:u w:val="single"/>
    </w:rPr>
  </w:style>
  <w:style w:type="table" w:styleId="TableGrid">
    <w:name w:val="Table Grid"/>
    <w:basedOn w:val="TableNormal"/>
    <w:uiPriority w:val="39"/>
    <w:rsid w:val="00344B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A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790">
      <w:bodyDiv w:val="1"/>
      <w:marLeft w:val="0"/>
      <w:marRight w:val="0"/>
      <w:marTop w:val="0"/>
      <w:marBottom w:val="0"/>
      <w:divBdr>
        <w:top w:val="none" w:sz="0" w:space="0" w:color="auto"/>
        <w:left w:val="none" w:sz="0" w:space="0" w:color="auto"/>
        <w:bottom w:val="none" w:sz="0" w:space="0" w:color="auto"/>
        <w:right w:val="none" w:sz="0" w:space="0" w:color="auto"/>
      </w:divBdr>
    </w:div>
    <w:div w:id="144131329">
      <w:bodyDiv w:val="1"/>
      <w:marLeft w:val="0"/>
      <w:marRight w:val="0"/>
      <w:marTop w:val="0"/>
      <w:marBottom w:val="0"/>
      <w:divBdr>
        <w:top w:val="none" w:sz="0" w:space="0" w:color="auto"/>
        <w:left w:val="none" w:sz="0" w:space="0" w:color="auto"/>
        <w:bottom w:val="none" w:sz="0" w:space="0" w:color="auto"/>
        <w:right w:val="none" w:sz="0" w:space="0" w:color="auto"/>
      </w:divBdr>
    </w:div>
    <w:div w:id="241918681">
      <w:bodyDiv w:val="1"/>
      <w:marLeft w:val="0"/>
      <w:marRight w:val="0"/>
      <w:marTop w:val="0"/>
      <w:marBottom w:val="0"/>
      <w:divBdr>
        <w:top w:val="none" w:sz="0" w:space="0" w:color="auto"/>
        <w:left w:val="none" w:sz="0" w:space="0" w:color="auto"/>
        <w:bottom w:val="none" w:sz="0" w:space="0" w:color="auto"/>
        <w:right w:val="none" w:sz="0" w:space="0" w:color="auto"/>
      </w:divBdr>
    </w:div>
    <w:div w:id="256789386">
      <w:bodyDiv w:val="1"/>
      <w:marLeft w:val="0"/>
      <w:marRight w:val="0"/>
      <w:marTop w:val="0"/>
      <w:marBottom w:val="0"/>
      <w:divBdr>
        <w:top w:val="none" w:sz="0" w:space="0" w:color="auto"/>
        <w:left w:val="none" w:sz="0" w:space="0" w:color="auto"/>
        <w:bottom w:val="none" w:sz="0" w:space="0" w:color="auto"/>
        <w:right w:val="none" w:sz="0" w:space="0" w:color="auto"/>
      </w:divBdr>
    </w:div>
    <w:div w:id="267785153">
      <w:bodyDiv w:val="1"/>
      <w:marLeft w:val="0"/>
      <w:marRight w:val="0"/>
      <w:marTop w:val="0"/>
      <w:marBottom w:val="0"/>
      <w:divBdr>
        <w:top w:val="none" w:sz="0" w:space="0" w:color="auto"/>
        <w:left w:val="none" w:sz="0" w:space="0" w:color="auto"/>
        <w:bottom w:val="none" w:sz="0" w:space="0" w:color="auto"/>
        <w:right w:val="none" w:sz="0" w:space="0" w:color="auto"/>
      </w:divBdr>
    </w:div>
    <w:div w:id="274678323">
      <w:bodyDiv w:val="1"/>
      <w:marLeft w:val="0"/>
      <w:marRight w:val="0"/>
      <w:marTop w:val="0"/>
      <w:marBottom w:val="0"/>
      <w:divBdr>
        <w:top w:val="none" w:sz="0" w:space="0" w:color="auto"/>
        <w:left w:val="none" w:sz="0" w:space="0" w:color="auto"/>
        <w:bottom w:val="none" w:sz="0" w:space="0" w:color="auto"/>
        <w:right w:val="none" w:sz="0" w:space="0" w:color="auto"/>
      </w:divBdr>
    </w:div>
    <w:div w:id="319116899">
      <w:bodyDiv w:val="1"/>
      <w:marLeft w:val="0"/>
      <w:marRight w:val="0"/>
      <w:marTop w:val="0"/>
      <w:marBottom w:val="0"/>
      <w:divBdr>
        <w:top w:val="none" w:sz="0" w:space="0" w:color="auto"/>
        <w:left w:val="none" w:sz="0" w:space="0" w:color="auto"/>
        <w:bottom w:val="none" w:sz="0" w:space="0" w:color="auto"/>
        <w:right w:val="none" w:sz="0" w:space="0" w:color="auto"/>
      </w:divBdr>
    </w:div>
    <w:div w:id="551963384">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626591657">
      <w:bodyDiv w:val="1"/>
      <w:marLeft w:val="0"/>
      <w:marRight w:val="0"/>
      <w:marTop w:val="0"/>
      <w:marBottom w:val="0"/>
      <w:divBdr>
        <w:top w:val="none" w:sz="0" w:space="0" w:color="auto"/>
        <w:left w:val="none" w:sz="0" w:space="0" w:color="auto"/>
        <w:bottom w:val="none" w:sz="0" w:space="0" w:color="auto"/>
        <w:right w:val="none" w:sz="0" w:space="0" w:color="auto"/>
      </w:divBdr>
    </w:div>
    <w:div w:id="672605172">
      <w:bodyDiv w:val="1"/>
      <w:marLeft w:val="0"/>
      <w:marRight w:val="0"/>
      <w:marTop w:val="0"/>
      <w:marBottom w:val="0"/>
      <w:divBdr>
        <w:top w:val="none" w:sz="0" w:space="0" w:color="auto"/>
        <w:left w:val="none" w:sz="0" w:space="0" w:color="auto"/>
        <w:bottom w:val="none" w:sz="0" w:space="0" w:color="auto"/>
        <w:right w:val="none" w:sz="0" w:space="0" w:color="auto"/>
      </w:divBdr>
    </w:div>
    <w:div w:id="943345494">
      <w:bodyDiv w:val="1"/>
      <w:marLeft w:val="0"/>
      <w:marRight w:val="0"/>
      <w:marTop w:val="0"/>
      <w:marBottom w:val="0"/>
      <w:divBdr>
        <w:top w:val="none" w:sz="0" w:space="0" w:color="auto"/>
        <w:left w:val="none" w:sz="0" w:space="0" w:color="auto"/>
        <w:bottom w:val="none" w:sz="0" w:space="0" w:color="auto"/>
        <w:right w:val="none" w:sz="0" w:space="0" w:color="auto"/>
      </w:divBdr>
    </w:div>
    <w:div w:id="1064792948">
      <w:bodyDiv w:val="1"/>
      <w:marLeft w:val="0"/>
      <w:marRight w:val="0"/>
      <w:marTop w:val="0"/>
      <w:marBottom w:val="0"/>
      <w:divBdr>
        <w:top w:val="none" w:sz="0" w:space="0" w:color="auto"/>
        <w:left w:val="none" w:sz="0" w:space="0" w:color="auto"/>
        <w:bottom w:val="none" w:sz="0" w:space="0" w:color="auto"/>
        <w:right w:val="none" w:sz="0" w:space="0" w:color="auto"/>
      </w:divBdr>
    </w:div>
    <w:div w:id="1068385872">
      <w:bodyDiv w:val="1"/>
      <w:marLeft w:val="0"/>
      <w:marRight w:val="0"/>
      <w:marTop w:val="0"/>
      <w:marBottom w:val="0"/>
      <w:divBdr>
        <w:top w:val="none" w:sz="0" w:space="0" w:color="auto"/>
        <w:left w:val="none" w:sz="0" w:space="0" w:color="auto"/>
        <w:bottom w:val="none" w:sz="0" w:space="0" w:color="auto"/>
        <w:right w:val="none" w:sz="0" w:space="0" w:color="auto"/>
      </w:divBdr>
    </w:div>
    <w:div w:id="1083649559">
      <w:bodyDiv w:val="1"/>
      <w:marLeft w:val="0"/>
      <w:marRight w:val="0"/>
      <w:marTop w:val="0"/>
      <w:marBottom w:val="0"/>
      <w:divBdr>
        <w:top w:val="none" w:sz="0" w:space="0" w:color="auto"/>
        <w:left w:val="none" w:sz="0" w:space="0" w:color="auto"/>
        <w:bottom w:val="none" w:sz="0" w:space="0" w:color="auto"/>
        <w:right w:val="none" w:sz="0" w:space="0" w:color="auto"/>
      </w:divBdr>
    </w:div>
    <w:div w:id="1156843086">
      <w:bodyDiv w:val="1"/>
      <w:marLeft w:val="0"/>
      <w:marRight w:val="0"/>
      <w:marTop w:val="0"/>
      <w:marBottom w:val="0"/>
      <w:divBdr>
        <w:top w:val="none" w:sz="0" w:space="0" w:color="auto"/>
        <w:left w:val="none" w:sz="0" w:space="0" w:color="auto"/>
        <w:bottom w:val="none" w:sz="0" w:space="0" w:color="auto"/>
        <w:right w:val="none" w:sz="0" w:space="0" w:color="auto"/>
      </w:divBdr>
    </w:div>
    <w:div w:id="1296906140">
      <w:bodyDiv w:val="1"/>
      <w:marLeft w:val="0"/>
      <w:marRight w:val="0"/>
      <w:marTop w:val="0"/>
      <w:marBottom w:val="0"/>
      <w:divBdr>
        <w:top w:val="none" w:sz="0" w:space="0" w:color="auto"/>
        <w:left w:val="none" w:sz="0" w:space="0" w:color="auto"/>
        <w:bottom w:val="none" w:sz="0" w:space="0" w:color="auto"/>
        <w:right w:val="none" w:sz="0" w:space="0" w:color="auto"/>
      </w:divBdr>
    </w:div>
    <w:div w:id="1323510066">
      <w:bodyDiv w:val="1"/>
      <w:marLeft w:val="0"/>
      <w:marRight w:val="0"/>
      <w:marTop w:val="0"/>
      <w:marBottom w:val="0"/>
      <w:divBdr>
        <w:top w:val="none" w:sz="0" w:space="0" w:color="auto"/>
        <w:left w:val="none" w:sz="0" w:space="0" w:color="auto"/>
        <w:bottom w:val="none" w:sz="0" w:space="0" w:color="auto"/>
        <w:right w:val="none" w:sz="0" w:space="0" w:color="auto"/>
      </w:divBdr>
    </w:div>
    <w:div w:id="1323848510">
      <w:bodyDiv w:val="1"/>
      <w:marLeft w:val="0"/>
      <w:marRight w:val="0"/>
      <w:marTop w:val="0"/>
      <w:marBottom w:val="0"/>
      <w:divBdr>
        <w:top w:val="none" w:sz="0" w:space="0" w:color="auto"/>
        <w:left w:val="none" w:sz="0" w:space="0" w:color="auto"/>
        <w:bottom w:val="none" w:sz="0" w:space="0" w:color="auto"/>
        <w:right w:val="none" w:sz="0" w:space="0" w:color="auto"/>
      </w:divBdr>
    </w:div>
    <w:div w:id="1347755577">
      <w:bodyDiv w:val="1"/>
      <w:marLeft w:val="0"/>
      <w:marRight w:val="0"/>
      <w:marTop w:val="0"/>
      <w:marBottom w:val="0"/>
      <w:divBdr>
        <w:top w:val="none" w:sz="0" w:space="0" w:color="auto"/>
        <w:left w:val="none" w:sz="0" w:space="0" w:color="auto"/>
        <w:bottom w:val="none" w:sz="0" w:space="0" w:color="auto"/>
        <w:right w:val="none" w:sz="0" w:space="0" w:color="auto"/>
      </w:divBdr>
    </w:div>
    <w:div w:id="1380088449">
      <w:bodyDiv w:val="1"/>
      <w:marLeft w:val="0"/>
      <w:marRight w:val="0"/>
      <w:marTop w:val="0"/>
      <w:marBottom w:val="0"/>
      <w:divBdr>
        <w:top w:val="none" w:sz="0" w:space="0" w:color="auto"/>
        <w:left w:val="none" w:sz="0" w:space="0" w:color="auto"/>
        <w:bottom w:val="none" w:sz="0" w:space="0" w:color="auto"/>
        <w:right w:val="none" w:sz="0" w:space="0" w:color="auto"/>
      </w:divBdr>
    </w:div>
    <w:div w:id="1471825797">
      <w:bodyDiv w:val="1"/>
      <w:marLeft w:val="0"/>
      <w:marRight w:val="0"/>
      <w:marTop w:val="0"/>
      <w:marBottom w:val="0"/>
      <w:divBdr>
        <w:top w:val="none" w:sz="0" w:space="0" w:color="auto"/>
        <w:left w:val="none" w:sz="0" w:space="0" w:color="auto"/>
        <w:bottom w:val="none" w:sz="0" w:space="0" w:color="auto"/>
        <w:right w:val="none" w:sz="0" w:space="0" w:color="auto"/>
      </w:divBdr>
    </w:div>
    <w:div w:id="1504738886">
      <w:bodyDiv w:val="1"/>
      <w:marLeft w:val="0"/>
      <w:marRight w:val="0"/>
      <w:marTop w:val="0"/>
      <w:marBottom w:val="0"/>
      <w:divBdr>
        <w:top w:val="none" w:sz="0" w:space="0" w:color="auto"/>
        <w:left w:val="none" w:sz="0" w:space="0" w:color="auto"/>
        <w:bottom w:val="none" w:sz="0" w:space="0" w:color="auto"/>
        <w:right w:val="none" w:sz="0" w:space="0" w:color="auto"/>
      </w:divBdr>
    </w:div>
    <w:div w:id="1570531519">
      <w:bodyDiv w:val="1"/>
      <w:marLeft w:val="0"/>
      <w:marRight w:val="0"/>
      <w:marTop w:val="0"/>
      <w:marBottom w:val="0"/>
      <w:divBdr>
        <w:top w:val="none" w:sz="0" w:space="0" w:color="auto"/>
        <w:left w:val="none" w:sz="0" w:space="0" w:color="auto"/>
        <w:bottom w:val="none" w:sz="0" w:space="0" w:color="auto"/>
        <w:right w:val="none" w:sz="0" w:space="0" w:color="auto"/>
      </w:divBdr>
    </w:div>
    <w:div w:id="1604872348">
      <w:bodyDiv w:val="1"/>
      <w:marLeft w:val="0"/>
      <w:marRight w:val="0"/>
      <w:marTop w:val="0"/>
      <w:marBottom w:val="0"/>
      <w:divBdr>
        <w:top w:val="none" w:sz="0" w:space="0" w:color="auto"/>
        <w:left w:val="none" w:sz="0" w:space="0" w:color="auto"/>
        <w:bottom w:val="none" w:sz="0" w:space="0" w:color="auto"/>
        <w:right w:val="none" w:sz="0" w:space="0" w:color="auto"/>
      </w:divBdr>
    </w:div>
    <w:div w:id="1679387097">
      <w:bodyDiv w:val="1"/>
      <w:marLeft w:val="0"/>
      <w:marRight w:val="0"/>
      <w:marTop w:val="0"/>
      <w:marBottom w:val="0"/>
      <w:divBdr>
        <w:top w:val="none" w:sz="0" w:space="0" w:color="auto"/>
        <w:left w:val="none" w:sz="0" w:space="0" w:color="auto"/>
        <w:bottom w:val="none" w:sz="0" w:space="0" w:color="auto"/>
        <w:right w:val="none" w:sz="0" w:space="0" w:color="auto"/>
      </w:divBdr>
    </w:div>
    <w:div w:id="1757239235">
      <w:bodyDiv w:val="1"/>
      <w:marLeft w:val="0"/>
      <w:marRight w:val="0"/>
      <w:marTop w:val="0"/>
      <w:marBottom w:val="0"/>
      <w:divBdr>
        <w:top w:val="none" w:sz="0" w:space="0" w:color="auto"/>
        <w:left w:val="none" w:sz="0" w:space="0" w:color="auto"/>
        <w:bottom w:val="none" w:sz="0" w:space="0" w:color="auto"/>
        <w:right w:val="none" w:sz="0" w:space="0" w:color="auto"/>
      </w:divBdr>
    </w:div>
    <w:div w:id="1811284122">
      <w:bodyDiv w:val="1"/>
      <w:marLeft w:val="0"/>
      <w:marRight w:val="0"/>
      <w:marTop w:val="0"/>
      <w:marBottom w:val="0"/>
      <w:divBdr>
        <w:top w:val="none" w:sz="0" w:space="0" w:color="auto"/>
        <w:left w:val="none" w:sz="0" w:space="0" w:color="auto"/>
        <w:bottom w:val="none" w:sz="0" w:space="0" w:color="auto"/>
        <w:right w:val="none" w:sz="0" w:space="0" w:color="auto"/>
      </w:divBdr>
    </w:div>
    <w:div w:id="1839422903">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sChild>
        <w:div w:id="178580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10535</Words>
  <Characters>60055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Gwen Knight</cp:lastModifiedBy>
  <cp:revision>4</cp:revision>
  <cp:lastPrinted>2022-04-22T12:06:00Z</cp:lastPrinted>
  <dcterms:created xsi:type="dcterms:W3CDTF">2022-06-10T06:44:00Z</dcterms:created>
  <dcterms:modified xsi:type="dcterms:W3CDTF">2022-06-10T06:58:00Z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{"style":{"styleID":"http://www.zotero.org/styles/vancouver","locale":"en-GB","hasBibliography":true,"bibliographyStyleHasBeenSet":true},"prefs":{"fieldType":"Field","automaticJournalAbbreviations":true,"delayCitationUpdates":true,"noteType":0,"dontAskDel</vt:lpwstr>
  </property>
  <property fmtid="{D5CDD505-2E9C-101B-9397-08002B2CF9AE}" pid="3" name="ZOTERO_PREF_2">
    <vt:lpwstr>ayCitationUpdates":true},"sessionID":"pGx1HNf9","zoteroVersion":"6.0.8","dataVersion":4}</vt:lpwstr>
  </property>
</Properties>
</file>