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AE0E0" w14:textId="41E0E9DA" w:rsidR="00F679C0" w:rsidRPr="00B51293" w:rsidRDefault="0095736A">
      <w:pP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Additional File</w:t>
      </w:r>
      <w:r w:rsidRPr="00B51293">
        <w:rPr>
          <w:rFonts w:ascii="Times New Roman" w:hAnsi="Times New Roman" w:cs="Times New Roman"/>
          <w:b/>
          <w:color w:val="000000" w:themeColor="text1"/>
          <w:sz w:val="20"/>
          <w:szCs w:val="20"/>
        </w:rPr>
        <w:t xml:space="preserve"> </w:t>
      </w:r>
      <w:r w:rsidR="00E45E40" w:rsidRPr="00B51293">
        <w:rPr>
          <w:rFonts w:ascii="Times New Roman" w:hAnsi="Times New Roman" w:cs="Times New Roman"/>
          <w:b/>
          <w:color w:val="000000" w:themeColor="text1"/>
          <w:sz w:val="20"/>
          <w:szCs w:val="20"/>
        </w:rPr>
        <w:t xml:space="preserve">7: Symptom onset to </w:t>
      </w:r>
      <w:proofErr w:type="spellStart"/>
      <w:r w:rsidR="00E45E40" w:rsidRPr="00B51293">
        <w:rPr>
          <w:rFonts w:ascii="Times New Roman" w:hAnsi="Times New Roman" w:cs="Times New Roman"/>
          <w:b/>
          <w:color w:val="000000" w:themeColor="text1"/>
          <w:sz w:val="20"/>
          <w:szCs w:val="20"/>
        </w:rPr>
        <w:t>hospitalisation</w:t>
      </w:r>
      <w:proofErr w:type="spellEnd"/>
      <w:r w:rsidR="00E45E40" w:rsidRPr="00B51293">
        <w:rPr>
          <w:rFonts w:ascii="Times New Roman" w:hAnsi="Times New Roman" w:cs="Times New Roman"/>
          <w:b/>
          <w:color w:val="000000" w:themeColor="text1"/>
          <w:sz w:val="20"/>
          <w:szCs w:val="20"/>
        </w:rPr>
        <w:t xml:space="preserve"> </w:t>
      </w:r>
    </w:p>
    <w:p w14:paraId="5561D986" w14:textId="77777777" w:rsidR="00F679C0" w:rsidRPr="00B51293" w:rsidRDefault="00F679C0">
      <w:pPr>
        <w:rPr>
          <w:rFonts w:ascii="Times New Roman" w:hAnsi="Times New Roman" w:cs="Times New Roman"/>
          <w:b/>
          <w:color w:val="000000" w:themeColor="text1"/>
          <w:sz w:val="20"/>
          <w:szCs w:val="20"/>
        </w:rPr>
      </w:pPr>
    </w:p>
    <w:p w14:paraId="25E2D61A" w14:textId="77777777" w:rsidR="00F679C0" w:rsidRPr="00B51293" w:rsidRDefault="00E45E40">
      <w:pPr>
        <w:rPr>
          <w:rFonts w:ascii="Times New Roman" w:hAnsi="Times New Roman" w:cs="Times New Roman"/>
          <w:color w:val="000000" w:themeColor="text1"/>
          <w:sz w:val="20"/>
          <w:szCs w:val="20"/>
        </w:rPr>
      </w:pPr>
      <w:r w:rsidRPr="00B51293">
        <w:rPr>
          <w:rFonts w:ascii="Times New Roman" w:hAnsi="Times New Roman" w:cs="Times New Roman"/>
          <w:color w:val="000000" w:themeColor="text1"/>
          <w:sz w:val="20"/>
          <w:szCs w:val="20"/>
        </w:rPr>
        <w:t xml:space="preserve">As this was a key parameter for our </w:t>
      </w:r>
      <w:proofErr w:type="gramStart"/>
      <w:r w:rsidRPr="00B51293">
        <w:rPr>
          <w:rFonts w:ascii="Times New Roman" w:hAnsi="Times New Roman" w:cs="Times New Roman"/>
          <w:color w:val="000000" w:themeColor="text1"/>
          <w:sz w:val="20"/>
          <w:szCs w:val="20"/>
        </w:rPr>
        <w:t>estimates</w:t>
      </w:r>
      <w:proofErr w:type="gramEnd"/>
      <w:r w:rsidRPr="00B51293">
        <w:rPr>
          <w:rFonts w:ascii="Times New Roman" w:hAnsi="Times New Roman" w:cs="Times New Roman"/>
          <w:color w:val="000000" w:themeColor="text1"/>
          <w:sz w:val="20"/>
          <w:szCs w:val="20"/>
        </w:rPr>
        <w:t xml:space="preserve"> we chose to perform a scenario analysis around this distribution. </w:t>
      </w:r>
    </w:p>
    <w:p w14:paraId="0A3C76EB" w14:textId="77777777" w:rsidR="00F679C0" w:rsidRPr="00B51293" w:rsidRDefault="00F679C0">
      <w:pPr>
        <w:rPr>
          <w:rFonts w:ascii="Times New Roman" w:hAnsi="Times New Roman" w:cs="Times New Roman"/>
          <w:b/>
          <w:color w:val="000000" w:themeColor="text1"/>
          <w:sz w:val="20"/>
          <w:szCs w:val="20"/>
        </w:rPr>
      </w:pPr>
    </w:p>
    <w:p w14:paraId="4CAAD62F" w14:textId="77777777" w:rsidR="00F679C0" w:rsidRPr="00B51293" w:rsidRDefault="00E45E40">
      <w:pPr>
        <w:rPr>
          <w:rFonts w:ascii="Times New Roman" w:hAnsi="Times New Roman" w:cs="Times New Roman"/>
          <w:i/>
          <w:color w:val="000000" w:themeColor="text1"/>
          <w:sz w:val="20"/>
          <w:szCs w:val="20"/>
        </w:rPr>
      </w:pPr>
      <w:r w:rsidRPr="00B51293">
        <w:rPr>
          <w:rFonts w:ascii="Times New Roman" w:hAnsi="Times New Roman" w:cs="Times New Roman"/>
          <w:i/>
          <w:color w:val="000000" w:themeColor="text1"/>
          <w:sz w:val="20"/>
          <w:szCs w:val="20"/>
        </w:rPr>
        <w:t xml:space="preserve">Baseline scenario 1: “Best” fit to CO-CIN raw and smoothed data </w:t>
      </w:r>
    </w:p>
    <w:p w14:paraId="50E7A77C" w14:textId="77777777" w:rsidR="00F679C0" w:rsidRPr="00B51293" w:rsidRDefault="00F679C0">
      <w:pPr>
        <w:rPr>
          <w:rFonts w:ascii="Times New Roman" w:hAnsi="Times New Roman" w:cs="Times New Roman"/>
          <w:b/>
          <w:color w:val="000000" w:themeColor="text1"/>
          <w:sz w:val="20"/>
          <w:szCs w:val="20"/>
        </w:rPr>
      </w:pPr>
    </w:p>
    <w:p w14:paraId="621114CA" w14:textId="74461CAB" w:rsidR="00F679C0" w:rsidRPr="00B51293" w:rsidRDefault="00E45E40">
      <w:pPr>
        <w:rPr>
          <w:rFonts w:ascii="Times New Roman" w:hAnsi="Times New Roman" w:cs="Times New Roman"/>
          <w:color w:val="000000" w:themeColor="text1"/>
          <w:sz w:val="20"/>
          <w:szCs w:val="20"/>
        </w:rPr>
      </w:pPr>
      <w:r w:rsidRPr="00B51293">
        <w:rPr>
          <w:rFonts w:ascii="Times New Roman" w:hAnsi="Times New Roman" w:cs="Times New Roman"/>
          <w:color w:val="000000" w:themeColor="text1"/>
          <w:sz w:val="20"/>
          <w:szCs w:val="20"/>
        </w:rPr>
        <w:t xml:space="preserve">With data on 38,168 patients from CO-CIN reporting a symptom onset prior to </w:t>
      </w:r>
      <w:proofErr w:type="spellStart"/>
      <w:r w:rsidRPr="00B51293">
        <w:rPr>
          <w:rFonts w:ascii="Times New Roman" w:hAnsi="Times New Roman" w:cs="Times New Roman"/>
          <w:color w:val="000000" w:themeColor="text1"/>
          <w:sz w:val="20"/>
          <w:szCs w:val="20"/>
        </w:rPr>
        <w:t>hospitalisation</w:t>
      </w:r>
      <w:proofErr w:type="spellEnd"/>
      <w:r w:rsidRPr="00B51293">
        <w:rPr>
          <w:rFonts w:ascii="Times New Roman" w:hAnsi="Times New Roman" w:cs="Times New Roman"/>
          <w:color w:val="000000" w:themeColor="text1"/>
          <w:sz w:val="20"/>
          <w:szCs w:val="20"/>
        </w:rPr>
        <w:t xml:space="preserve"> in Wave 1, we could estimate the best fit to the data. However, the data suffered from “heaping” issues where patients preferably reported symptom onset data 1 week, 10 days, a </w:t>
      </w:r>
      <w:proofErr w:type="gramStart"/>
      <w:r w:rsidRPr="00B51293">
        <w:rPr>
          <w:rFonts w:ascii="Times New Roman" w:hAnsi="Times New Roman" w:cs="Times New Roman"/>
          <w:color w:val="000000" w:themeColor="text1"/>
          <w:sz w:val="20"/>
          <w:szCs w:val="20"/>
        </w:rPr>
        <w:t>fortnight</w:t>
      </w:r>
      <w:proofErr w:type="gramEnd"/>
      <w:r w:rsidRPr="00B51293">
        <w:rPr>
          <w:rFonts w:ascii="Times New Roman" w:hAnsi="Times New Roman" w:cs="Times New Roman"/>
          <w:color w:val="000000" w:themeColor="text1"/>
          <w:sz w:val="20"/>
          <w:szCs w:val="20"/>
        </w:rPr>
        <w:t xml:space="preserve"> or 3 weeks before hospital admission (Figure S6). This has been seen for many types of participant reported data (e.g. income </w:t>
      </w:r>
      <w:r w:rsidRPr="00B51293">
        <w:rPr>
          <w:rFonts w:ascii="Times New Roman" w:hAnsi="Times New Roman" w:cs="Times New Roman"/>
          <w:color w:val="000000" w:themeColor="text1"/>
          <w:sz w:val="20"/>
          <w:szCs w:val="20"/>
        </w:rPr>
        <w:fldChar w:fldCharType="begin"/>
      </w:r>
      <w:r w:rsidR="0091560D">
        <w:rPr>
          <w:rFonts w:ascii="Times New Roman" w:hAnsi="Times New Roman" w:cs="Times New Roman"/>
          <w:color w:val="000000" w:themeColor="text1"/>
          <w:sz w:val="20"/>
          <w:szCs w:val="20"/>
        </w:rPr>
        <w:instrText xml:space="preserve"> ADDIN ZOTERO_ITEM CSL_CITATION {"citationID":"aj5p44jmll","properties":{"formattedCitation":"(1)","plainCitation":"(1)","noteIndex":0},"citationItems":[{"id":21998,"uris":["http://zotero.org/users/6698211/items/7VAAQSGH"],"itemData":{"id":21998,"type":"article-journal","abstract":"Self-reported income information particularly suffers from an intentional coarsening of the data, which is called heaping or rounding. If it does not occur completely at random – which is usually the case – heaping and rounding have detrimental effects on the results of statistical analysis. Conventional statistical methods do not consider this kind of reporting bias, and thus might produce invalid inference. We describe a novel statistical modeling approach that allows us to deal with self-reported heaped income data in an adequate and flexible way. We suggest modeling heaping mechanisms and the true underlying model in combination. To describe the true net income distribution, we use the zero-inflated log-normal distribution. Heaping points are identified from the data by applying a heuristic procedure comparing a hypothetical income distribution and the empirical one. To determine heaping behavior, we employ two distinct models: either we assume piecewise constant heaping probabilities, or heaping probabilities are considered to increase steadily with proximity to a heaping point. We validate our approach by some examples. To illustrate the capacity of the proposed method, we conduct a case study using income data from the German National Educational Panel Study.","container-title":"Journal of Applied Statistics","DOI":"10.1080/02664763.2015.1077372","ISSN":"0266-4763","issue":"4","note":"publisher: Taylor &amp; Francis\n_eprint: https://doi.org/10.1080/02664763.2015.1077372","page":"682-703","source":"Taylor and Francis+NEJM","title":"A statistical approach to address the problem of heaping in self-reported income data","volume":"43","author":[{"family":"Zinn","given":"S."},{"family":"Würbach","given":"A."}],"issued":{"date-parts":[["2016",3,11]]}}}],"schema":"https://github.com/citation-style-language/schema/raw/master/csl-citation.json"} </w:instrText>
      </w:r>
      <w:r w:rsidRPr="00B51293">
        <w:rPr>
          <w:rFonts w:ascii="Times New Roman" w:hAnsi="Times New Roman" w:cs="Times New Roman"/>
          <w:color w:val="000000" w:themeColor="text1"/>
          <w:sz w:val="20"/>
          <w:szCs w:val="20"/>
        </w:rPr>
        <w:fldChar w:fldCharType="separate"/>
      </w:r>
      <w:r w:rsidR="0091560D">
        <w:rPr>
          <w:rFonts w:ascii="Times New Roman" w:hAnsi="Times New Roman" w:cs="Times New Roman"/>
          <w:color w:val="000000" w:themeColor="text1"/>
          <w:sz w:val="20"/>
          <w:szCs w:val="20"/>
        </w:rPr>
        <w:t>(1)</w:t>
      </w:r>
      <w:r w:rsidRPr="00B51293">
        <w:rPr>
          <w:rFonts w:ascii="Times New Roman" w:hAnsi="Times New Roman" w:cs="Times New Roman"/>
          <w:color w:val="000000" w:themeColor="text1"/>
          <w:sz w:val="20"/>
          <w:szCs w:val="20"/>
        </w:rPr>
        <w:fldChar w:fldCharType="end"/>
      </w:r>
      <w:r w:rsidRPr="00B51293">
        <w:rPr>
          <w:rFonts w:ascii="Times New Roman" w:hAnsi="Times New Roman" w:cs="Times New Roman"/>
          <w:color w:val="000000" w:themeColor="text1"/>
          <w:sz w:val="20"/>
          <w:szCs w:val="20"/>
        </w:rPr>
        <w:t xml:space="preserve">). To account for this we fitted to (1) the raw data (Figure S6) below using the </w:t>
      </w:r>
      <w:proofErr w:type="spellStart"/>
      <w:r w:rsidRPr="00B51293">
        <w:rPr>
          <w:rFonts w:ascii="Times New Roman" w:hAnsi="Times New Roman" w:cs="Times New Roman"/>
          <w:i/>
          <w:color w:val="000000" w:themeColor="text1"/>
          <w:sz w:val="20"/>
          <w:szCs w:val="20"/>
        </w:rPr>
        <w:t>fitdistr</w:t>
      </w:r>
      <w:proofErr w:type="spellEnd"/>
      <w:r w:rsidRPr="00B51293">
        <w:rPr>
          <w:rFonts w:ascii="Times New Roman" w:hAnsi="Times New Roman" w:cs="Times New Roman"/>
          <w:i/>
          <w:color w:val="000000" w:themeColor="text1"/>
          <w:sz w:val="20"/>
          <w:szCs w:val="20"/>
        </w:rPr>
        <w:t xml:space="preserve"> R </w:t>
      </w:r>
      <w:r w:rsidRPr="00B51293">
        <w:rPr>
          <w:rFonts w:ascii="Times New Roman" w:hAnsi="Times New Roman" w:cs="Times New Roman"/>
          <w:color w:val="000000" w:themeColor="text1"/>
          <w:sz w:val="20"/>
          <w:szCs w:val="20"/>
        </w:rPr>
        <w:t xml:space="preserve">package </w:t>
      </w:r>
      <w:r w:rsidRPr="00B51293">
        <w:rPr>
          <w:rFonts w:ascii="Times New Roman" w:hAnsi="Times New Roman" w:cs="Times New Roman"/>
          <w:color w:val="000000" w:themeColor="text1"/>
          <w:sz w:val="20"/>
          <w:szCs w:val="20"/>
        </w:rPr>
        <w:fldChar w:fldCharType="begin"/>
      </w:r>
      <w:r w:rsidR="0091560D">
        <w:rPr>
          <w:rFonts w:ascii="Times New Roman" w:hAnsi="Times New Roman" w:cs="Times New Roman"/>
          <w:color w:val="000000" w:themeColor="text1"/>
          <w:sz w:val="20"/>
          <w:szCs w:val="20"/>
        </w:rPr>
        <w:instrText xml:space="preserve"> ADDIN ZOTERO_ITEM CSL_CITATION {"citationID":"ahfdu294eg","properties":{"formattedCitation":"(2)","plainCitation":"(2)","noteIndex":0},"citationItems":[{"id":20958,"uris":["http://zotero.org/users/6698211/items/DCE4FVKJ"],"itemData":{"id":20958,"type":"article-journal","container-title":"Journal of Statistical Software","DOI":"10.18637/jss.v064.i04","ISSN":"1548-7660","issue":"1","language":"en","note":"number: 1","page":"1-34","source":"www.jstatsoft.org","title":"fitdistrplus: An R Package for Fitting Distributions","title-short":"fitdistrplus","volume":"64","author":[{"family":"Delignette-Muller","given":"Marie Laure"},{"family":"Dutang","given":"Christophe"}],"issued":{"date-parts":[["2015",3,20]]}}}],"schema":"https://github.com/citation-style-language/schema/raw/master/csl-citation.json"} </w:instrText>
      </w:r>
      <w:r w:rsidRPr="00B51293">
        <w:rPr>
          <w:rFonts w:ascii="Times New Roman" w:hAnsi="Times New Roman" w:cs="Times New Roman"/>
          <w:color w:val="000000" w:themeColor="text1"/>
          <w:sz w:val="20"/>
          <w:szCs w:val="20"/>
        </w:rPr>
        <w:fldChar w:fldCharType="separate"/>
      </w:r>
      <w:r w:rsidR="0091560D">
        <w:rPr>
          <w:rFonts w:ascii="Times New Roman" w:hAnsi="Times New Roman" w:cs="Times New Roman"/>
          <w:color w:val="000000" w:themeColor="text1"/>
          <w:sz w:val="20"/>
          <w:szCs w:val="20"/>
        </w:rPr>
        <w:t>(2)</w:t>
      </w:r>
      <w:r w:rsidRPr="00B51293">
        <w:rPr>
          <w:rFonts w:ascii="Times New Roman" w:hAnsi="Times New Roman" w:cs="Times New Roman"/>
          <w:color w:val="000000" w:themeColor="text1"/>
          <w:sz w:val="20"/>
          <w:szCs w:val="20"/>
        </w:rPr>
        <w:fldChar w:fldCharType="end"/>
      </w:r>
      <w:r w:rsidRPr="00B51293">
        <w:rPr>
          <w:rFonts w:ascii="Times New Roman" w:hAnsi="Times New Roman" w:cs="Times New Roman"/>
          <w:color w:val="000000" w:themeColor="text1"/>
          <w:sz w:val="20"/>
          <w:szCs w:val="20"/>
        </w:rPr>
        <w:t xml:space="preserve"> and (2) used a penalized composite link model </w:t>
      </w:r>
      <w:r w:rsidRPr="00B51293">
        <w:rPr>
          <w:rFonts w:ascii="Times New Roman" w:hAnsi="Times New Roman" w:cs="Times New Roman"/>
          <w:color w:val="000000" w:themeColor="text1"/>
          <w:sz w:val="20"/>
          <w:szCs w:val="20"/>
        </w:rPr>
        <w:fldChar w:fldCharType="begin"/>
      </w:r>
      <w:r w:rsidR="0091560D">
        <w:rPr>
          <w:rFonts w:ascii="Times New Roman" w:hAnsi="Times New Roman" w:cs="Times New Roman"/>
          <w:color w:val="000000" w:themeColor="text1"/>
          <w:sz w:val="20"/>
          <w:szCs w:val="20"/>
        </w:rPr>
        <w:instrText xml:space="preserve"> ADDIN ZOTERO_ITEM CSL_CITATION {"citationID":"a28aio0340r","properties":{"formattedCitation":"(3,4)","plainCitation":"(3,4)","noteIndex":0},"citationItems":[{"id":20947,"uris":["http://zotero.org/users/6698211/items/QCBVRPNI"],"itemData":{"id":20947,"type":"article-journal","abstract":"Ungrouping binned data can be desirable for many reasons: Bins can be too coarse to allow for accurate analysis; comparisons can be hindered when different grouping approaches are used in different histograms; and the last interval is often wide and open-ended and, thus, covers a lot of information in the tail area. Age group-specific disease incidence rates and abridged life tables are examples of binned data. We propose a versatile method for ungrouping histograms that assumes that only the underlying distribution is smooth. Because of this modest assumption, the approach is suitable for most applications. The method is based on the composite link model, with a penalty added to ensure the smoothness of the target distribution. Estimates are obtained by maximizing a penalized likelihood. This maximization is performed efficiently by a version of the iteratively reweighted least-squares algorithm. Optimal values of the smoothing parameter are chosen by minimizing Akaike's Information Criterion. We demonstrate the performance of this method in a simulation study and provide several examples that illustrate the approach. Wide, open-ended intervals can be handled properly. The method can be extended to the estimation of rates when both the event counts and the exposures to risk are grouped.","container-title":"American Journal of Epidemiology","DOI":"10.1093/aje/kwv020","ISSN":"1476-6256","issue":"2","journalAbbreviation":"Am J Epidemiol","language":"eng","note":"PMID: 26081676\nPMCID: PMC4493979","page":"138-147","source":"PubMed","title":"Efficient estimation of smooth distributions from coarsely grouped data","volume":"182","author":[{"family":"Rizzi","given":"Silvia"},{"family":"Gampe","given":"Jutta"},{"family":"Eilers","given":"Paul H. C."}],"issued":{"date-parts":[["2015",7,15]]}}},{"id":20950,"uris":["http://zotero.org/users/6698211/items/3D47YR8S"],"itemData":{"id":20950,"type":"article-journal","abstract":"Histograms are a common tool to estimate densities non-parametrically. They are extensively encountered in health sciences to summarize data in a compact format. Examples are age-specific distributions of death or onset of diseases grouped in 5-years age classes with an open-ended age group at the highest ages. When histogram intervals are too coarse, information is lost and comparison between histograms with different boundaries is arduous. In these cases it is useful to estimate detailed distributions from grouped data.","container-title":"BMC Medical Research Methodology","DOI":"10.1186/s12874-016-0157-8","ISSN":"1471-2288","issue":"1","journalAbbreviation":"BMC Medical Research Methodology","page":"59","source":"BioMed Central","title":"Comparison of non-parametric methods for ungrouping coarsely aggregated data","volume":"16","author":[{"family":"Rizzi","given":"Silvia"},{"family":"Thinggaard","given":"Mikael"},{"family":"Engholm","given":"Gerda"},{"family":"Christensen","given":"Niels"},{"family":"Johannesen","given":"Tom Børge"},{"family":"Vaupel","given":"James W."},{"family":"Lindahl-Jacobsen","given":"Rune"}],"issued":{"date-parts":[["2016",5,23]]}}}],"schema":"https://github.com/citation-style-language/schema/raw/master/csl-citation.json"} </w:instrText>
      </w:r>
      <w:r w:rsidRPr="00B51293">
        <w:rPr>
          <w:rFonts w:ascii="Times New Roman" w:hAnsi="Times New Roman" w:cs="Times New Roman"/>
          <w:color w:val="000000" w:themeColor="text1"/>
          <w:sz w:val="20"/>
          <w:szCs w:val="20"/>
        </w:rPr>
        <w:fldChar w:fldCharType="separate"/>
      </w:r>
      <w:r w:rsidR="0091560D">
        <w:rPr>
          <w:rFonts w:ascii="Times New Roman" w:hAnsi="Times New Roman" w:cs="Times New Roman"/>
          <w:color w:val="000000" w:themeColor="text1"/>
          <w:sz w:val="20"/>
          <w:szCs w:val="20"/>
        </w:rPr>
        <w:t>(3,4)</w:t>
      </w:r>
      <w:r w:rsidRPr="00B51293">
        <w:rPr>
          <w:rFonts w:ascii="Times New Roman" w:hAnsi="Times New Roman" w:cs="Times New Roman"/>
          <w:color w:val="000000" w:themeColor="text1"/>
          <w:sz w:val="20"/>
          <w:szCs w:val="20"/>
        </w:rPr>
        <w:fldChar w:fldCharType="end"/>
      </w:r>
      <w:r w:rsidRPr="00B51293">
        <w:rPr>
          <w:rFonts w:ascii="Times New Roman" w:hAnsi="Times New Roman" w:cs="Times New Roman"/>
          <w:color w:val="000000" w:themeColor="text1"/>
          <w:sz w:val="20"/>
          <w:szCs w:val="20"/>
        </w:rPr>
        <w:t xml:space="preserve"> to adjust for this heaping. We then compared the model fits using the Akaike Information Criterion (AIC) </w:t>
      </w:r>
      <w:r w:rsidRPr="00B51293">
        <w:rPr>
          <w:rFonts w:ascii="Times New Roman" w:hAnsi="Times New Roman" w:cs="Times New Roman"/>
          <w:color w:val="000000" w:themeColor="text1"/>
          <w:sz w:val="20"/>
          <w:szCs w:val="20"/>
        </w:rPr>
        <w:fldChar w:fldCharType="begin"/>
      </w:r>
      <w:r w:rsidR="0091560D">
        <w:rPr>
          <w:rFonts w:ascii="Times New Roman" w:hAnsi="Times New Roman" w:cs="Times New Roman"/>
          <w:color w:val="000000" w:themeColor="text1"/>
          <w:sz w:val="20"/>
          <w:szCs w:val="20"/>
        </w:rPr>
        <w:instrText xml:space="preserve"> ADDIN ZOTERO_ITEM CSL_CITATION {"citationID":"a155a02jiq7","properties":{"formattedCitation":"(5)","plainCitation":"(5)","noteIndex":0},"citationItems":[{"id":20956,"uris":["http://zotero.org/users/6698211/items/6GZT7UXJ"],"itemData":{"id":20956,"type":"article-journal","abstract":"The history of the development of statistical hypothesis testing in time series analysis is reviewed briefly and it is pointed out that the hypothesis testing procedure is not adequately defined as the procedure for statistical model identification. The classical maximum likelihood estimation procedure is reviewed and a new estimate minimum information theoretical criterion (AIC) estimate (MAICE) which is designed for the purpose of statistical identification is introduced. When there are several competing models the MAICE is defined by the model and the maximum likelihood estimates of the parameters which give the minimum of AIC defined by AIC = (-2)log-(maximum likelihood) + 2(number of independently adjusted parameters within the model). MAICE provides a versatile procedure for statistical model identification which is free from the ambiguities inherent in the application of conventional hypothesis testing procedure. The practical utility of MAICE in time series analysis is demonstrated with some numerical examples.","container-title":"IEEE Transactions on Automatic Control","DOI":"10.1109/TAC.1974.1100705","ISSN":"1558-2523","issue":"6","note":"event: IEEE Transactions on Automatic Control","page":"716-723","source":"IEEE Xplore","title":"A new look at the statistical model identification","volume":"19","author":[{"family":"Akaike","given":"H."}],"issued":{"date-parts":[["1974",12]]}}}],"schema":"https://github.com/citation-style-language/schema/raw/master/csl-citation.json"} </w:instrText>
      </w:r>
      <w:r w:rsidRPr="00B51293">
        <w:rPr>
          <w:rFonts w:ascii="Times New Roman" w:hAnsi="Times New Roman" w:cs="Times New Roman"/>
          <w:color w:val="000000" w:themeColor="text1"/>
          <w:sz w:val="20"/>
          <w:szCs w:val="20"/>
        </w:rPr>
        <w:fldChar w:fldCharType="separate"/>
      </w:r>
      <w:r w:rsidR="0091560D">
        <w:rPr>
          <w:rFonts w:ascii="Times New Roman" w:hAnsi="Times New Roman" w:cs="Times New Roman"/>
          <w:color w:val="000000" w:themeColor="text1"/>
          <w:sz w:val="20"/>
          <w:szCs w:val="20"/>
        </w:rPr>
        <w:t>(5)</w:t>
      </w:r>
      <w:r w:rsidRPr="00B51293">
        <w:rPr>
          <w:rFonts w:ascii="Times New Roman" w:hAnsi="Times New Roman" w:cs="Times New Roman"/>
          <w:color w:val="000000" w:themeColor="text1"/>
          <w:sz w:val="20"/>
          <w:szCs w:val="20"/>
        </w:rPr>
        <w:fldChar w:fldCharType="end"/>
      </w:r>
      <w:r w:rsidRPr="00B51293">
        <w:rPr>
          <w:rFonts w:ascii="Times New Roman" w:hAnsi="Times New Roman" w:cs="Times New Roman"/>
          <w:color w:val="000000" w:themeColor="text1"/>
          <w:sz w:val="20"/>
          <w:szCs w:val="20"/>
        </w:rPr>
        <w:t xml:space="preserve">. </w:t>
      </w:r>
    </w:p>
    <w:p w14:paraId="445773EE" w14:textId="77777777" w:rsidR="00F679C0" w:rsidRPr="00B51293" w:rsidRDefault="00F679C0">
      <w:pPr>
        <w:rPr>
          <w:rFonts w:ascii="Times New Roman" w:hAnsi="Times New Roman" w:cs="Times New Roman"/>
          <w:color w:val="000000" w:themeColor="text1"/>
          <w:sz w:val="20"/>
          <w:szCs w:val="20"/>
        </w:rPr>
      </w:pPr>
    </w:p>
    <w:p w14:paraId="6A075689" w14:textId="77777777" w:rsidR="00F679C0" w:rsidRPr="00B51293" w:rsidRDefault="00E45E40">
      <w:pPr>
        <w:rPr>
          <w:rFonts w:ascii="Times New Roman" w:hAnsi="Times New Roman" w:cs="Times New Roman"/>
          <w:color w:val="000000" w:themeColor="text1"/>
          <w:sz w:val="20"/>
          <w:szCs w:val="20"/>
        </w:rPr>
      </w:pPr>
      <w:r w:rsidRPr="00B51293">
        <w:rPr>
          <w:rFonts w:ascii="Times New Roman" w:hAnsi="Times New Roman" w:cs="Times New Roman"/>
          <w:color w:val="000000" w:themeColor="text1"/>
          <w:sz w:val="20"/>
          <w:szCs w:val="20"/>
        </w:rPr>
        <w:t xml:space="preserve">For both fitting to the raw and smoothed data the distribution with the smallest AIC value was the log-normal distribution (orange line in both Figure S6 and S7): AIC for the gamma distribution (next smallest AIC) was 228080 and 229646 for the smoother or raw data respectively, whilst for the log-normal distribution it was 225675 and 226842. </w:t>
      </w:r>
    </w:p>
    <w:p w14:paraId="368FC73F" w14:textId="77777777" w:rsidR="00F679C0" w:rsidRPr="00B51293" w:rsidRDefault="00F679C0">
      <w:pPr>
        <w:rPr>
          <w:rFonts w:ascii="Times New Roman" w:hAnsi="Times New Roman" w:cs="Times New Roman"/>
          <w:color w:val="000000" w:themeColor="text1"/>
          <w:sz w:val="20"/>
          <w:szCs w:val="20"/>
        </w:rPr>
      </w:pPr>
    </w:p>
    <w:p w14:paraId="44DB90EE" w14:textId="77777777" w:rsidR="00F679C0" w:rsidRPr="00B51293" w:rsidRDefault="00E45E40">
      <w:pPr>
        <w:rPr>
          <w:rFonts w:ascii="Times New Roman" w:hAnsi="Times New Roman" w:cs="Times New Roman"/>
          <w:color w:val="000000" w:themeColor="text1"/>
          <w:sz w:val="20"/>
          <w:szCs w:val="20"/>
        </w:rPr>
      </w:pPr>
      <w:r w:rsidRPr="00B51293">
        <w:rPr>
          <w:rFonts w:ascii="Times New Roman" w:hAnsi="Times New Roman" w:cs="Times New Roman"/>
          <w:color w:val="000000" w:themeColor="text1"/>
          <w:sz w:val="20"/>
          <w:szCs w:val="20"/>
        </w:rPr>
        <w:t xml:space="preserve">The values for the log-normal distribution fitted to the raw were: </w:t>
      </w:r>
    </w:p>
    <w:p w14:paraId="3653DA85" w14:textId="77777777" w:rsidR="00F679C0" w:rsidRPr="00B51293" w:rsidRDefault="00E45E40">
      <w:pPr>
        <w:rPr>
          <w:rFonts w:ascii="Times New Roman" w:hAnsi="Times New Roman" w:cs="Times New Roman"/>
          <w:color w:val="000000" w:themeColor="text1"/>
          <w:sz w:val="20"/>
          <w:szCs w:val="20"/>
        </w:rPr>
      </w:pPr>
      <w:proofErr w:type="spellStart"/>
      <w:r w:rsidRPr="00B51293">
        <w:rPr>
          <w:rFonts w:ascii="Times New Roman" w:hAnsi="Times New Roman" w:cs="Times New Roman"/>
          <w:color w:val="000000" w:themeColor="text1"/>
          <w:sz w:val="20"/>
          <w:szCs w:val="20"/>
        </w:rPr>
        <w:t>Meanlog</w:t>
      </w:r>
      <w:proofErr w:type="spellEnd"/>
      <w:r w:rsidRPr="00B51293">
        <w:rPr>
          <w:rFonts w:ascii="Times New Roman" w:hAnsi="Times New Roman" w:cs="Times New Roman"/>
          <w:color w:val="000000" w:themeColor="text1"/>
          <w:sz w:val="20"/>
          <w:szCs w:val="20"/>
        </w:rPr>
        <w:t xml:space="preserve"> 1.662 (0.005)</w:t>
      </w:r>
      <w:r w:rsidRPr="00B51293">
        <w:rPr>
          <w:rFonts w:ascii="Times New Roman" w:hAnsi="Times New Roman" w:cs="Times New Roman"/>
          <w:color w:val="000000" w:themeColor="text1"/>
          <w:sz w:val="20"/>
          <w:szCs w:val="20"/>
        </w:rPr>
        <w:tab/>
      </w:r>
      <w:r w:rsidRPr="00B51293">
        <w:rPr>
          <w:rFonts w:ascii="Times New Roman" w:hAnsi="Times New Roman" w:cs="Times New Roman"/>
          <w:color w:val="000000" w:themeColor="text1"/>
          <w:sz w:val="20"/>
          <w:szCs w:val="20"/>
        </w:rPr>
        <w:tab/>
      </w:r>
      <w:proofErr w:type="spellStart"/>
      <w:r w:rsidRPr="00B51293">
        <w:rPr>
          <w:rFonts w:ascii="Times New Roman" w:hAnsi="Times New Roman" w:cs="Times New Roman"/>
          <w:color w:val="000000" w:themeColor="text1"/>
          <w:sz w:val="20"/>
          <w:szCs w:val="20"/>
        </w:rPr>
        <w:t>SDlog</w:t>
      </w:r>
      <w:proofErr w:type="spellEnd"/>
      <w:r w:rsidRPr="00B51293">
        <w:rPr>
          <w:rFonts w:ascii="Times New Roman" w:hAnsi="Times New Roman" w:cs="Times New Roman"/>
          <w:color w:val="000000" w:themeColor="text1"/>
          <w:sz w:val="20"/>
          <w:szCs w:val="20"/>
        </w:rPr>
        <w:tab/>
        <w:t>0.889 (0.003)</w:t>
      </w:r>
    </w:p>
    <w:p w14:paraId="49F2F4E9" w14:textId="77777777" w:rsidR="00F679C0" w:rsidRPr="00B51293" w:rsidRDefault="00E45E40">
      <w:pPr>
        <w:rPr>
          <w:rFonts w:ascii="Times New Roman" w:hAnsi="Times New Roman" w:cs="Times New Roman"/>
          <w:color w:val="000000" w:themeColor="text1"/>
          <w:sz w:val="20"/>
          <w:szCs w:val="20"/>
        </w:rPr>
      </w:pPr>
      <w:r w:rsidRPr="00B51293">
        <w:rPr>
          <w:rFonts w:ascii="Times New Roman" w:hAnsi="Times New Roman" w:cs="Times New Roman"/>
          <w:color w:val="000000" w:themeColor="text1"/>
          <w:sz w:val="20"/>
          <w:szCs w:val="20"/>
        </w:rPr>
        <w:t>And smoothed data:</w:t>
      </w:r>
    </w:p>
    <w:p w14:paraId="08AA6B42" w14:textId="77777777" w:rsidR="00F679C0" w:rsidRPr="00B51293" w:rsidRDefault="00E45E40">
      <w:pPr>
        <w:rPr>
          <w:rFonts w:ascii="Times New Roman" w:hAnsi="Times New Roman" w:cs="Times New Roman"/>
          <w:color w:val="000000" w:themeColor="text1"/>
          <w:sz w:val="20"/>
          <w:szCs w:val="20"/>
        </w:rPr>
      </w:pPr>
      <w:proofErr w:type="spellStart"/>
      <w:r w:rsidRPr="00B51293">
        <w:rPr>
          <w:rFonts w:ascii="Times New Roman" w:hAnsi="Times New Roman" w:cs="Times New Roman"/>
          <w:color w:val="000000" w:themeColor="text1"/>
          <w:sz w:val="20"/>
          <w:szCs w:val="20"/>
        </w:rPr>
        <w:t>Meanlog</w:t>
      </w:r>
      <w:proofErr w:type="spellEnd"/>
      <w:r w:rsidRPr="00B51293">
        <w:rPr>
          <w:rFonts w:ascii="Times New Roman" w:hAnsi="Times New Roman" w:cs="Times New Roman"/>
          <w:color w:val="000000" w:themeColor="text1"/>
          <w:sz w:val="20"/>
          <w:szCs w:val="20"/>
        </w:rPr>
        <w:t xml:space="preserve"> 1.665 (0.005)</w:t>
      </w:r>
      <w:r w:rsidRPr="00B51293">
        <w:rPr>
          <w:rFonts w:ascii="Times New Roman" w:hAnsi="Times New Roman" w:cs="Times New Roman"/>
          <w:color w:val="000000" w:themeColor="text1"/>
          <w:sz w:val="20"/>
          <w:szCs w:val="20"/>
        </w:rPr>
        <w:tab/>
      </w:r>
      <w:r w:rsidRPr="00B51293">
        <w:rPr>
          <w:rFonts w:ascii="Times New Roman" w:hAnsi="Times New Roman" w:cs="Times New Roman"/>
          <w:color w:val="000000" w:themeColor="text1"/>
          <w:sz w:val="20"/>
          <w:szCs w:val="20"/>
        </w:rPr>
        <w:tab/>
      </w:r>
      <w:proofErr w:type="spellStart"/>
      <w:r w:rsidRPr="00B51293">
        <w:rPr>
          <w:rFonts w:ascii="Times New Roman" w:hAnsi="Times New Roman" w:cs="Times New Roman"/>
          <w:color w:val="000000" w:themeColor="text1"/>
          <w:sz w:val="20"/>
          <w:szCs w:val="20"/>
        </w:rPr>
        <w:t>SDlog</w:t>
      </w:r>
      <w:proofErr w:type="spellEnd"/>
      <w:r w:rsidRPr="00B51293">
        <w:rPr>
          <w:rFonts w:ascii="Times New Roman" w:hAnsi="Times New Roman" w:cs="Times New Roman"/>
          <w:color w:val="000000" w:themeColor="text1"/>
          <w:sz w:val="20"/>
          <w:szCs w:val="20"/>
        </w:rPr>
        <w:tab/>
        <w:t>0.894 (0.003)</w:t>
      </w:r>
    </w:p>
    <w:p w14:paraId="0CE189F0" w14:textId="77777777" w:rsidR="00F679C0" w:rsidRPr="00B51293" w:rsidRDefault="00F679C0">
      <w:pPr>
        <w:rPr>
          <w:rFonts w:ascii="Times New Roman" w:hAnsi="Times New Roman" w:cs="Times New Roman"/>
          <w:color w:val="000000" w:themeColor="text1"/>
          <w:sz w:val="20"/>
          <w:szCs w:val="20"/>
        </w:rPr>
      </w:pPr>
    </w:p>
    <w:p w14:paraId="43757030" w14:textId="77777777" w:rsidR="00F679C0" w:rsidRPr="00B51293" w:rsidRDefault="00E45E40">
      <w:pPr>
        <w:rPr>
          <w:rFonts w:ascii="Times New Roman" w:hAnsi="Times New Roman" w:cs="Times New Roman"/>
          <w:color w:val="000000" w:themeColor="text1"/>
          <w:sz w:val="20"/>
          <w:szCs w:val="20"/>
        </w:rPr>
      </w:pPr>
      <w:r w:rsidRPr="00B51293">
        <w:rPr>
          <w:rFonts w:ascii="Times New Roman" w:hAnsi="Times New Roman" w:cs="Times New Roman"/>
          <w:color w:val="000000" w:themeColor="text1"/>
          <w:sz w:val="20"/>
          <w:szCs w:val="20"/>
        </w:rPr>
        <w:t xml:space="preserve">We used a </w:t>
      </w:r>
      <w:proofErr w:type="gramStart"/>
      <w:r w:rsidRPr="00B51293">
        <w:rPr>
          <w:rFonts w:ascii="Times New Roman" w:hAnsi="Times New Roman" w:cs="Times New Roman"/>
          <w:color w:val="000000" w:themeColor="text1"/>
          <w:sz w:val="20"/>
          <w:szCs w:val="20"/>
        </w:rPr>
        <w:t>lognormal(</w:t>
      </w:r>
      <w:proofErr w:type="gramEnd"/>
      <w:r w:rsidRPr="00B51293">
        <w:rPr>
          <w:rFonts w:ascii="Times New Roman" w:hAnsi="Times New Roman" w:cs="Times New Roman"/>
          <w:color w:val="000000" w:themeColor="text1"/>
          <w:sz w:val="20"/>
          <w:szCs w:val="20"/>
        </w:rPr>
        <w:t xml:space="preserve">1.66, 0.89) distribution in the base case Scenario 1.  </w:t>
      </w:r>
    </w:p>
    <w:p w14:paraId="0B5DBD87" w14:textId="77777777" w:rsidR="00F679C0" w:rsidRPr="00B51293" w:rsidRDefault="00F679C0">
      <w:pPr>
        <w:rPr>
          <w:rFonts w:ascii="Times New Roman" w:hAnsi="Times New Roman" w:cs="Times New Roman"/>
          <w:color w:val="000000" w:themeColor="text1"/>
          <w:sz w:val="20"/>
          <w:szCs w:val="20"/>
        </w:rPr>
      </w:pPr>
    </w:p>
    <w:p w14:paraId="263CA096" w14:textId="77777777" w:rsidR="00F679C0" w:rsidRPr="00B51293" w:rsidRDefault="00E45E40">
      <w:pPr>
        <w:rPr>
          <w:rFonts w:ascii="Times New Roman" w:hAnsi="Times New Roman" w:cs="Times New Roman"/>
          <w:i/>
          <w:color w:val="000000" w:themeColor="text1"/>
          <w:sz w:val="20"/>
          <w:szCs w:val="20"/>
        </w:rPr>
      </w:pPr>
      <w:r w:rsidRPr="00B51293">
        <w:rPr>
          <w:rFonts w:ascii="Times New Roman" w:hAnsi="Times New Roman" w:cs="Times New Roman"/>
          <w:i/>
          <w:color w:val="000000" w:themeColor="text1"/>
          <w:sz w:val="20"/>
          <w:szCs w:val="20"/>
        </w:rPr>
        <w:t>Scenario 2: previous estimates</w:t>
      </w:r>
    </w:p>
    <w:p w14:paraId="7EE96B56" w14:textId="432372D1" w:rsidR="00F679C0" w:rsidRPr="00B51293" w:rsidRDefault="00E45E40">
      <w:pPr>
        <w:rPr>
          <w:rFonts w:ascii="Times New Roman" w:hAnsi="Times New Roman" w:cs="Times New Roman"/>
          <w:color w:val="000000" w:themeColor="text1"/>
          <w:sz w:val="20"/>
          <w:szCs w:val="20"/>
        </w:rPr>
      </w:pPr>
      <w:r w:rsidRPr="00B51293">
        <w:rPr>
          <w:rFonts w:ascii="Times New Roman" w:hAnsi="Times New Roman" w:cs="Times New Roman"/>
          <w:color w:val="000000" w:themeColor="text1"/>
          <w:sz w:val="20"/>
          <w:szCs w:val="20"/>
        </w:rPr>
        <w:t xml:space="preserve">We also took a scenario which used a previous estimate of the time from symptom onset to </w:t>
      </w:r>
      <w:proofErr w:type="spellStart"/>
      <w:r w:rsidRPr="00B51293">
        <w:rPr>
          <w:rFonts w:ascii="Times New Roman" w:hAnsi="Times New Roman" w:cs="Times New Roman"/>
          <w:color w:val="000000" w:themeColor="text1"/>
          <w:sz w:val="20"/>
          <w:szCs w:val="20"/>
        </w:rPr>
        <w:t>hospitalisation</w:t>
      </w:r>
      <w:proofErr w:type="spellEnd"/>
      <w:r w:rsidRPr="00B51293">
        <w:rPr>
          <w:rFonts w:ascii="Times New Roman" w:hAnsi="Times New Roman" w:cs="Times New Roman"/>
          <w:color w:val="000000" w:themeColor="text1"/>
          <w:sz w:val="20"/>
          <w:szCs w:val="20"/>
        </w:rPr>
        <w:t xml:space="preserve"> as a gamma distribution with shape 7 and rate 1 </w:t>
      </w:r>
      <w:r w:rsidRPr="00B51293">
        <w:rPr>
          <w:rFonts w:ascii="Times New Roman" w:hAnsi="Times New Roman" w:cs="Times New Roman"/>
          <w:color w:val="000000" w:themeColor="text1"/>
          <w:sz w:val="20"/>
          <w:szCs w:val="20"/>
        </w:rPr>
        <w:fldChar w:fldCharType="begin"/>
      </w:r>
      <w:r w:rsidR="0091560D">
        <w:rPr>
          <w:rFonts w:ascii="Times New Roman" w:hAnsi="Times New Roman" w:cs="Times New Roman"/>
          <w:color w:val="000000" w:themeColor="text1"/>
          <w:sz w:val="20"/>
          <w:szCs w:val="20"/>
        </w:rPr>
        <w:instrText xml:space="preserve"> ADDIN ZOTERO_ITEM CSL_CITATION {"citationID":"askfv2p83s","properties":{"formattedCitation":"(6)","plainCitation":"(6)","noteIndex":0},"citationItems":[{"id":16179,"uris":["http://zotero.org/groups/2623950/items/M9DMFT5H"],"itemData":{"id":16179,"type":"article-journal","abstract":"&lt;h2&gt;Summary&lt;/h2&gt;&lt;h3&gt;Background&lt;/h3&gt;&lt;p&gt;Non-pharmaceutical interventions have been implemented to reduce transmission of severe acute respiratory syndrome coronavirus 2 (SARS-CoV-2) in the UK. Projecting the size of an unmitigated epidemic and the potential effect of different control measures has been crucial to support evidence-based policy making during the early stages of the epidemic. This study assesses the potential impact of different control measures for mitigating the burden of COVID-19 in the UK.&lt;/p&gt;&lt;h3&gt;Methods&lt;/h3&gt;&lt;p&gt;We used a stochastic age-structured transmission model to explore a range of intervention scenarios, tracking 66·4 million people aggregated to 186 county-level administrative units in England, Wales, Scotland, and Northern Ireland. The four base interventions modelled were school closures, physical distancing, shielding of people aged 70 years or older, and self-isolation of symptomatic cases. We also modelled the combination of these interventions, as well as a programme of intensive interventions with phased lockdown-type restrictions that substantially limited contacts outside of the home for repeated periods. We simulated different triggers for the introduction of interventions, and estimated the impact of varying adherence to interventions across counties. For each scenario, we projected estimated new cases over time, patients requiring inpatient and critical care (ie, admission to the intensive care units [ICU]) treatment, and deaths, and compared the effect of each intervention on the basic reproduction number, &lt;i&gt;R&lt;/i&gt;&lt;sub&gt;0&lt;/sub&gt;.&lt;/p&gt;&lt;h3&gt;Findings&lt;/h3&gt;&lt;p&gt;We projected a median unmitigated burden of 23 million (95% prediction interval 13–30) clinical cases and 350 000 deaths (170 000–480 000) due to COVID-19 in the UK by December, 2021. We found that the four base interventions were each likely to decrease &lt;i&gt;R&lt;/i&gt;&lt;sub&gt;0&lt;/sub&gt;, but not sufficiently to prevent ICU demand from exceeding health service capacity. The combined intervention was more effective at reducing &lt;i&gt;R&lt;/i&gt;&lt;sub&gt;0&lt;/sub&gt;, but only lockdown periods were sufficient to bring &lt;i&gt;R&lt;/i&gt;&lt;sub&gt;0&lt;/sub&gt; near or below 1; the most stringent lockdown scenario resulted in a projected 120 000 cases (46 000–700 000) and 50 000 deaths (9300–160 000). Intensive interventions with lockdown periods would need to be in place for a large proportion of the coming year to prevent health-care demand exceeding availability.&lt;/p&gt;&lt;h3&gt;Interpretation&lt;/h3&gt;&lt;p&gt;The characteristics of SARS-CoV-2 mean that extreme measures are probably required to bring the epidemic under control and to prevent very large numbers of deaths and an excess of demand on hospital beds, especially those in ICUs.&lt;/p&gt;&lt;h3&gt;Funding&lt;/h3&gt;&lt;p&gt;Medical Research Council.&lt;/p&gt;","container-title":"The Lancet Public Health","DOI":"10.1016/S2468-2667(20)30133-X","ISSN":"2468-2667","issue":"7","journalAbbreviation":"The Lancet Public Health","language":"English","note":"publisher: Elsevier\nPMID: 32502389","page":"e375-e385","source":"www.thelancet.com","title":"Effects of non-pharmaceutical interventions on COVID-19 cases, deaths, and demand for hospital services in the UK: a modelling study","title-short":"Effects of non-pharmaceutical interventions on COVID-19 cases, deaths, and demand for hospital services in the UK","volume":"5","author":[{"family":"Davies","given":"Nicholas G."},{"family":"Kucharski","given":"Adam J."},{"family":"Eggo","given":"Rosalind M."},{"family":"Gimma","given":"Amy"},{"family":"Edmunds","given":"W. John"},{"family":"Jombart","given":"Thibaut"},{"family":"O'Reilly","given":"Kathleen"},{"family":"Endo","given":"Akira"},{"family":"Hellewell","given":"Joel"},{"family":"Nightingale","given":"Emily S."},{"family":"Quilty","given":"Billy J."},{"family":"Jarvis","given":"Christopher I."},{"family":"Russell","given":"Timothy W."},{"family":"Klepac","given":"Petra"},{"family":"Bosse","given":"Nikos I."},{"family":"Funk","given":"Sebastian"},{"family":"Abbott","given":"Sam"},{"family":"Medley","given":"Graham F."},{"family":"Gibbs","given":"Hamish"},{"family":"Pearson","given":"Carl A. B."},{"family":"Flasche","given":"Stefan"},{"family":"Jit","given":"Mark"},{"family":"Clifford","given":"Samuel"},{"family":"Prem","given":"Kiesha"},{"family":"Diamond","given":"Charlie"},{"family":"Emery","given":"Jon"},{"family":"Deol","given":"Arminder K."},{"family":"Procter","given":"Simon R."},{"family":"Zandvoort","given":"Kevin","dropping-particle":"van"},{"family":"Sun","given":"Yueqian Fiona"},{"family":"Munday","given":"James D."},{"family":"Rosello","given":"Alicia"},{"family":"Auzenbergs","given":"Megan"},{"family":"Knight","given":"Gwen"},{"family":"Houben","given":"Rein M. G. J."},{"family":"Liu","given":"Yang"}],"issued":{"date-parts":[["2020",7,1]]}}}],"schema":"https://github.com/citation-style-language/schema/raw/master/csl-citation.json"} </w:instrText>
      </w:r>
      <w:r w:rsidRPr="00B51293">
        <w:rPr>
          <w:rFonts w:ascii="Times New Roman" w:hAnsi="Times New Roman" w:cs="Times New Roman"/>
          <w:color w:val="000000" w:themeColor="text1"/>
          <w:sz w:val="20"/>
          <w:szCs w:val="20"/>
        </w:rPr>
        <w:fldChar w:fldCharType="separate"/>
      </w:r>
      <w:r w:rsidR="0091560D">
        <w:rPr>
          <w:rFonts w:ascii="Times New Roman" w:hAnsi="Times New Roman" w:cs="Times New Roman"/>
          <w:color w:val="000000" w:themeColor="text1"/>
          <w:sz w:val="20"/>
          <w:szCs w:val="20"/>
        </w:rPr>
        <w:t>(6)</w:t>
      </w:r>
      <w:r w:rsidRPr="00B51293">
        <w:rPr>
          <w:rFonts w:ascii="Times New Roman" w:hAnsi="Times New Roman" w:cs="Times New Roman"/>
          <w:color w:val="000000" w:themeColor="text1"/>
          <w:sz w:val="20"/>
          <w:szCs w:val="20"/>
        </w:rPr>
        <w:fldChar w:fldCharType="end"/>
      </w:r>
      <w:r w:rsidRPr="00B51293">
        <w:rPr>
          <w:rFonts w:ascii="Times New Roman" w:hAnsi="Times New Roman" w:cs="Times New Roman"/>
          <w:color w:val="000000" w:themeColor="text1"/>
          <w:sz w:val="20"/>
          <w:szCs w:val="20"/>
        </w:rPr>
        <w:t xml:space="preserve"> (grey line in Figure S6). This was calculated using international data from the first wave </w:t>
      </w:r>
      <w:r w:rsidRPr="00B51293">
        <w:rPr>
          <w:rFonts w:ascii="Times New Roman" w:hAnsi="Times New Roman" w:cs="Times New Roman"/>
          <w:color w:val="000000" w:themeColor="text1"/>
          <w:sz w:val="20"/>
          <w:szCs w:val="20"/>
        </w:rPr>
        <w:fldChar w:fldCharType="begin"/>
      </w:r>
      <w:r w:rsidR="0091560D">
        <w:rPr>
          <w:rFonts w:ascii="Times New Roman" w:hAnsi="Times New Roman" w:cs="Times New Roman"/>
          <w:color w:val="000000" w:themeColor="text1"/>
          <w:sz w:val="20"/>
          <w:szCs w:val="20"/>
        </w:rPr>
        <w:instrText xml:space="preserve"> ADDIN ZOTERO_ITEM CSL_CITATION {"citationID":"a1tln5d0ims","properties":{"formattedCitation":"(7,8)","plainCitation":"(7,8)","noteIndex":0},"citationItems":[{"id":20963,"uris":["http://zotero.org/users/6698211/items/I3RCUI8D"],"itemData":{"id":20963,"type":"article-journal","abstract":"The geographic spread of 2019 novel coronavirus (COVID-19) infections from the epicenter of Wuhan, China, has provided an opportunity to study the natural history of the recently emerged virus. Using publicly available event-date data from the ongoing epidemic, the present study investigated the incubation period and other time intervals that govern the epidemiological dynamics of COVID-19 infections. Our results show that the incubation period falls within the range of 2–14 days with 95% confidence and has a mean of around 5 days when approximated using the best-fit lognormal distribution. The mean time from illness onset to hospital admission (for treatment and/or isolation) was estimated at 3–4 days without truncation and at 5–9 days when right truncated. Based on the 95th percentile estimate of the incubation period, we recommend that the length of quarantine should be at least 14 days. The median time delay of 13 days from illness onset to death (17 days with right truncation) should be considered when estimating the COVID-19 case fatality risk.","container-title":"Journal of Clinical Medicine","DOI":"10.3390/jcm9020538","ISSN":"2077-0383","issue":"2","journalAbbreviation":"J Clin Med","note":"PMID: 32079150\nPMCID: PMC7074197","source":"PubMed Central","title":"Incubation Period and Other Epidemiological Characteristics of 2019 Novel Coronavirus Infections with Right Truncation: A Statistical Analysis of Publicly Available Case Data","title-short":"Incubation Period and Other Epidemiological Characteristics of 2019 Novel Coronavirus Infections with Right Truncation","URL":"https://www.ncbi.nlm.nih.gov/pmc/articles/PMC7074197/","volume":"9","author":[{"family":"Linton","given":"Natalie M."},{"family":"Kobayashi","given":"Tetsuro"},{"family":"Yang","given":"Yichi"},{"family":"Hayashi","given":"Katsuma"},{"family":"Akhmetzhanov","given":"Andrei R."},{"family":"Jung","given":"Sung-mok"},{"family":"Yuan","given":"Baoyin"},{"family":"Kinoshita","given":"Ryo"},{"family":"Nishiura","given":"Hiroshi"}],"accessed":{"date-parts":[["2021",3,19]]},"issued":{"date-parts":[["2020",2,17]]}}},{"id":20961,"uris":["http://zotero.org/users/6698211/items/CBR3QVQQ"],"itemData":{"id":20961,"type":"article-journal","container-title":"New England Journal of Medicine","DOI":"10.1056/NEJMoa2001282","ISSN":"0028-4793","issue":"19","note":"publisher: Massachusetts Medical Society\n_eprint: https://doi.org/10.1056/NEJMoa2001282\nPMID: 32187464","page":"1787-1799","source":"Taylor and Francis+NEJM","title":"A Trial of Lopinavir–Ritonavir in Adults Hospitalized with Severe Covid-19","volume":"382","author":[{"family":"Cao","given":"Bin"},{"family":"Wang","given":"Yeming"},{"family":"Wen","given":"Danning"},{"family":"Liu","given":"Wen"},{"family":"Wang","given":"Jingli"},{"family":"Fan","given":"Guohui"},{"family":"Ruan","given":"Lianguo"},{"family":"Song","given":"Bin"},{"family":"Cai","given":"Yanping"},{"family":"Wei","given":"Ming"},{"family":"Li","given":"Xingwang"},{"family":"Xia","given":"Jiaan"},{"family":"Chen","given":"Nanshan"},{"family":"Xiang","given":"Jie"},{"family":"Yu","given":"Ting"},{"family":"Bai","given":"Tao"},{"family":"Xie","given":"Xuelei"},{"family":"Zhang","given":"Li"},{"family":"Li","given":"Caihong"},{"family":"Yuan","given":"Ye"},{"family":"Chen","given":"Hua"},{"family":"Li","given":"Huadong"},{"family":"Huang","given":"Hanping"},{"family":"Tu","given":"Shengjing"},{"family":"Gong","given":"Fengyun"},{"family":"Liu","given":"Ying"},{"family":"Wei","given":"Yuan"},{"family":"Dong","given":"Chongya"},{"family":"Zhou","given":"Fei"},{"family":"Gu","given":"Xiaoying"},{"family":"Xu","given":"Jiuyang"},{"family":"Liu","given":"Zhibo"},{"family":"Zhang","given":"Yi"},{"family":"Li","given":"Hui"},{"family":"Shang","given":"Lianhan"},{"family":"Wang","given":"Ke"},{"family":"Li","given":"Kunxia"},{"family":"Zhou","given":"Xia"},{"family":"Dong","given":"Xuan"},{"family":"Qu","given":"Zhaohui"},{"family":"Lu","given":"Sixia"},{"family":"Hu","given":"Xujuan"},{"family":"Ruan","given":"Shunan"},{"family":"Luo","given":"Shanshan"},{"family":"Wu","given":"Jing"},{"family":"Peng","given":"Lu"},{"family":"Cheng","given":"Fang"},{"family":"Pan","given":"Lihong"},{"family":"Zou","given":"Jun"},{"family":"Jia","given":"Chunmin"},{"family":"Wang","given":"Juan"},{"family":"Liu","given":"Xia"},{"family":"Wang","given":"Shuzhen"},{"family":"Wu","given":"Xudong"},{"family":"Ge","given":"Qin"},{"family":"He","given":"Jing"},{"family":"Zhan","given":"Haiyan"},{"family":"Qiu","given":"Fang"},{"family":"Guo","given":"Li"},{"family":"Huang","given":"Chaolin"},{"family":"Jaki","given":"Thomas"},{"family":"Hayden","given":"Frederick G."},{"family":"Horby","given":"Peter W."},{"family":"Zhang","given":"Dingyu"},{"family":"Wang","given":"Chen"}],"issued":{"date-parts":[["2020",5,7]]}}}],"schema":"https://github.com/citation-style-language/schema/raw/master/csl-citation.json"} </w:instrText>
      </w:r>
      <w:r w:rsidRPr="00B51293">
        <w:rPr>
          <w:rFonts w:ascii="Times New Roman" w:hAnsi="Times New Roman" w:cs="Times New Roman"/>
          <w:color w:val="000000" w:themeColor="text1"/>
          <w:sz w:val="20"/>
          <w:szCs w:val="20"/>
        </w:rPr>
        <w:fldChar w:fldCharType="separate"/>
      </w:r>
      <w:r w:rsidR="0091560D">
        <w:rPr>
          <w:rFonts w:ascii="Times New Roman" w:hAnsi="Times New Roman" w:cs="Times New Roman"/>
          <w:color w:val="000000" w:themeColor="text1"/>
          <w:sz w:val="20"/>
          <w:szCs w:val="20"/>
        </w:rPr>
        <w:t>(7,8)</w:t>
      </w:r>
      <w:r w:rsidRPr="00B51293">
        <w:rPr>
          <w:rFonts w:ascii="Times New Roman" w:hAnsi="Times New Roman" w:cs="Times New Roman"/>
          <w:color w:val="000000" w:themeColor="text1"/>
          <w:sz w:val="20"/>
          <w:szCs w:val="20"/>
        </w:rPr>
        <w:fldChar w:fldCharType="end"/>
      </w:r>
      <w:r w:rsidRPr="00B51293">
        <w:rPr>
          <w:rFonts w:ascii="Times New Roman" w:hAnsi="Times New Roman" w:cs="Times New Roman"/>
          <w:color w:val="000000" w:themeColor="text1"/>
          <w:sz w:val="20"/>
          <w:szCs w:val="20"/>
        </w:rPr>
        <w:t xml:space="preserve">. </w:t>
      </w:r>
    </w:p>
    <w:p w14:paraId="5BC7C212" w14:textId="77777777" w:rsidR="00F679C0" w:rsidRPr="00B51293" w:rsidRDefault="00F679C0">
      <w:pPr>
        <w:rPr>
          <w:rFonts w:ascii="Times New Roman" w:hAnsi="Times New Roman" w:cs="Times New Roman"/>
          <w:color w:val="000000" w:themeColor="text1"/>
          <w:sz w:val="20"/>
          <w:szCs w:val="20"/>
        </w:rPr>
      </w:pPr>
    </w:p>
    <w:p w14:paraId="196D01E3" w14:textId="77777777" w:rsidR="00F679C0" w:rsidRPr="00B51293" w:rsidRDefault="00E45E40">
      <w:pPr>
        <w:rPr>
          <w:rFonts w:ascii="Times New Roman" w:hAnsi="Times New Roman" w:cs="Times New Roman"/>
          <w:i/>
          <w:color w:val="000000" w:themeColor="text1"/>
          <w:sz w:val="20"/>
          <w:szCs w:val="20"/>
        </w:rPr>
      </w:pPr>
      <w:r w:rsidRPr="00B51293">
        <w:rPr>
          <w:rFonts w:ascii="Times New Roman" w:hAnsi="Times New Roman" w:cs="Times New Roman"/>
          <w:i/>
          <w:color w:val="000000" w:themeColor="text1"/>
          <w:sz w:val="20"/>
          <w:szCs w:val="20"/>
        </w:rPr>
        <w:t>Scenario 3: First Few 100 (FF100) cases in Great Britain</w:t>
      </w:r>
    </w:p>
    <w:p w14:paraId="05EE10AC" w14:textId="75FB7B13" w:rsidR="00F679C0" w:rsidRPr="00B51293" w:rsidRDefault="00E45E40">
      <w:pPr>
        <w:rPr>
          <w:rFonts w:ascii="Times New Roman" w:hAnsi="Times New Roman" w:cs="Times New Roman"/>
          <w:color w:val="000000" w:themeColor="text1"/>
          <w:sz w:val="20"/>
          <w:szCs w:val="20"/>
        </w:rPr>
      </w:pPr>
      <w:r w:rsidRPr="00B51293">
        <w:rPr>
          <w:rFonts w:ascii="Times New Roman" w:hAnsi="Times New Roman" w:cs="Times New Roman"/>
          <w:color w:val="000000" w:themeColor="text1"/>
          <w:sz w:val="20"/>
          <w:szCs w:val="20"/>
        </w:rPr>
        <w:t xml:space="preserve">We used data from the first few 100 cases data from Public Health England </w:t>
      </w:r>
      <w:r w:rsidRPr="00B51293">
        <w:rPr>
          <w:rFonts w:ascii="Times New Roman" w:hAnsi="Times New Roman" w:cs="Times New Roman"/>
          <w:color w:val="000000" w:themeColor="text1"/>
          <w:sz w:val="20"/>
          <w:szCs w:val="20"/>
        </w:rPr>
        <w:fldChar w:fldCharType="begin"/>
      </w:r>
      <w:r w:rsidR="0091560D">
        <w:rPr>
          <w:rFonts w:ascii="Times New Roman" w:hAnsi="Times New Roman" w:cs="Times New Roman"/>
          <w:color w:val="000000" w:themeColor="text1"/>
          <w:sz w:val="20"/>
          <w:szCs w:val="20"/>
        </w:rPr>
        <w:instrText xml:space="preserve"> ADDIN ZOTERO_ITEM CSL_CITATION {"citationID":"a2ivt4mhcps","properties":{"formattedCitation":"(9)","plainCitation":"(9)","noteIndex":0},"citationItems":[{"id":21278,"uris":["http://zotero.org/users/6698211/items/NGCX7JEW"],"itemData":{"id":21278,"type":"article-journal","abstract":"&lt;h3&gt;Abstract&lt;/h3&gt; &lt;h3&gt;Objectives&lt;/h3&gt; &lt;p&gt;Following detection of the first virologically-confirmed cases of COVID-19 in Great Britain, an enhanced surveillance study was initiated by Public Health England to describe the clinical presentation, course of disease and underlying health conditions associated with infection of the first few hundred cases.&lt;/p&gt;&lt;h3&gt;Methods&lt;/h3&gt; &lt;p&gt;Information was collected on the first COVID-19 cases according to the First Few X WHO protocol. Case-control analyses of the sensitivity, specificity and predictive value of symptoms and underlying health conditions associated with infection were conducted. Point prevalences of underlying health conditions among the UK general population were presented.&lt;/p&gt;&lt;h3&gt;Findings&lt;/h3&gt; &lt;p&gt;The majority of FF100 cases were imported (51.4%), of which the majority had recent travel to Italy (71.4%). 24.7% were secondary cases acquired mainly through household contact (40.4%). Children had lower odds of COVID-19 infection compared with the general population.&lt;/p&gt;&lt;p&gt;The clinical presentation of cases was dominated by cough, fever and fatigue. Non-linear relationships with age were observed for fever, and sensitivity and specificity of symptoms varied by age.&lt;/p&gt;&lt;p&gt;Conditions associated with higher odds of COVID-19 infection (after adjusting for age and sex) were chronic heart disease, immunosuppression and multimorbidity.&lt;/p&gt;&lt;h3&gt;Conclusion&lt;/h3&gt; &lt;p&gt;This study presents the first epidemiological and clinical summary of COVID-19 cases in Great Britain. The FFX study design enabled systematic data collection. The study characterized underlying health conditions associated with infection and set relative risks in context with population prevalence estimates. It also provides important evidence for generating case definitions to support public health risk assessment, clinical triage and diagnostic algorithms.&lt;/p&gt;","container-title":"medRxiv","DOI":"10.1101/2020.05.18.20086157","language":"en","note":"publisher: Cold Spring Harbor Laboratory Press","page":"2020.05.18.20086157","source":"www.medrxiv.org","title":"COVID-19 in Great Britain: epidemiological and clinical characteristics of the first few hundred (FF100) cases: a descriptive case series and case control analysis","title-short":"COVID-19 in Great Britain","author":[{"family":"Boddington","given":"Nicola L."},{"family":"Charlett","given":"Andre"},{"family":"Elgohari","given":"Suzanne"},{"family":"Walker","given":"Jemma L."},{"family":"McDonald","given":"Helen I."},{"family":"Byers","given":"Chloe"},{"family":"Coughlan","given":"Laura"},{"family":"Vilaplana","given":"Tatiana Garcia"},{"family":"Whillock","given":"Rosie"},{"family":"Sinnathamby","given":"Mary"},{"family":"Panagiotopoulos","given":"Nikolaos"},{"family":"Letley","given":"Louise"},{"family":"MacDonald","given":"Pauline"},{"family":"Vivancos","given":"Roberto"},{"family":"Edeghere","given":"Obaghe"},{"family":"Shingleton","given":"Joseph"},{"family":"Bennett","given":"Emma"},{"family":"Grint","given":"Daniel J."},{"family":"Strongman","given":"Helen"},{"family":"Mansfield","given":"Kathryn E."},{"family":"Rentsch","given":"Christopher"},{"family":"Minassian","given":"Caroline"},{"family":"Douglas","given":"Ian J."},{"family":"Mathur","given":"Rohini"},{"family":"Peppa","given":"Maria"},{"family":"Cottrell","given":"Simon"},{"family":"McMenamin","given":"Jim"},{"family":"Zambon","given":"Maria"},{"family":"Ramsay","given":"Mary"},{"family":"Dabrera","given":"Gavin"},{"family":"Saliba","given":"Vanessa"},{"family":"Bernal","given":"Jamie Lopez"}],"issued":{"date-parts":[["2020",5,22]]}}}],"schema":"https://github.com/citation-style-language/schema/raw/master/csl-citation.json"} </w:instrText>
      </w:r>
      <w:r w:rsidRPr="00B51293">
        <w:rPr>
          <w:rFonts w:ascii="Times New Roman" w:hAnsi="Times New Roman" w:cs="Times New Roman"/>
          <w:color w:val="000000" w:themeColor="text1"/>
          <w:sz w:val="20"/>
          <w:szCs w:val="20"/>
        </w:rPr>
        <w:fldChar w:fldCharType="separate"/>
      </w:r>
      <w:r w:rsidR="0091560D">
        <w:rPr>
          <w:rFonts w:ascii="Times New Roman" w:hAnsi="Times New Roman" w:cs="Times New Roman"/>
          <w:color w:val="000000" w:themeColor="text1"/>
          <w:sz w:val="20"/>
          <w:szCs w:val="20"/>
        </w:rPr>
        <w:t>(9)</w:t>
      </w:r>
      <w:r w:rsidRPr="00B51293">
        <w:rPr>
          <w:rFonts w:ascii="Times New Roman" w:hAnsi="Times New Roman" w:cs="Times New Roman"/>
          <w:color w:val="000000" w:themeColor="text1"/>
          <w:sz w:val="20"/>
          <w:szCs w:val="20"/>
        </w:rPr>
        <w:fldChar w:fldCharType="end"/>
      </w:r>
      <w:r w:rsidRPr="00B51293">
        <w:rPr>
          <w:rFonts w:ascii="Times New Roman" w:hAnsi="Times New Roman" w:cs="Times New Roman"/>
          <w:color w:val="000000" w:themeColor="text1"/>
          <w:sz w:val="20"/>
          <w:szCs w:val="20"/>
        </w:rPr>
        <w:t xml:space="preserve">. This contains information on symptoms from the first 492 cases, 167 of which were </w:t>
      </w:r>
      <w:proofErr w:type="spellStart"/>
      <w:r w:rsidRPr="00B51293">
        <w:rPr>
          <w:rFonts w:ascii="Times New Roman" w:hAnsi="Times New Roman" w:cs="Times New Roman"/>
          <w:color w:val="000000" w:themeColor="text1"/>
          <w:sz w:val="20"/>
          <w:szCs w:val="20"/>
        </w:rPr>
        <w:t>hospitalised</w:t>
      </w:r>
      <w:proofErr w:type="spellEnd"/>
      <w:r w:rsidRPr="00B51293">
        <w:rPr>
          <w:rFonts w:ascii="Times New Roman" w:hAnsi="Times New Roman" w:cs="Times New Roman"/>
          <w:color w:val="000000" w:themeColor="text1"/>
          <w:sz w:val="20"/>
          <w:szCs w:val="20"/>
        </w:rPr>
        <w:t xml:space="preserve">. </w:t>
      </w:r>
      <w:proofErr w:type="gramStart"/>
      <w:r w:rsidRPr="00B51293">
        <w:rPr>
          <w:rFonts w:ascii="Times New Roman" w:hAnsi="Times New Roman" w:cs="Times New Roman"/>
          <w:color w:val="000000" w:themeColor="text1"/>
          <w:sz w:val="20"/>
          <w:szCs w:val="20"/>
        </w:rPr>
        <w:t>At this time</w:t>
      </w:r>
      <w:proofErr w:type="gramEnd"/>
      <w:r w:rsidRPr="00B51293">
        <w:rPr>
          <w:rFonts w:ascii="Times New Roman" w:hAnsi="Times New Roman" w:cs="Times New Roman"/>
          <w:color w:val="000000" w:themeColor="text1"/>
          <w:sz w:val="20"/>
          <w:szCs w:val="20"/>
        </w:rPr>
        <w:t xml:space="preserve"> there was not a strict list of symptoms as there was later in 2020 (loss of taste / smell, continuous cough, fever). Fitting to this data suggested a best fit of </w:t>
      </w:r>
      <w:proofErr w:type="spellStart"/>
      <w:r w:rsidRPr="00B51293">
        <w:rPr>
          <w:rFonts w:ascii="Times New Roman" w:hAnsi="Times New Roman" w:cs="Times New Roman"/>
          <w:color w:val="000000" w:themeColor="text1"/>
          <w:sz w:val="20"/>
          <w:szCs w:val="20"/>
        </w:rPr>
        <w:t>logNormal</w:t>
      </w:r>
      <w:proofErr w:type="spellEnd"/>
      <w:r w:rsidRPr="00B51293">
        <w:rPr>
          <w:rFonts w:ascii="Times New Roman" w:hAnsi="Times New Roman" w:cs="Times New Roman"/>
          <w:color w:val="000000" w:themeColor="text1"/>
          <w:sz w:val="20"/>
          <w:szCs w:val="20"/>
        </w:rPr>
        <w:t xml:space="preserve"> distribution with mean log = 1.44, SD log = 0.72. </w:t>
      </w:r>
    </w:p>
    <w:p w14:paraId="19025A99" w14:textId="77777777" w:rsidR="00F679C0" w:rsidRPr="00B51293" w:rsidRDefault="00F679C0">
      <w:pPr>
        <w:rPr>
          <w:rFonts w:ascii="Times New Roman" w:hAnsi="Times New Roman" w:cs="Times New Roman"/>
          <w:color w:val="000000" w:themeColor="text1"/>
          <w:sz w:val="20"/>
          <w:szCs w:val="20"/>
        </w:rPr>
      </w:pPr>
    </w:p>
    <w:p w14:paraId="0A5A5755" w14:textId="77777777" w:rsidR="00F679C0" w:rsidRPr="00B51293" w:rsidRDefault="00F679C0">
      <w:pPr>
        <w:rPr>
          <w:rFonts w:ascii="Times New Roman" w:hAnsi="Times New Roman" w:cs="Times New Roman"/>
          <w:color w:val="000000" w:themeColor="text1"/>
          <w:sz w:val="20"/>
          <w:szCs w:val="20"/>
        </w:rPr>
      </w:pPr>
    </w:p>
    <w:p w14:paraId="46D510C0" w14:textId="77777777" w:rsidR="00F679C0" w:rsidRPr="00B51293" w:rsidRDefault="00F679C0">
      <w:pPr>
        <w:rPr>
          <w:rFonts w:ascii="Times New Roman" w:hAnsi="Times New Roman" w:cs="Times New Roman"/>
          <w:color w:val="000000" w:themeColor="text1"/>
          <w:sz w:val="20"/>
          <w:szCs w:val="20"/>
        </w:rPr>
      </w:pPr>
    </w:p>
    <w:p w14:paraId="76F06A6A" w14:textId="77777777" w:rsidR="00F679C0" w:rsidRPr="00B51293" w:rsidRDefault="00F679C0">
      <w:pPr>
        <w:rPr>
          <w:rFonts w:ascii="Times New Roman" w:hAnsi="Times New Roman" w:cs="Times New Roman"/>
          <w:color w:val="000000" w:themeColor="text1"/>
          <w:sz w:val="20"/>
          <w:szCs w:val="20"/>
        </w:rPr>
      </w:pPr>
    </w:p>
    <w:p w14:paraId="002F6E74" w14:textId="77777777" w:rsidR="00F679C0" w:rsidRPr="00B51293" w:rsidRDefault="00E45E40">
      <w:pPr>
        <w:jc w:val="center"/>
        <w:rPr>
          <w:rFonts w:ascii="Times New Roman" w:hAnsi="Times New Roman" w:cs="Times New Roman"/>
          <w:b/>
          <w:color w:val="000000" w:themeColor="text1"/>
          <w:sz w:val="20"/>
          <w:szCs w:val="20"/>
        </w:rPr>
      </w:pPr>
      <w:r w:rsidRPr="00B51293">
        <w:rPr>
          <w:rFonts w:ascii="Times New Roman" w:hAnsi="Times New Roman" w:cs="Times New Roman"/>
          <w:b/>
          <w:noProof/>
          <w:color w:val="000000" w:themeColor="text1"/>
          <w:sz w:val="20"/>
          <w:szCs w:val="20"/>
        </w:rPr>
        <w:lastRenderedPageBreak/>
        <w:drawing>
          <wp:inline distT="114300" distB="114300" distL="114300" distR="114300" wp14:anchorId="5D24579D" wp14:editId="5642193F">
            <wp:extent cx="4237084" cy="6329363"/>
            <wp:effectExtent l="0" t="0" r="0" b="0"/>
            <wp:docPr id="13" name="image26.jpg"/>
            <wp:cNvGraphicFramePr/>
            <a:graphic xmlns:a="http://schemas.openxmlformats.org/drawingml/2006/main">
              <a:graphicData uri="http://schemas.openxmlformats.org/drawingml/2006/picture">
                <pic:pic xmlns:pic="http://schemas.openxmlformats.org/drawingml/2006/picture">
                  <pic:nvPicPr>
                    <pic:cNvPr id="0" name="image26.jpg"/>
                    <pic:cNvPicPr preferRelativeResize="0"/>
                  </pic:nvPicPr>
                  <pic:blipFill>
                    <a:blip r:embed="rId7"/>
                    <a:srcRect/>
                    <a:stretch>
                      <a:fillRect/>
                    </a:stretch>
                  </pic:blipFill>
                  <pic:spPr>
                    <a:xfrm>
                      <a:off x="0" y="0"/>
                      <a:ext cx="4237084" cy="6329363"/>
                    </a:xfrm>
                    <a:prstGeom prst="rect">
                      <a:avLst/>
                    </a:prstGeom>
                    <a:ln/>
                  </pic:spPr>
                </pic:pic>
              </a:graphicData>
            </a:graphic>
          </wp:inline>
        </w:drawing>
      </w:r>
    </w:p>
    <w:p w14:paraId="36AD1B0D" w14:textId="36A91C10" w:rsidR="00F679C0" w:rsidRPr="00B51293" w:rsidRDefault="00E45E40">
      <w:pPr>
        <w:rPr>
          <w:rFonts w:ascii="Times New Roman" w:hAnsi="Times New Roman" w:cs="Times New Roman"/>
          <w:b/>
          <w:color w:val="000000" w:themeColor="text1"/>
          <w:sz w:val="20"/>
          <w:szCs w:val="20"/>
        </w:rPr>
      </w:pPr>
      <w:r w:rsidRPr="00B51293">
        <w:rPr>
          <w:rFonts w:ascii="Times New Roman" w:hAnsi="Times New Roman" w:cs="Times New Roman"/>
          <w:b/>
          <w:color w:val="000000" w:themeColor="text1"/>
          <w:sz w:val="20"/>
          <w:szCs w:val="20"/>
        </w:rPr>
        <w:t xml:space="preserve">Figure S6: What is the distribution of symptom onset before </w:t>
      </w:r>
      <w:proofErr w:type="spellStart"/>
      <w:r w:rsidRPr="00B51293">
        <w:rPr>
          <w:rFonts w:ascii="Times New Roman" w:hAnsi="Times New Roman" w:cs="Times New Roman"/>
          <w:b/>
          <w:color w:val="000000" w:themeColor="text1"/>
          <w:sz w:val="20"/>
          <w:szCs w:val="20"/>
        </w:rPr>
        <w:t>hospitalisation</w:t>
      </w:r>
      <w:proofErr w:type="spellEnd"/>
      <w:r w:rsidRPr="00B51293">
        <w:rPr>
          <w:rFonts w:ascii="Times New Roman" w:hAnsi="Times New Roman" w:cs="Times New Roman"/>
          <w:b/>
          <w:color w:val="000000" w:themeColor="text1"/>
          <w:sz w:val="20"/>
          <w:szCs w:val="20"/>
        </w:rPr>
        <w:t xml:space="preserve">? (A) CO-CIN data for 38,168 patients from Wave 1 in England with a symptom onset and hospital admission date. Dashed lines indicate heaps in the data at 7, 14, 10 and 21 days prior to admission. (B) Results of probability </w:t>
      </w:r>
      <w:proofErr w:type="gramStart"/>
      <w:r w:rsidRPr="00B51293">
        <w:rPr>
          <w:rFonts w:ascii="Times New Roman" w:hAnsi="Times New Roman" w:cs="Times New Roman"/>
          <w:b/>
          <w:color w:val="000000" w:themeColor="text1"/>
          <w:sz w:val="20"/>
          <w:szCs w:val="20"/>
        </w:rPr>
        <w:t>distribution  fitting</w:t>
      </w:r>
      <w:proofErr w:type="gramEnd"/>
      <w:r w:rsidRPr="00B51293">
        <w:rPr>
          <w:rFonts w:ascii="Times New Roman" w:hAnsi="Times New Roman" w:cs="Times New Roman"/>
          <w:b/>
          <w:color w:val="000000" w:themeColor="text1"/>
          <w:sz w:val="20"/>
          <w:szCs w:val="20"/>
        </w:rPr>
        <w:t xml:space="preserve"> to the data: red = gamma, blue = negative binomial, dark green = exponential, orange = log-normal (Scenario 1). The grey line is the distribution from </w:t>
      </w:r>
      <w:r w:rsidRPr="00B51293">
        <w:rPr>
          <w:rFonts w:ascii="Times New Roman" w:hAnsi="Times New Roman" w:cs="Times New Roman"/>
          <w:color w:val="000000" w:themeColor="text1"/>
          <w:sz w:val="20"/>
          <w:szCs w:val="20"/>
        </w:rPr>
        <w:fldChar w:fldCharType="begin"/>
      </w:r>
      <w:r w:rsidR="0091560D">
        <w:rPr>
          <w:rFonts w:ascii="Times New Roman" w:hAnsi="Times New Roman" w:cs="Times New Roman"/>
          <w:color w:val="000000" w:themeColor="text1"/>
          <w:sz w:val="20"/>
          <w:szCs w:val="20"/>
        </w:rPr>
        <w:instrText xml:space="preserve"> ADDIN ZOTERO_ITEM CSL_CITATION {"citationID":"a2f52h6k3lp","properties":{"formattedCitation":"(6)","plainCitation":"(6)","noteIndex":0},"citationItems":[{"id":16179,"uris":["http://zotero.org/groups/2623950/items/M9DMFT5H"],"itemData":{"id":16179,"type":"article-journal","abstract":"&lt;h2&gt;Summary&lt;/h2&gt;&lt;h3&gt;Background&lt;/h3&gt;&lt;p&gt;Non-pharmaceutical interventions have been implemented to reduce transmission of severe acute respiratory syndrome coronavirus 2 (SARS-CoV-2) in the UK. Projecting the size of an unmitigated epidemic and the potential effect of different control measures has been crucial to support evidence-based policy making during the early stages of the epidemic. This study assesses the potential impact of different control measures for mitigating the burden of COVID-19 in the UK.&lt;/p&gt;&lt;h3&gt;Methods&lt;/h3&gt;&lt;p&gt;We used a stochastic age-structured transmission model to explore a range of intervention scenarios, tracking 66·4 million people aggregated to 186 county-level administrative units in England, Wales, Scotland, and Northern Ireland. The four base interventions modelled were school closures, physical distancing, shielding of people aged 70 years or older, and self-isolation of symptomatic cases. We also modelled the combination of these interventions, as well as a programme of intensive interventions with phased lockdown-type restrictions that substantially limited contacts outside of the home for repeated periods. We simulated different triggers for the introduction of interventions, and estimated the impact of varying adherence to interventions across counties. For each scenario, we projected estimated new cases over time, patients requiring inpatient and critical care (ie, admission to the intensive care units [ICU]) treatment, and deaths, and compared the effect of each intervention on the basic reproduction number, &lt;i&gt;R&lt;/i&gt;&lt;sub&gt;0&lt;/sub&gt;.&lt;/p&gt;&lt;h3&gt;Findings&lt;/h3&gt;&lt;p&gt;We projected a median unmitigated burden of 23 million (95% prediction interval 13–30) clinical cases and 350 000 deaths (170 000–480 000) due to COVID-19 in the UK by December, 2021. We found that the four base interventions were each likely to decrease &lt;i&gt;R&lt;/i&gt;&lt;sub&gt;0&lt;/sub&gt;, but not sufficiently to prevent ICU demand from exceeding health service capacity. The combined intervention was more effective at reducing &lt;i&gt;R&lt;/i&gt;&lt;sub&gt;0&lt;/sub&gt;, but only lockdown periods were sufficient to bring &lt;i&gt;R&lt;/i&gt;&lt;sub&gt;0&lt;/sub&gt; near or below 1; the most stringent lockdown scenario resulted in a projected 120 000 cases (46 000–700 000) and 50 000 deaths (9300–160 000). Intensive interventions with lockdown periods would need to be in place for a large proportion of the coming year to prevent health-care demand exceeding availability.&lt;/p&gt;&lt;h3&gt;Interpretation&lt;/h3&gt;&lt;p&gt;The characteristics of SARS-CoV-2 mean that extreme measures are probably required to bring the epidemic under control and to prevent very large numbers of deaths and an excess of demand on hospital beds, especially those in ICUs.&lt;/p&gt;&lt;h3&gt;Funding&lt;/h3&gt;&lt;p&gt;Medical Research Council.&lt;/p&gt;","container-title":"The Lancet Public Health","DOI":"10.1016/S2468-2667(20)30133-X","ISSN":"2468-2667","issue":"7","journalAbbreviation":"The Lancet Public Health","language":"English","note":"publisher: Elsevier\nPMID: 32502389","page":"e375-e385","source":"www.thelancet.com","title":"Effects of non-pharmaceutical interventions on COVID-19 cases, deaths, and demand for hospital services in the UK: a modelling study","title-short":"Effects of non-pharmaceutical interventions on COVID-19 cases, deaths, and demand for hospital services in the UK","volume":"5","author":[{"family":"Davies","given":"Nicholas G."},{"family":"Kucharski","given":"Adam J."},{"family":"Eggo","given":"Rosalind M."},{"family":"Gimma","given":"Amy"},{"family":"Edmunds","given":"W. John"},{"family":"Jombart","given":"Thibaut"},{"family":"O'Reilly","given":"Kathleen"},{"family":"Endo","given":"Akira"},{"family":"Hellewell","given":"Joel"},{"family":"Nightingale","given":"Emily S."},{"family":"Quilty","given":"Billy J."},{"family":"Jarvis","given":"Christopher I."},{"family":"Russell","given":"Timothy W."},{"family":"Klepac","given":"Petra"},{"family":"Bosse","given":"Nikos I."},{"family":"Funk","given":"Sebastian"},{"family":"Abbott","given":"Sam"},{"family":"Medley","given":"Graham F."},{"family":"Gibbs","given":"Hamish"},{"family":"Pearson","given":"Carl A. B."},{"family":"Flasche","given":"Stefan"},{"family":"Jit","given":"Mark"},{"family":"Clifford","given":"Samuel"},{"family":"Prem","given":"Kiesha"},{"family":"Diamond","given":"Charlie"},{"family":"Emery","given":"Jon"},{"family":"Deol","given":"Arminder K."},{"family":"Procter","given":"Simon R."},{"family":"Zandvoort","given":"Kevin","dropping-particle":"van"},{"family":"Sun","given":"Yueqian Fiona"},{"family":"Munday","given":"James D."},{"family":"Rosello","given":"Alicia"},{"family":"Auzenbergs","given":"Megan"},{"family":"Knight","given":"Gwen"},{"family":"Houben","given":"Rein M. G. J."},{"family":"Liu","given":"Yang"}],"issued":{"date-parts":[["2020",7,1]]}}}],"schema":"https://github.com/citation-style-language/schema/raw/master/csl-citation.json"} </w:instrText>
      </w:r>
      <w:r w:rsidRPr="00B51293">
        <w:rPr>
          <w:rFonts w:ascii="Times New Roman" w:hAnsi="Times New Roman" w:cs="Times New Roman"/>
          <w:color w:val="000000" w:themeColor="text1"/>
          <w:sz w:val="20"/>
          <w:szCs w:val="20"/>
        </w:rPr>
        <w:fldChar w:fldCharType="separate"/>
      </w:r>
      <w:r w:rsidR="0091560D">
        <w:rPr>
          <w:rFonts w:ascii="Times New Roman" w:hAnsi="Times New Roman" w:cs="Times New Roman"/>
          <w:color w:val="000000" w:themeColor="text1"/>
          <w:sz w:val="20"/>
          <w:szCs w:val="20"/>
        </w:rPr>
        <w:t>(6)</w:t>
      </w:r>
      <w:r w:rsidRPr="00B51293">
        <w:rPr>
          <w:rFonts w:ascii="Times New Roman" w:hAnsi="Times New Roman" w:cs="Times New Roman"/>
          <w:b/>
          <w:color w:val="000000" w:themeColor="text1"/>
          <w:sz w:val="20"/>
          <w:szCs w:val="20"/>
        </w:rPr>
        <w:fldChar w:fldCharType="end"/>
      </w:r>
      <w:r w:rsidRPr="00B51293">
        <w:rPr>
          <w:rFonts w:ascii="Times New Roman" w:hAnsi="Times New Roman" w:cs="Times New Roman"/>
          <w:b/>
          <w:color w:val="000000" w:themeColor="text1"/>
          <w:sz w:val="20"/>
          <w:szCs w:val="20"/>
        </w:rPr>
        <w:t xml:space="preserve"> (Scenario 2: ~gamma(7,1)) and the pink line is the distribution from the FF100 data (Scenario 3: lognormal (1.44, 0.72) (C) Zoom in on (B) to show smaller differences in days between symptom onset and admission.</w:t>
      </w:r>
    </w:p>
    <w:p w14:paraId="29F3A36F" w14:textId="77777777" w:rsidR="00F679C0" w:rsidRPr="00B51293" w:rsidRDefault="00F679C0">
      <w:pPr>
        <w:rPr>
          <w:rFonts w:ascii="Times New Roman" w:hAnsi="Times New Roman" w:cs="Times New Roman"/>
          <w:b/>
          <w:color w:val="000000" w:themeColor="text1"/>
          <w:sz w:val="20"/>
          <w:szCs w:val="20"/>
        </w:rPr>
      </w:pPr>
    </w:p>
    <w:p w14:paraId="02D195CC" w14:textId="77777777" w:rsidR="00F679C0" w:rsidRPr="00B51293" w:rsidRDefault="00E45E40">
      <w:pPr>
        <w:jc w:val="center"/>
        <w:rPr>
          <w:rFonts w:ascii="Times New Roman" w:hAnsi="Times New Roman" w:cs="Times New Roman"/>
          <w:b/>
          <w:color w:val="000000" w:themeColor="text1"/>
          <w:sz w:val="20"/>
          <w:szCs w:val="20"/>
        </w:rPr>
      </w:pPr>
      <w:r w:rsidRPr="00B51293">
        <w:rPr>
          <w:rFonts w:ascii="Times New Roman" w:hAnsi="Times New Roman" w:cs="Times New Roman"/>
          <w:b/>
          <w:noProof/>
          <w:color w:val="000000" w:themeColor="text1"/>
          <w:sz w:val="20"/>
          <w:szCs w:val="20"/>
        </w:rPr>
        <w:lastRenderedPageBreak/>
        <w:drawing>
          <wp:inline distT="114300" distB="114300" distL="114300" distR="114300" wp14:anchorId="40CF5F5A" wp14:editId="6E89D4E3">
            <wp:extent cx="5455791" cy="5455791"/>
            <wp:effectExtent l="0" t="0" r="0" b="0"/>
            <wp:docPr id="23" name="image27.jpg"/>
            <wp:cNvGraphicFramePr/>
            <a:graphic xmlns:a="http://schemas.openxmlformats.org/drawingml/2006/main">
              <a:graphicData uri="http://schemas.openxmlformats.org/drawingml/2006/picture">
                <pic:pic xmlns:pic="http://schemas.openxmlformats.org/drawingml/2006/picture">
                  <pic:nvPicPr>
                    <pic:cNvPr id="0" name="image27.jpg"/>
                    <pic:cNvPicPr preferRelativeResize="0"/>
                  </pic:nvPicPr>
                  <pic:blipFill>
                    <a:blip r:embed="rId8"/>
                    <a:srcRect/>
                    <a:stretch>
                      <a:fillRect/>
                    </a:stretch>
                  </pic:blipFill>
                  <pic:spPr>
                    <a:xfrm>
                      <a:off x="0" y="0"/>
                      <a:ext cx="5455791" cy="5455791"/>
                    </a:xfrm>
                    <a:prstGeom prst="rect">
                      <a:avLst/>
                    </a:prstGeom>
                    <a:ln/>
                  </pic:spPr>
                </pic:pic>
              </a:graphicData>
            </a:graphic>
          </wp:inline>
        </w:drawing>
      </w:r>
    </w:p>
    <w:p w14:paraId="3D6C56A0" w14:textId="77777777" w:rsidR="00F679C0" w:rsidRPr="00B51293" w:rsidRDefault="00E45E40">
      <w:pPr>
        <w:rPr>
          <w:rFonts w:ascii="Times New Roman" w:hAnsi="Times New Roman" w:cs="Times New Roman"/>
          <w:b/>
          <w:color w:val="000000" w:themeColor="text1"/>
          <w:sz w:val="20"/>
          <w:szCs w:val="20"/>
        </w:rPr>
      </w:pPr>
      <w:r w:rsidRPr="00B51293">
        <w:rPr>
          <w:rFonts w:ascii="Times New Roman" w:hAnsi="Times New Roman" w:cs="Times New Roman"/>
          <w:b/>
          <w:color w:val="000000" w:themeColor="text1"/>
          <w:sz w:val="20"/>
          <w:szCs w:val="20"/>
        </w:rPr>
        <w:t xml:space="preserve">Figure S7: What is the distribution of symptom onset before </w:t>
      </w:r>
      <w:proofErr w:type="spellStart"/>
      <w:r w:rsidRPr="00B51293">
        <w:rPr>
          <w:rFonts w:ascii="Times New Roman" w:hAnsi="Times New Roman" w:cs="Times New Roman"/>
          <w:b/>
          <w:color w:val="000000" w:themeColor="text1"/>
          <w:sz w:val="20"/>
          <w:szCs w:val="20"/>
        </w:rPr>
        <w:t>hospitalisation</w:t>
      </w:r>
      <w:proofErr w:type="spellEnd"/>
      <w:r w:rsidRPr="00B51293">
        <w:rPr>
          <w:rFonts w:ascii="Times New Roman" w:hAnsi="Times New Roman" w:cs="Times New Roman"/>
          <w:b/>
          <w:color w:val="000000" w:themeColor="text1"/>
          <w:sz w:val="20"/>
          <w:szCs w:val="20"/>
        </w:rPr>
        <w:t>? (A) CO-CIN data (dots) smoothed using a penalized composite link model to give the black line. (B) Results of probability distribution fitting to the smoothed data (black line) (C) Zoom in on smaller differences between symptom onset and admission.</w:t>
      </w:r>
    </w:p>
    <w:p w14:paraId="004415B8" w14:textId="77777777" w:rsidR="00F679C0" w:rsidRPr="00B51293" w:rsidRDefault="00F679C0">
      <w:pPr>
        <w:rPr>
          <w:rFonts w:ascii="Times New Roman" w:hAnsi="Times New Roman" w:cs="Times New Roman"/>
          <w:b/>
          <w:color w:val="000000" w:themeColor="text1"/>
          <w:sz w:val="20"/>
          <w:szCs w:val="20"/>
        </w:rPr>
      </w:pPr>
    </w:p>
    <w:p w14:paraId="4F01D2F0" w14:textId="77777777" w:rsidR="00F237F5" w:rsidRPr="00B51293" w:rsidRDefault="00F237F5" w:rsidP="00F237F5">
      <w:pPr>
        <w:rPr>
          <w:rFonts w:ascii="Times New Roman" w:hAnsi="Times New Roman" w:cs="Times New Roman"/>
          <w:b/>
          <w:color w:val="000000" w:themeColor="text1"/>
          <w:sz w:val="20"/>
          <w:szCs w:val="20"/>
        </w:rPr>
      </w:pPr>
    </w:p>
    <w:p w14:paraId="140629A4" w14:textId="77777777" w:rsidR="00F237F5" w:rsidRPr="00B51293" w:rsidRDefault="00F237F5" w:rsidP="00F237F5">
      <w:pPr>
        <w:rPr>
          <w:rFonts w:ascii="Times New Roman" w:hAnsi="Times New Roman" w:cs="Times New Roman"/>
          <w:b/>
          <w:color w:val="000000" w:themeColor="text1"/>
          <w:sz w:val="20"/>
          <w:szCs w:val="20"/>
        </w:rPr>
      </w:pPr>
    </w:p>
    <w:p w14:paraId="233DB90F" w14:textId="77777777" w:rsidR="0091560D" w:rsidRDefault="0091560D">
      <w:pP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br w:type="page"/>
      </w:r>
    </w:p>
    <w:p w14:paraId="7250CCCA" w14:textId="40C6BC97" w:rsidR="00861B54" w:rsidRPr="00B51293" w:rsidRDefault="00861B54" w:rsidP="00861B54">
      <w:pPr>
        <w:pStyle w:val="Bibliography"/>
        <w:rPr>
          <w:rFonts w:ascii="Times New Roman" w:hAnsi="Times New Roman" w:cs="Times New Roman"/>
          <w:b/>
          <w:color w:val="000000" w:themeColor="text1"/>
          <w:sz w:val="20"/>
          <w:szCs w:val="20"/>
        </w:rPr>
      </w:pPr>
      <w:r w:rsidRPr="00B51293">
        <w:rPr>
          <w:rFonts w:ascii="Times New Roman" w:hAnsi="Times New Roman" w:cs="Times New Roman"/>
          <w:b/>
          <w:color w:val="000000" w:themeColor="text1"/>
          <w:sz w:val="20"/>
          <w:szCs w:val="20"/>
        </w:rPr>
        <w:lastRenderedPageBreak/>
        <w:t>References</w:t>
      </w:r>
    </w:p>
    <w:p w14:paraId="63A2D895" w14:textId="77777777" w:rsidR="0091560D" w:rsidRPr="0091560D" w:rsidRDefault="00861B54" w:rsidP="0091560D">
      <w:pPr>
        <w:pStyle w:val="Bibliography"/>
        <w:rPr>
          <w:rFonts w:ascii="Times New Roman" w:hAnsi="Times New Roman" w:cs="Times New Roman"/>
          <w:color w:val="000000"/>
          <w:sz w:val="20"/>
        </w:rPr>
      </w:pPr>
      <w:r w:rsidRPr="00B51293">
        <w:rPr>
          <w:b/>
          <w:color w:val="000000" w:themeColor="text1"/>
          <w:sz w:val="20"/>
          <w:szCs w:val="20"/>
        </w:rPr>
        <w:fldChar w:fldCharType="begin"/>
      </w:r>
      <w:r w:rsidR="0091560D">
        <w:rPr>
          <w:b/>
          <w:color w:val="000000" w:themeColor="text1"/>
          <w:sz w:val="20"/>
          <w:szCs w:val="20"/>
        </w:rPr>
        <w:instrText xml:space="preserve"> ADDIN ZOTERO_BIBL {"uncited":[],"omitted":[],"custom":[]} CSL_BIBLIOGRAPHY </w:instrText>
      </w:r>
      <w:r w:rsidRPr="00B51293">
        <w:rPr>
          <w:b/>
          <w:color w:val="000000" w:themeColor="text1"/>
          <w:sz w:val="20"/>
          <w:szCs w:val="20"/>
        </w:rPr>
        <w:fldChar w:fldCharType="separate"/>
      </w:r>
      <w:r w:rsidR="0091560D" w:rsidRPr="0091560D">
        <w:rPr>
          <w:rFonts w:ascii="Times New Roman" w:hAnsi="Times New Roman" w:cs="Times New Roman"/>
          <w:color w:val="000000"/>
          <w:sz w:val="20"/>
        </w:rPr>
        <w:t xml:space="preserve">1. </w:t>
      </w:r>
      <w:r w:rsidR="0091560D" w:rsidRPr="0091560D">
        <w:rPr>
          <w:rFonts w:ascii="Times New Roman" w:hAnsi="Times New Roman" w:cs="Times New Roman"/>
          <w:color w:val="000000"/>
          <w:sz w:val="20"/>
        </w:rPr>
        <w:tab/>
        <w:t xml:space="preserve">Zinn S, </w:t>
      </w:r>
      <w:proofErr w:type="spellStart"/>
      <w:r w:rsidR="0091560D" w:rsidRPr="0091560D">
        <w:rPr>
          <w:rFonts w:ascii="Times New Roman" w:hAnsi="Times New Roman" w:cs="Times New Roman"/>
          <w:color w:val="000000"/>
          <w:sz w:val="20"/>
        </w:rPr>
        <w:t>Würbach</w:t>
      </w:r>
      <w:proofErr w:type="spellEnd"/>
      <w:r w:rsidR="0091560D" w:rsidRPr="0091560D">
        <w:rPr>
          <w:rFonts w:ascii="Times New Roman" w:hAnsi="Times New Roman" w:cs="Times New Roman"/>
          <w:color w:val="000000"/>
          <w:sz w:val="20"/>
        </w:rPr>
        <w:t xml:space="preserve"> A. A statistical approach to address the problem of heaping in self-reported income data. J Appl Stat. 2016 Mar 11;43(4):682–703. </w:t>
      </w:r>
    </w:p>
    <w:p w14:paraId="795BA6F0" w14:textId="77777777" w:rsidR="0091560D" w:rsidRPr="0091560D" w:rsidRDefault="0091560D" w:rsidP="0091560D">
      <w:pPr>
        <w:pStyle w:val="Bibliography"/>
        <w:rPr>
          <w:rFonts w:ascii="Times New Roman" w:hAnsi="Times New Roman" w:cs="Times New Roman"/>
          <w:color w:val="000000"/>
          <w:sz w:val="20"/>
        </w:rPr>
      </w:pPr>
      <w:r w:rsidRPr="0091560D">
        <w:rPr>
          <w:rFonts w:ascii="Times New Roman" w:hAnsi="Times New Roman" w:cs="Times New Roman"/>
          <w:color w:val="000000"/>
          <w:sz w:val="20"/>
        </w:rPr>
        <w:t xml:space="preserve">2. </w:t>
      </w:r>
      <w:r w:rsidRPr="0091560D">
        <w:rPr>
          <w:rFonts w:ascii="Times New Roman" w:hAnsi="Times New Roman" w:cs="Times New Roman"/>
          <w:color w:val="000000"/>
          <w:sz w:val="20"/>
        </w:rPr>
        <w:tab/>
      </w:r>
      <w:proofErr w:type="spellStart"/>
      <w:r w:rsidRPr="0091560D">
        <w:rPr>
          <w:rFonts w:ascii="Times New Roman" w:hAnsi="Times New Roman" w:cs="Times New Roman"/>
          <w:color w:val="000000"/>
          <w:sz w:val="20"/>
        </w:rPr>
        <w:t>Delignette</w:t>
      </w:r>
      <w:proofErr w:type="spellEnd"/>
      <w:r w:rsidRPr="0091560D">
        <w:rPr>
          <w:rFonts w:ascii="Times New Roman" w:hAnsi="Times New Roman" w:cs="Times New Roman"/>
          <w:color w:val="000000"/>
          <w:sz w:val="20"/>
        </w:rPr>
        <w:t xml:space="preserve">-Muller ML, </w:t>
      </w:r>
      <w:proofErr w:type="spellStart"/>
      <w:r w:rsidRPr="0091560D">
        <w:rPr>
          <w:rFonts w:ascii="Times New Roman" w:hAnsi="Times New Roman" w:cs="Times New Roman"/>
          <w:color w:val="000000"/>
          <w:sz w:val="20"/>
        </w:rPr>
        <w:t>Dutang</w:t>
      </w:r>
      <w:proofErr w:type="spellEnd"/>
      <w:r w:rsidRPr="0091560D">
        <w:rPr>
          <w:rFonts w:ascii="Times New Roman" w:hAnsi="Times New Roman" w:cs="Times New Roman"/>
          <w:color w:val="000000"/>
          <w:sz w:val="20"/>
        </w:rPr>
        <w:t xml:space="preserve"> C. </w:t>
      </w:r>
      <w:proofErr w:type="spellStart"/>
      <w:r w:rsidRPr="0091560D">
        <w:rPr>
          <w:rFonts w:ascii="Times New Roman" w:hAnsi="Times New Roman" w:cs="Times New Roman"/>
          <w:color w:val="000000"/>
          <w:sz w:val="20"/>
        </w:rPr>
        <w:t>fitdistrplus</w:t>
      </w:r>
      <w:proofErr w:type="spellEnd"/>
      <w:r w:rsidRPr="0091560D">
        <w:rPr>
          <w:rFonts w:ascii="Times New Roman" w:hAnsi="Times New Roman" w:cs="Times New Roman"/>
          <w:color w:val="000000"/>
          <w:sz w:val="20"/>
        </w:rPr>
        <w:t xml:space="preserve">: An R Package for Fitting Distributions. J Stat </w:t>
      </w:r>
      <w:proofErr w:type="spellStart"/>
      <w:r w:rsidRPr="0091560D">
        <w:rPr>
          <w:rFonts w:ascii="Times New Roman" w:hAnsi="Times New Roman" w:cs="Times New Roman"/>
          <w:color w:val="000000"/>
          <w:sz w:val="20"/>
        </w:rPr>
        <w:t>Softw</w:t>
      </w:r>
      <w:proofErr w:type="spellEnd"/>
      <w:r w:rsidRPr="0091560D">
        <w:rPr>
          <w:rFonts w:ascii="Times New Roman" w:hAnsi="Times New Roman" w:cs="Times New Roman"/>
          <w:color w:val="000000"/>
          <w:sz w:val="20"/>
        </w:rPr>
        <w:t xml:space="preserve">. 2015 Mar 20;64(1):1–34. </w:t>
      </w:r>
    </w:p>
    <w:p w14:paraId="4C204B15" w14:textId="77777777" w:rsidR="0091560D" w:rsidRPr="0091560D" w:rsidRDefault="0091560D" w:rsidP="0091560D">
      <w:pPr>
        <w:pStyle w:val="Bibliography"/>
        <w:rPr>
          <w:rFonts w:ascii="Times New Roman" w:hAnsi="Times New Roman" w:cs="Times New Roman"/>
          <w:color w:val="000000"/>
          <w:sz w:val="20"/>
        </w:rPr>
      </w:pPr>
      <w:r w:rsidRPr="0091560D">
        <w:rPr>
          <w:rFonts w:ascii="Times New Roman" w:hAnsi="Times New Roman" w:cs="Times New Roman"/>
          <w:color w:val="000000"/>
          <w:sz w:val="20"/>
        </w:rPr>
        <w:t xml:space="preserve">3. </w:t>
      </w:r>
      <w:r w:rsidRPr="0091560D">
        <w:rPr>
          <w:rFonts w:ascii="Times New Roman" w:hAnsi="Times New Roman" w:cs="Times New Roman"/>
          <w:color w:val="000000"/>
          <w:sz w:val="20"/>
        </w:rPr>
        <w:tab/>
      </w:r>
      <w:proofErr w:type="spellStart"/>
      <w:r w:rsidRPr="0091560D">
        <w:rPr>
          <w:rFonts w:ascii="Times New Roman" w:hAnsi="Times New Roman" w:cs="Times New Roman"/>
          <w:color w:val="000000"/>
          <w:sz w:val="20"/>
        </w:rPr>
        <w:t>Rizzi</w:t>
      </w:r>
      <w:proofErr w:type="spellEnd"/>
      <w:r w:rsidRPr="0091560D">
        <w:rPr>
          <w:rFonts w:ascii="Times New Roman" w:hAnsi="Times New Roman" w:cs="Times New Roman"/>
          <w:color w:val="000000"/>
          <w:sz w:val="20"/>
        </w:rPr>
        <w:t xml:space="preserve"> S, </w:t>
      </w:r>
      <w:proofErr w:type="spellStart"/>
      <w:r w:rsidRPr="0091560D">
        <w:rPr>
          <w:rFonts w:ascii="Times New Roman" w:hAnsi="Times New Roman" w:cs="Times New Roman"/>
          <w:color w:val="000000"/>
          <w:sz w:val="20"/>
        </w:rPr>
        <w:t>Gampe</w:t>
      </w:r>
      <w:proofErr w:type="spellEnd"/>
      <w:r w:rsidRPr="0091560D">
        <w:rPr>
          <w:rFonts w:ascii="Times New Roman" w:hAnsi="Times New Roman" w:cs="Times New Roman"/>
          <w:color w:val="000000"/>
          <w:sz w:val="20"/>
        </w:rPr>
        <w:t xml:space="preserve"> J, </w:t>
      </w:r>
      <w:proofErr w:type="spellStart"/>
      <w:r w:rsidRPr="0091560D">
        <w:rPr>
          <w:rFonts w:ascii="Times New Roman" w:hAnsi="Times New Roman" w:cs="Times New Roman"/>
          <w:color w:val="000000"/>
          <w:sz w:val="20"/>
        </w:rPr>
        <w:t>Eilers</w:t>
      </w:r>
      <w:proofErr w:type="spellEnd"/>
      <w:r w:rsidRPr="0091560D">
        <w:rPr>
          <w:rFonts w:ascii="Times New Roman" w:hAnsi="Times New Roman" w:cs="Times New Roman"/>
          <w:color w:val="000000"/>
          <w:sz w:val="20"/>
        </w:rPr>
        <w:t xml:space="preserve"> PHC. Efficient estimation of smooth distributions from coarsely grouped data. Am J Epidemiol. 2015 Jul 15;182(2):138–47. </w:t>
      </w:r>
    </w:p>
    <w:p w14:paraId="0DED5540" w14:textId="77777777" w:rsidR="0091560D" w:rsidRPr="0091560D" w:rsidRDefault="0091560D" w:rsidP="0091560D">
      <w:pPr>
        <w:pStyle w:val="Bibliography"/>
        <w:rPr>
          <w:rFonts w:ascii="Times New Roman" w:hAnsi="Times New Roman" w:cs="Times New Roman"/>
          <w:color w:val="000000"/>
          <w:sz w:val="20"/>
        </w:rPr>
      </w:pPr>
      <w:r w:rsidRPr="0091560D">
        <w:rPr>
          <w:rFonts w:ascii="Times New Roman" w:hAnsi="Times New Roman" w:cs="Times New Roman"/>
          <w:color w:val="000000"/>
          <w:sz w:val="20"/>
        </w:rPr>
        <w:t xml:space="preserve">4. </w:t>
      </w:r>
      <w:r w:rsidRPr="0091560D">
        <w:rPr>
          <w:rFonts w:ascii="Times New Roman" w:hAnsi="Times New Roman" w:cs="Times New Roman"/>
          <w:color w:val="000000"/>
          <w:sz w:val="20"/>
        </w:rPr>
        <w:tab/>
      </w:r>
      <w:proofErr w:type="spellStart"/>
      <w:r w:rsidRPr="0091560D">
        <w:rPr>
          <w:rFonts w:ascii="Times New Roman" w:hAnsi="Times New Roman" w:cs="Times New Roman"/>
          <w:color w:val="000000"/>
          <w:sz w:val="20"/>
        </w:rPr>
        <w:t>Rizzi</w:t>
      </w:r>
      <w:proofErr w:type="spellEnd"/>
      <w:r w:rsidRPr="0091560D">
        <w:rPr>
          <w:rFonts w:ascii="Times New Roman" w:hAnsi="Times New Roman" w:cs="Times New Roman"/>
          <w:color w:val="000000"/>
          <w:sz w:val="20"/>
        </w:rPr>
        <w:t xml:space="preserve"> S, </w:t>
      </w:r>
      <w:proofErr w:type="spellStart"/>
      <w:r w:rsidRPr="0091560D">
        <w:rPr>
          <w:rFonts w:ascii="Times New Roman" w:hAnsi="Times New Roman" w:cs="Times New Roman"/>
          <w:color w:val="000000"/>
          <w:sz w:val="20"/>
        </w:rPr>
        <w:t>Thinggaard</w:t>
      </w:r>
      <w:proofErr w:type="spellEnd"/>
      <w:r w:rsidRPr="0091560D">
        <w:rPr>
          <w:rFonts w:ascii="Times New Roman" w:hAnsi="Times New Roman" w:cs="Times New Roman"/>
          <w:color w:val="000000"/>
          <w:sz w:val="20"/>
        </w:rPr>
        <w:t xml:space="preserve"> M, </w:t>
      </w:r>
      <w:proofErr w:type="spellStart"/>
      <w:r w:rsidRPr="0091560D">
        <w:rPr>
          <w:rFonts w:ascii="Times New Roman" w:hAnsi="Times New Roman" w:cs="Times New Roman"/>
          <w:color w:val="000000"/>
          <w:sz w:val="20"/>
        </w:rPr>
        <w:t>Engholm</w:t>
      </w:r>
      <w:proofErr w:type="spellEnd"/>
      <w:r w:rsidRPr="0091560D">
        <w:rPr>
          <w:rFonts w:ascii="Times New Roman" w:hAnsi="Times New Roman" w:cs="Times New Roman"/>
          <w:color w:val="000000"/>
          <w:sz w:val="20"/>
        </w:rPr>
        <w:t xml:space="preserve"> G, Christensen N, Johannesen TB, </w:t>
      </w:r>
      <w:proofErr w:type="spellStart"/>
      <w:r w:rsidRPr="0091560D">
        <w:rPr>
          <w:rFonts w:ascii="Times New Roman" w:hAnsi="Times New Roman" w:cs="Times New Roman"/>
          <w:color w:val="000000"/>
          <w:sz w:val="20"/>
        </w:rPr>
        <w:t>Vaupel</w:t>
      </w:r>
      <w:proofErr w:type="spellEnd"/>
      <w:r w:rsidRPr="0091560D">
        <w:rPr>
          <w:rFonts w:ascii="Times New Roman" w:hAnsi="Times New Roman" w:cs="Times New Roman"/>
          <w:color w:val="000000"/>
          <w:sz w:val="20"/>
        </w:rPr>
        <w:t xml:space="preserve"> JW, et al. Comparison of non-parametric methods for ungrouping coarsely aggregated data. BMC Med Res </w:t>
      </w:r>
      <w:proofErr w:type="spellStart"/>
      <w:r w:rsidRPr="0091560D">
        <w:rPr>
          <w:rFonts w:ascii="Times New Roman" w:hAnsi="Times New Roman" w:cs="Times New Roman"/>
          <w:color w:val="000000"/>
          <w:sz w:val="20"/>
        </w:rPr>
        <w:t>Methodol</w:t>
      </w:r>
      <w:proofErr w:type="spellEnd"/>
      <w:r w:rsidRPr="0091560D">
        <w:rPr>
          <w:rFonts w:ascii="Times New Roman" w:hAnsi="Times New Roman" w:cs="Times New Roman"/>
          <w:color w:val="000000"/>
          <w:sz w:val="20"/>
        </w:rPr>
        <w:t xml:space="preserve">. 2016 May 23;16(1):59. </w:t>
      </w:r>
    </w:p>
    <w:p w14:paraId="64EC2BF3" w14:textId="77777777" w:rsidR="0091560D" w:rsidRPr="0091560D" w:rsidRDefault="0091560D" w:rsidP="0091560D">
      <w:pPr>
        <w:pStyle w:val="Bibliography"/>
        <w:rPr>
          <w:rFonts w:ascii="Times New Roman" w:hAnsi="Times New Roman" w:cs="Times New Roman"/>
          <w:color w:val="000000"/>
          <w:sz w:val="20"/>
        </w:rPr>
      </w:pPr>
      <w:r w:rsidRPr="0091560D">
        <w:rPr>
          <w:rFonts w:ascii="Times New Roman" w:hAnsi="Times New Roman" w:cs="Times New Roman"/>
          <w:color w:val="000000"/>
          <w:sz w:val="20"/>
        </w:rPr>
        <w:t xml:space="preserve">5. </w:t>
      </w:r>
      <w:r w:rsidRPr="0091560D">
        <w:rPr>
          <w:rFonts w:ascii="Times New Roman" w:hAnsi="Times New Roman" w:cs="Times New Roman"/>
          <w:color w:val="000000"/>
          <w:sz w:val="20"/>
        </w:rPr>
        <w:tab/>
        <w:t xml:space="preserve">Akaike H. A new look at the statistical model identification. IEEE Trans </w:t>
      </w:r>
      <w:proofErr w:type="spellStart"/>
      <w:r w:rsidRPr="0091560D">
        <w:rPr>
          <w:rFonts w:ascii="Times New Roman" w:hAnsi="Times New Roman" w:cs="Times New Roman"/>
          <w:color w:val="000000"/>
          <w:sz w:val="20"/>
        </w:rPr>
        <w:t>Autom</w:t>
      </w:r>
      <w:proofErr w:type="spellEnd"/>
      <w:r w:rsidRPr="0091560D">
        <w:rPr>
          <w:rFonts w:ascii="Times New Roman" w:hAnsi="Times New Roman" w:cs="Times New Roman"/>
          <w:color w:val="000000"/>
          <w:sz w:val="20"/>
        </w:rPr>
        <w:t xml:space="preserve"> Control. 1974 Dec;19(6):716–23. </w:t>
      </w:r>
    </w:p>
    <w:p w14:paraId="535EEFDA" w14:textId="77777777" w:rsidR="0091560D" w:rsidRPr="0091560D" w:rsidRDefault="0091560D" w:rsidP="0091560D">
      <w:pPr>
        <w:pStyle w:val="Bibliography"/>
        <w:rPr>
          <w:rFonts w:ascii="Times New Roman" w:hAnsi="Times New Roman" w:cs="Times New Roman"/>
          <w:color w:val="000000"/>
          <w:sz w:val="20"/>
        </w:rPr>
      </w:pPr>
      <w:r w:rsidRPr="0091560D">
        <w:rPr>
          <w:rFonts w:ascii="Times New Roman" w:hAnsi="Times New Roman" w:cs="Times New Roman"/>
          <w:color w:val="000000"/>
          <w:sz w:val="20"/>
        </w:rPr>
        <w:t xml:space="preserve">6. </w:t>
      </w:r>
      <w:r w:rsidRPr="0091560D">
        <w:rPr>
          <w:rFonts w:ascii="Times New Roman" w:hAnsi="Times New Roman" w:cs="Times New Roman"/>
          <w:color w:val="000000"/>
          <w:sz w:val="20"/>
        </w:rPr>
        <w:tab/>
        <w:t xml:space="preserve">Davies NG, Kucharski AJ, Eggo RM, </w:t>
      </w:r>
      <w:proofErr w:type="spellStart"/>
      <w:r w:rsidRPr="0091560D">
        <w:rPr>
          <w:rFonts w:ascii="Times New Roman" w:hAnsi="Times New Roman" w:cs="Times New Roman"/>
          <w:color w:val="000000"/>
          <w:sz w:val="20"/>
        </w:rPr>
        <w:t>Gimma</w:t>
      </w:r>
      <w:proofErr w:type="spellEnd"/>
      <w:r w:rsidRPr="0091560D">
        <w:rPr>
          <w:rFonts w:ascii="Times New Roman" w:hAnsi="Times New Roman" w:cs="Times New Roman"/>
          <w:color w:val="000000"/>
          <w:sz w:val="20"/>
        </w:rPr>
        <w:t xml:space="preserve"> A, Edmunds WJ, </w:t>
      </w:r>
      <w:proofErr w:type="spellStart"/>
      <w:r w:rsidRPr="0091560D">
        <w:rPr>
          <w:rFonts w:ascii="Times New Roman" w:hAnsi="Times New Roman" w:cs="Times New Roman"/>
          <w:color w:val="000000"/>
          <w:sz w:val="20"/>
        </w:rPr>
        <w:t>Jombart</w:t>
      </w:r>
      <w:proofErr w:type="spellEnd"/>
      <w:r w:rsidRPr="0091560D">
        <w:rPr>
          <w:rFonts w:ascii="Times New Roman" w:hAnsi="Times New Roman" w:cs="Times New Roman"/>
          <w:color w:val="000000"/>
          <w:sz w:val="20"/>
        </w:rPr>
        <w:t xml:space="preserve"> T, et al. Effects of non-pharmaceutical interventions on COVID-19 cases, deaths, and demand for hospital services in the UK: a modelling study. Lancet Public Health. 2020 Jul 1;5(7</w:t>
      </w:r>
      <w:proofErr w:type="gramStart"/>
      <w:r w:rsidRPr="0091560D">
        <w:rPr>
          <w:rFonts w:ascii="Times New Roman" w:hAnsi="Times New Roman" w:cs="Times New Roman"/>
          <w:color w:val="000000"/>
          <w:sz w:val="20"/>
        </w:rPr>
        <w:t>):e</w:t>
      </w:r>
      <w:proofErr w:type="gramEnd"/>
      <w:r w:rsidRPr="0091560D">
        <w:rPr>
          <w:rFonts w:ascii="Times New Roman" w:hAnsi="Times New Roman" w:cs="Times New Roman"/>
          <w:color w:val="000000"/>
          <w:sz w:val="20"/>
        </w:rPr>
        <w:t xml:space="preserve">375–85. </w:t>
      </w:r>
    </w:p>
    <w:p w14:paraId="7C247195" w14:textId="77777777" w:rsidR="0091560D" w:rsidRPr="0091560D" w:rsidRDefault="0091560D" w:rsidP="0091560D">
      <w:pPr>
        <w:pStyle w:val="Bibliography"/>
        <w:rPr>
          <w:rFonts w:ascii="Times New Roman" w:hAnsi="Times New Roman" w:cs="Times New Roman"/>
          <w:color w:val="000000"/>
          <w:sz w:val="20"/>
        </w:rPr>
      </w:pPr>
      <w:r w:rsidRPr="0091560D">
        <w:rPr>
          <w:rFonts w:ascii="Times New Roman" w:hAnsi="Times New Roman" w:cs="Times New Roman"/>
          <w:color w:val="000000"/>
          <w:sz w:val="20"/>
        </w:rPr>
        <w:t xml:space="preserve">7. </w:t>
      </w:r>
      <w:r w:rsidRPr="0091560D">
        <w:rPr>
          <w:rFonts w:ascii="Times New Roman" w:hAnsi="Times New Roman" w:cs="Times New Roman"/>
          <w:color w:val="000000"/>
          <w:sz w:val="20"/>
        </w:rPr>
        <w:tab/>
        <w:t xml:space="preserve">Linton NM, Kobayashi T, Yang Y, Hayashi K, </w:t>
      </w:r>
      <w:proofErr w:type="spellStart"/>
      <w:r w:rsidRPr="0091560D">
        <w:rPr>
          <w:rFonts w:ascii="Times New Roman" w:hAnsi="Times New Roman" w:cs="Times New Roman"/>
          <w:color w:val="000000"/>
          <w:sz w:val="20"/>
        </w:rPr>
        <w:t>Akhmetzhanov</w:t>
      </w:r>
      <w:proofErr w:type="spellEnd"/>
      <w:r w:rsidRPr="0091560D">
        <w:rPr>
          <w:rFonts w:ascii="Times New Roman" w:hAnsi="Times New Roman" w:cs="Times New Roman"/>
          <w:color w:val="000000"/>
          <w:sz w:val="20"/>
        </w:rPr>
        <w:t xml:space="preserve"> AR, Jung S </w:t>
      </w:r>
      <w:proofErr w:type="spellStart"/>
      <w:r w:rsidRPr="0091560D">
        <w:rPr>
          <w:rFonts w:ascii="Times New Roman" w:hAnsi="Times New Roman" w:cs="Times New Roman"/>
          <w:color w:val="000000"/>
          <w:sz w:val="20"/>
        </w:rPr>
        <w:t>mok</w:t>
      </w:r>
      <w:proofErr w:type="spellEnd"/>
      <w:r w:rsidRPr="0091560D">
        <w:rPr>
          <w:rFonts w:ascii="Times New Roman" w:hAnsi="Times New Roman" w:cs="Times New Roman"/>
          <w:color w:val="000000"/>
          <w:sz w:val="20"/>
        </w:rPr>
        <w:t>, et al. Incubation Period and Other Epidemiological Characteristics of 2019 Novel Coronavirus Infections with Right Truncation: A Statistical Analysis of Publicly Available Case Data. J Clin Med [Internet]. 2020 Feb 17 [cited 2021 Mar 19];9(2). Available from: https://www.ncbi.nlm.nih.gov/pmc/articles/PMC7074197/</w:t>
      </w:r>
    </w:p>
    <w:p w14:paraId="1D2656D8" w14:textId="77777777" w:rsidR="0091560D" w:rsidRPr="0091560D" w:rsidRDefault="0091560D" w:rsidP="0091560D">
      <w:pPr>
        <w:pStyle w:val="Bibliography"/>
        <w:rPr>
          <w:rFonts w:ascii="Times New Roman" w:hAnsi="Times New Roman" w:cs="Times New Roman"/>
          <w:color w:val="000000"/>
          <w:sz w:val="20"/>
        </w:rPr>
      </w:pPr>
      <w:r w:rsidRPr="0091560D">
        <w:rPr>
          <w:rFonts w:ascii="Times New Roman" w:hAnsi="Times New Roman" w:cs="Times New Roman"/>
          <w:color w:val="000000"/>
          <w:sz w:val="20"/>
        </w:rPr>
        <w:t xml:space="preserve">8. </w:t>
      </w:r>
      <w:r w:rsidRPr="0091560D">
        <w:rPr>
          <w:rFonts w:ascii="Times New Roman" w:hAnsi="Times New Roman" w:cs="Times New Roman"/>
          <w:color w:val="000000"/>
          <w:sz w:val="20"/>
        </w:rPr>
        <w:tab/>
        <w:t xml:space="preserve">Cao B, Wang Y, Wen D, Liu W, Wang J, Fan G, et al. A Trial of Lopinavir–Ritonavir in Adults Hospitalized with Severe Covid-19. N </w:t>
      </w:r>
      <w:proofErr w:type="spellStart"/>
      <w:r w:rsidRPr="0091560D">
        <w:rPr>
          <w:rFonts w:ascii="Times New Roman" w:hAnsi="Times New Roman" w:cs="Times New Roman"/>
          <w:color w:val="000000"/>
          <w:sz w:val="20"/>
        </w:rPr>
        <w:t>Engl</w:t>
      </w:r>
      <w:proofErr w:type="spellEnd"/>
      <w:r w:rsidRPr="0091560D">
        <w:rPr>
          <w:rFonts w:ascii="Times New Roman" w:hAnsi="Times New Roman" w:cs="Times New Roman"/>
          <w:color w:val="000000"/>
          <w:sz w:val="20"/>
        </w:rPr>
        <w:t xml:space="preserve"> J Med. 2020 May 7;382(19):1787–99. </w:t>
      </w:r>
    </w:p>
    <w:p w14:paraId="62DE5DBB" w14:textId="77777777" w:rsidR="0091560D" w:rsidRPr="0091560D" w:rsidRDefault="0091560D" w:rsidP="0091560D">
      <w:pPr>
        <w:pStyle w:val="Bibliography"/>
        <w:rPr>
          <w:rFonts w:ascii="Times New Roman" w:hAnsi="Times New Roman" w:cs="Times New Roman"/>
          <w:color w:val="000000"/>
          <w:sz w:val="20"/>
        </w:rPr>
      </w:pPr>
      <w:r w:rsidRPr="0091560D">
        <w:rPr>
          <w:rFonts w:ascii="Times New Roman" w:hAnsi="Times New Roman" w:cs="Times New Roman"/>
          <w:color w:val="000000"/>
          <w:sz w:val="20"/>
        </w:rPr>
        <w:t xml:space="preserve">9. </w:t>
      </w:r>
      <w:r w:rsidRPr="0091560D">
        <w:rPr>
          <w:rFonts w:ascii="Times New Roman" w:hAnsi="Times New Roman" w:cs="Times New Roman"/>
          <w:color w:val="000000"/>
          <w:sz w:val="20"/>
        </w:rPr>
        <w:tab/>
        <w:t xml:space="preserve">Boddington NL, </w:t>
      </w:r>
      <w:proofErr w:type="spellStart"/>
      <w:r w:rsidRPr="0091560D">
        <w:rPr>
          <w:rFonts w:ascii="Times New Roman" w:hAnsi="Times New Roman" w:cs="Times New Roman"/>
          <w:color w:val="000000"/>
          <w:sz w:val="20"/>
        </w:rPr>
        <w:t>Charlett</w:t>
      </w:r>
      <w:proofErr w:type="spellEnd"/>
      <w:r w:rsidRPr="0091560D">
        <w:rPr>
          <w:rFonts w:ascii="Times New Roman" w:hAnsi="Times New Roman" w:cs="Times New Roman"/>
          <w:color w:val="000000"/>
          <w:sz w:val="20"/>
        </w:rPr>
        <w:t xml:space="preserve"> A, </w:t>
      </w:r>
      <w:proofErr w:type="spellStart"/>
      <w:r w:rsidRPr="0091560D">
        <w:rPr>
          <w:rFonts w:ascii="Times New Roman" w:hAnsi="Times New Roman" w:cs="Times New Roman"/>
          <w:color w:val="000000"/>
          <w:sz w:val="20"/>
        </w:rPr>
        <w:t>Elgohari</w:t>
      </w:r>
      <w:proofErr w:type="spellEnd"/>
      <w:r w:rsidRPr="0091560D">
        <w:rPr>
          <w:rFonts w:ascii="Times New Roman" w:hAnsi="Times New Roman" w:cs="Times New Roman"/>
          <w:color w:val="000000"/>
          <w:sz w:val="20"/>
        </w:rPr>
        <w:t xml:space="preserve"> S, Walker JL, McDonald HI, Byers C, et al. COVID-19 in Great Britain: epidemiological and clinical characteristics of the first few hundred (FF100) cases: a descriptive case series and case control analysis. </w:t>
      </w:r>
      <w:proofErr w:type="spellStart"/>
      <w:r w:rsidRPr="0091560D">
        <w:rPr>
          <w:rFonts w:ascii="Times New Roman" w:hAnsi="Times New Roman" w:cs="Times New Roman"/>
          <w:color w:val="000000"/>
          <w:sz w:val="20"/>
        </w:rPr>
        <w:t>medRxiv</w:t>
      </w:r>
      <w:proofErr w:type="spellEnd"/>
      <w:r w:rsidRPr="0091560D">
        <w:rPr>
          <w:rFonts w:ascii="Times New Roman" w:hAnsi="Times New Roman" w:cs="Times New Roman"/>
          <w:color w:val="000000"/>
          <w:sz w:val="20"/>
        </w:rPr>
        <w:t xml:space="preserve">. 2020 May 22;2020.05.18.20086157. </w:t>
      </w:r>
    </w:p>
    <w:p w14:paraId="044062C3" w14:textId="4C21934C" w:rsidR="00861B54" w:rsidRPr="00B51293" w:rsidRDefault="00861B54" w:rsidP="00861B54">
      <w:pPr>
        <w:spacing w:after="240"/>
        <w:rPr>
          <w:rFonts w:ascii="Times New Roman" w:hAnsi="Times New Roman" w:cs="Times New Roman"/>
          <w:b/>
          <w:color w:val="000000" w:themeColor="text1"/>
          <w:sz w:val="20"/>
          <w:szCs w:val="20"/>
        </w:rPr>
      </w:pPr>
      <w:r w:rsidRPr="00B51293">
        <w:rPr>
          <w:rFonts w:ascii="Times New Roman" w:hAnsi="Times New Roman" w:cs="Times New Roman"/>
          <w:b/>
          <w:color w:val="000000" w:themeColor="text1"/>
          <w:sz w:val="20"/>
          <w:szCs w:val="20"/>
        </w:rPr>
        <w:fldChar w:fldCharType="end"/>
      </w:r>
    </w:p>
    <w:p w14:paraId="3519984D" w14:textId="77777777" w:rsidR="00F679C0" w:rsidRPr="00B51293" w:rsidRDefault="00F679C0">
      <w:pPr>
        <w:widowControl w:val="0"/>
        <w:pBdr>
          <w:top w:val="nil"/>
          <w:left w:val="nil"/>
          <w:bottom w:val="nil"/>
          <w:right w:val="nil"/>
          <w:between w:val="nil"/>
        </w:pBdr>
        <w:jc w:val="left"/>
        <w:rPr>
          <w:rFonts w:ascii="Times New Roman" w:hAnsi="Times New Roman" w:cs="Times New Roman"/>
          <w:b/>
          <w:color w:val="000000" w:themeColor="text1"/>
          <w:sz w:val="20"/>
          <w:szCs w:val="20"/>
        </w:rPr>
      </w:pPr>
    </w:p>
    <w:sectPr w:rsidR="00F679C0" w:rsidRPr="00B51293" w:rsidSect="00861B54">
      <w:footerReference w:type="default" r:id="rId9"/>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397D9" w14:textId="77777777" w:rsidR="000E07C5" w:rsidRDefault="000E07C5">
      <w:pPr>
        <w:spacing w:line="240" w:lineRule="auto"/>
      </w:pPr>
      <w:r>
        <w:separator/>
      </w:r>
    </w:p>
  </w:endnote>
  <w:endnote w:type="continuationSeparator" w:id="0">
    <w:p w14:paraId="24ACAE86" w14:textId="77777777" w:rsidR="000E07C5" w:rsidRDefault="000E07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7BF1A" w14:textId="77777777" w:rsidR="00F679C0" w:rsidRDefault="00F679C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7F246" w14:textId="77777777" w:rsidR="000E07C5" w:rsidRDefault="000E07C5">
      <w:pPr>
        <w:spacing w:line="240" w:lineRule="auto"/>
      </w:pPr>
      <w:r>
        <w:separator/>
      </w:r>
    </w:p>
  </w:footnote>
  <w:footnote w:type="continuationSeparator" w:id="0">
    <w:p w14:paraId="3A45D11F" w14:textId="77777777" w:rsidR="000E07C5" w:rsidRDefault="000E07C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76E3D"/>
    <w:multiLevelType w:val="multilevel"/>
    <w:tmpl w:val="F1C6F5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4135E4A"/>
    <w:multiLevelType w:val="multilevel"/>
    <w:tmpl w:val="FED6E7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AEF559A"/>
    <w:multiLevelType w:val="multilevel"/>
    <w:tmpl w:val="866A0E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2C1150"/>
    <w:multiLevelType w:val="multilevel"/>
    <w:tmpl w:val="D4D46E1E"/>
    <w:lvl w:ilvl="0">
      <w:start w:val="1"/>
      <w:numFmt w:val="bullet"/>
      <w:lvlText w:val="-"/>
      <w:lvlJc w:val="left"/>
      <w:pPr>
        <w:ind w:left="2520" w:hanging="360"/>
      </w:pPr>
      <w:rPr>
        <w:u w:val="none"/>
      </w:rPr>
    </w:lvl>
    <w:lvl w:ilvl="1">
      <w:start w:val="1"/>
      <w:numFmt w:val="bullet"/>
      <w:lvlText w:val="-"/>
      <w:lvlJc w:val="left"/>
      <w:pPr>
        <w:ind w:left="3240" w:hanging="360"/>
      </w:pPr>
      <w:rPr>
        <w:u w:val="none"/>
      </w:rPr>
    </w:lvl>
    <w:lvl w:ilvl="2">
      <w:start w:val="1"/>
      <w:numFmt w:val="bullet"/>
      <w:lvlText w:val="-"/>
      <w:lvlJc w:val="left"/>
      <w:pPr>
        <w:ind w:left="3960" w:hanging="360"/>
      </w:pPr>
      <w:rPr>
        <w:u w:val="none"/>
      </w:rPr>
    </w:lvl>
    <w:lvl w:ilvl="3">
      <w:start w:val="1"/>
      <w:numFmt w:val="bullet"/>
      <w:lvlText w:val="-"/>
      <w:lvlJc w:val="left"/>
      <w:pPr>
        <w:ind w:left="4680" w:hanging="360"/>
      </w:pPr>
      <w:rPr>
        <w:u w:val="none"/>
      </w:rPr>
    </w:lvl>
    <w:lvl w:ilvl="4">
      <w:start w:val="1"/>
      <w:numFmt w:val="bullet"/>
      <w:lvlText w:val="-"/>
      <w:lvlJc w:val="left"/>
      <w:pPr>
        <w:ind w:left="5400" w:hanging="360"/>
      </w:pPr>
      <w:rPr>
        <w:u w:val="none"/>
      </w:rPr>
    </w:lvl>
    <w:lvl w:ilvl="5">
      <w:start w:val="1"/>
      <w:numFmt w:val="bullet"/>
      <w:lvlText w:val="-"/>
      <w:lvlJc w:val="left"/>
      <w:pPr>
        <w:ind w:left="6120" w:hanging="360"/>
      </w:pPr>
      <w:rPr>
        <w:u w:val="none"/>
      </w:rPr>
    </w:lvl>
    <w:lvl w:ilvl="6">
      <w:start w:val="1"/>
      <w:numFmt w:val="bullet"/>
      <w:lvlText w:val="-"/>
      <w:lvlJc w:val="left"/>
      <w:pPr>
        <w:ind w:left="6840" w:hanging="360"/>
      </w:pPr>
      <w:rPr>
        <w:u w:val="none"/>
      </w:rPr>
    </w:lvl>
    <w:lvl w:ilvl="7">
      <w:start w:val="1"/>
      <w:numFmt w:val="bullet"/>
      <w:lvlText w:val="-"/>
      <w:lvlJc w:val="left"/>
      <w:pPr>
        <w:ind w:left="7560" w:hanging="360"/>
      </w:pPr>
      <w:rPr>
        <w:u w:val="none"/>
      </w:rPr>
    </w:lvl>
    <w:lvl w:ilvl="8">
      <w:start w:val="1"/>
      <w:numFmt w:val="bullet"/>
      <w:lvlText w:val="-"/>
      <w:lvlJc w:val="left"/>
      <w:pPr>
        <w:ind w:left="8280" w:hanging="360"/>
      </w:pPr>
      <w:rPr>
        <w:u w:val="none"/>
      </w:rPr>
    </w:lvl>
  </w:abstractNum>
  <w:abstractNum w:abstractNumId="4" w15:restartNumberingAfterBreak="0">
    <w:nsid w:val="45D53993"/>
    <w:multiLevelType w:val="multilevel"/>
    <w:tmpl w:val="F19ECB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9CF285B"/>
    <w:multiLevelType w:val="multilevel"/>
    <w:tmpl w:val="BB042726"/>
    <w:lvl w:ilvl="0">
      <w:start w:val="1"/>
      <w:numFmt w:val="decimal"/>
      <w:lvlText w:val="%1."/>
      <w:lvlJc w:val="left"/>
      <w:pPr>
        <w:ind w:left="720" w:hanging="360"/>
      </w:pPr>
      <w:rPr>
        <w:u w:val="none"/>
      </w:rPr>
    </w:lvl>
    <w:lvl w:ilvl="1">
      <w:start w:val="1"/>
      <w:numFmt w:val="lowerLetter"/>
      <w:lvlText w:val="%2."/>
      <w:lvlJc w:val="left"/>
      <w:pPr>
        <w:ind w:left="425"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64514819"/>
    <w:multiLevelType w:val="hybridMultilevel"/>
    <w:tmpl w:val="43DE2842"/>
    <w:lvl w:ilvl="0" w:tplc="66D80E06">
      <w:start w:val="1"/>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6D547C3"/>
    <w:multiLevelType w:val="multilevel"/>
    <w:tmpl w:val="81786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734727F"/>
    <w:multiLevelType w:val="multilevel"/>
    <w:tmpl w:val="8EC6E6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7D06E4D"/>
    <w:multiLevelType w:val="multilevel"/>
    <w:tmpl w:val="B1BE7A1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15:restartNumberingAfterBreak="0">
    <w:nsid w:val="75593531"/>
    <w:multiLevelType w:val="hybridMultilevel"/>
    <w:tmpl w:val="23C6E47A"/>
    <w:lvl w:ilvl="0" w:tplc="08090019">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34043799">
    <w:abstractNumId w:val="3"/>
  </w:num>
  <w:num w:numId="2" w16cid:durableId="1664888809">
    <w:abstractNumId w:val="8"/>
  </w:num>
  <w:num w:numId="3" w16cid:durableId="1336573775">
    <w:abstractNumId w:val="5"/>
  </w:num>
  <w:num w:numId="4" w16cid:durableId="1482887732">
    <w:abstractNumId w:val="0"/>
  </w:num>
  <w:num w:numId="5" w16cid:durableId="1922060738">
    <w:abstractNumId w:val="4"/>
  </w:num>
  <w:num w:numId="6" w16cid:durableId="69891676">
    <w:abstractNumId w:val="9"/>
  </w:num>
  <w:num w:numId="7" w16cid:durableId="593393823">
    <w:abstractNumId w:val="1"/>
  </w:num>
  <w:num w:numId="8" w16cid:durableId="1999309915">
    <w:abstractNumId w:val="6"/>
  </w:num>
  <w:num w:numId="9" w16cid:durableId="621502802">
    <w:abstractNumId w:val="7"/>
    <w:lvlOverride w:ilvl="0">
      <w:lvl w:ilvl="0">
        <w:numFmt w:val="lowerLetter"/>
        <w:lvlText w:val="%1."/>
        <w:lvlJc w:val="left"/>
      </w:lvl>
    </w:lvlOverride>
  </w:num>
  <w:num w:numId="10" w16cid:durableId="897012882">
    <w:abstractNumId w:val="10"/>
  </w:num>
  <w:num w:numId="11" w16cid:durableId="921985445">
    <w:abstractNumId w:val="2"/>
    <w:lvlOverride w:ilvl="0">
      <w:lvl w:ilvl="0">
        <w:numFmt w:val="lowerLetter"/>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9C0"/>
    <w:rsid w:val="00005467"/>
    <w:rsid w:val="00047823"/>
    <w:rsid w:val="00067851"/>
    <w:rsid w:val="000A3253"/>
    <w:rsid w:val="000E07C5"/>
    <w:rsid w:val="000F1E26"/>
    <w:rsid w:val="00126DFF"/>
    <w:rsid w:val="0013002E"/>
    <w:rsid w:val="00150B70"/>
    <w:rsid w:val="001535D2"/>
    <w:rsid w:val="00173783"/>
    <w:rsid w:val="001A4463"/>
    <w:rsid w:val="002153EF"/>
    <w:rsid w:val="002367EA"/>
    <w:rsid w:val="002A6092"/>
    <w:rsid w:val="002E6F90"/>
    <w:rsid w:val="00305CDC"/>
    <w:rsid w:val="003134BE"/>
    <w:rsid w:val="00333B2F"/>
    <w:rsid w:val="00344BB2"/>
    <w:rsid w:val="003A64BF"/>
    <w:rsid w:val="003B3EEA"/>
    <w:rsid w:val="003B5B3B"/>
    <w:rsid w:val="003D40FA"/>
    <w:rsid w:val="003D5ED0"/>
    <w:rsid w:val="003E10CE"/>
    <w:rsid w:val="0042182A"/>
    <w:rsid w:val="00423DF3"/>
    <w:rsid w:val="004667FB"/>
    <w:rsid w:val="004932E8"/>
    <w:rsid w:val="004C766E"/>
    <w:rsid w:val="00540299"/>
    <w:rsid w:val="005740CB"/>
    <w:rsid w:val="005C03C1"/>
    <w:rsid w:val="005C2C68"/>
    <w:rsid w:val="006309F4"/>
    <w:rsid w:val="006B0A71"/>
    <w:rsid w:val="006C52E5"/>
    <w:rsid w:val="006D7E4F"/>
    <w:rsid w:val="006E54A7"/>
    <w:rsid w:val="0073459E"/>
    <w:rsid w:val="00741C5A"/>
    <w:rsid w:val="00756D1B"/>
    <w:rsid w:val="007D4E10"/>
    <w:rsid w:val="007E3A3C"/>
    <w:rsid w:val="007F4DD1"/>
    <w:rsid w:val="00843667"/>
    <w:rsid w:val="00861B54"/>
    <w:rsid w:val="008C22A3"/>
    <w:rsid w:val="0091560D"/>
    <w:rsid w:val="00932369"/>
    <w:rsid w:val="0095736A"/>
    <w:rsid w:val="00961C90"/>
    <w:rsid w:val="00964B11"/>
    <w:rsid w:val="00964F0C"/>
    <w:rsid w:val="009D597C"/>
    <w:rsid w:val="00A111B7"/>
    <w:rsid w:val="00A34774"/>
    <w:rsid w:val="00A632DC"/>
    <w:rsid w:val="00A81FEC"/>
    <w:rsid w:val="00A85076"/>
    <w:rsid w:val="00AC7D5F"/>
    <w:rsid w:val="00AD6539"/>
    <w:rsid w:val="00B04836"/>
    <w:rsid w:val="00B11828"/>
    <w:rsid w:val="00B13742"/>
    <w:rsid w:val="00B40E23"/>
    <w:rsid w:val="00B51293"/>
    <w:rsid w:val="00B520DF"/>
    <w:rsid w:val="00B9476D"/>
    <w:rsid w:val="00BA12EE"/>
    <w:rsid w:val="00BB4FE5"/>
    <w:rsid w:val="00BC3A93"/>
    <w:rsid w:val="00BF088E"/>
    <w:rsid w:val="00C362D7"/>
    <w:rsid w:val="00C44346"/>
    <w:rsid w:val="00C81A08"/>
    <w:rsid w:val="00C95B83"/>
    <w:rsid w:val="00CB4A7A"/>
    <w:rsid w:val="00CC193F"/>
    <w:rsid w:val="00CD6C7D"/>
    <w:rsid w:val="00D918FA"/>
    <w:rsid w:val="00D94350"/>
    <w:rsid w:val="00D94C7C"/>
    <w:rsid w:val="00DA207F"/>
    <w:rsid w:val="00DB1C4C"/>
    <w:rsid w:val="00DE4808"/>
    <w:rsid w:val="00DE6F3B"/>
    <w:rsid w:val="00E35329"/>
    <w:rsid w:val="00E45E40"/>
    <w:rsid w:val="00E74F1F"/>
    <w:rsid w:val="00EA102E"/>
    <w:rsid w:val="00EB22F8"/>
    <w:rsid w:val="00EE3D0C"/>
    <w:rsid w:val="00EE536B"/>
    <w:rsid w:val="00F237F5"/>
    <w:rsid w:val="00F679C0"/>
    <w:rsid w:val="00F67B91"/>
    <w:rsid w:val="00FC2B1E"/>
    <w:rsid w:val="00FE0746"/>
    <w:rsid w:val="00FE45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AACDFCD"/>
  <w15:docId w15:val="{9226F7EA-7B4A-184D-BDF2-D82B36EB2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en-GB"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link w:val="Heading4Char"/>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paragraph" w:styleId="Bibliography">
    <w:name w:val="Bibliography"/>
    <w:basedOn w:val="Normal"/>
    <w:next w:val="Normal"/>
    <w:uiPriority w:val="37"/>
    <w:unhideWhenUsed/>
    <w:rsid w:val="00FE0746"/>
    <w:pPr>
      <w:tabs>
        <w:tab w:val="left" w:pos="380"/>
        <w:tab w:val="left" w:pos="500"/>
      </w:tabs>
      <w:spacing w:after="240" w:line="240" w:lineRule="auto"/>
      <w:ind w:left="504" w:hanging="504"/>
    </w:pPr>
  </w:style>
  <w:style w:type="character" w:customStyle="1" w:styleId="Heading4Char">
    <w:name w:val="Heading 4 Char"/>
    <w:basedOn w:val="DefaultParagraphFont"/>
    <w:link w:val="Heading4"/>
    <w:uiPriority w:val="9"/>
    <w:rsid w:val="00F67B91"/>
    <w:rPr>
      <w:color w:val="666666"/>
      <w:sz w:val="24"/>
      <w:szCs w:val="24"/>
    </w:rPr>
  </w:style>
  <w:style w:type="paragraph" w:styleId="NormalWeb">
    <w:name w:val="Normal (Web)"/>
    <w:basedOn w:val="Normal"/>
    <w:uiPriority w:val="99"/>
    <w:unhideWhenUsed/>
    <w:rsid w:val="00F67B91"/>
    <w:pPr>
      <w:spacing w:before="100" w:beforeAutospacing="1" w:after="100" w:afterAutospacing="1" w:line="240" w:lineRule="auto"/>
      <w:jc w:val="left"/>
    </w:pPr>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D94350"/>
    <w:pPr>
      <w:ind w:left="720"/>
      <w:contextualSpacing/>
    </w:pPr>
  </w:style>
  <w:style w:type="character" w:styleId="Hyperlink">
    <w:name w:val="Hyperlink"/>
    <w:basedOn w:val="DefaultParagraphFont"/>
    <w:uiPriority w:val="99"/>
    <w:unhideWhenUsed/>
    <w:rsid w:val="00B13742"/>
    <w:rPr>
      <w:color w:val="0000FF" w:themeColor="hyperlink"/>
      <w:u w:val="single"/>
    </w:rPr>
  </w:style>
  <w:style w:type="character" w:styleId="UnresolvedMention">
    <w:name w:val="Unresolved Mention"/>
    <w:basedOn w:val="DefaultParagraphFont"/>
    <w:uiPriority w:val="99"/>
    <w:semiHidden/>
    <w:unhideWhenUsed/>
    <w:rsid w:val="00B13742"/>
    <w:rPr>
      <w:color w:val="605E5C"/>
      <w:shd w:val="clear" w:color="auto" w:fill="E1DFDD"/>
    </w:rPr>
  </w:style>
  <w:style w:type="character" w:styleId="FollowedHyperlink">
    <w:name w:val="FollowedHyperlink"/>
    <w:basedOn w:val="DefaultParagraphFont"/>
    <w:uiPriority w:val="99"/>
    <w:semiHidden/>
    <w:unhideWhenUsed/>
    <w:rsid w:val="000A3253"/>
    <w:rPr>
      <w:color w:val="800080" w:themeColor="followedHyperlink"/>
      <w:u w:val="single"/>
    </w:rPr>
  </w:style>
  <w:style w:type="table" w:styleId="TableGrid">
    <w:name w:val="Table Grid"/>
    <w:basedOn w:val="TableNormal"/>
    <w:uiPriority w:val="39"/>
    <w:rsid w:val="00344B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C22A3"/>
    <w:pPr>
      <w:spacing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24790">
      <w:bodyDiv w:val="1"/>
      <w:marLeft w:val="0"/>
      <w:marRight w:val="0"/>
      <w:marTop w:val="0"/>
      <w:marBottom w:val="0"/>
      <w:divBdr>
        <w:top w:val="none" w:sz="0" w:space="0" w:color="auto"/>
        <w:left w:val="none" w:sz="0" w:space="0" w:color="auto"/>
        <w:bottom w:val="none" w:sz="0" w:space="0" w:color="auto"/>
        <w:right w:val="none" w:sz="0" w:space="0" w:color="auto"/>
      </w:divBdr>
    </w:div>
    <w:div w:id="144131329">
      <w:bodyDiv w:val="1"/>
      <w:marLeft w:val="0"/>
      <w:marRight w:val="0"/>
      <w:marTop w:val="0"/>
      <w:marBottom w:val="0"/>
      <w:divBdr>
        <w:top w:val="none" w:sz="0" w:space="0" w:color="auto"/>
        <w:left w:val="none" w:sz="0" w:space="0" w:color="auto"/>
        <w:bottom w:val="none" w:sz="0" w:space="0" w:color="auto"/>
        <w:right w:val="none" w:sz="0" w:space="0" w:color="auto"/>
      </w:divBdr>
    </w:div>
    <w:div w:id="241918681">
      <w:bodyDiv w:val="1"/>
      <w:marLeft w:val="0"/>
      <w:marRight w:val="0"/>
      <w:marTop w:val="0"/>
      <w:marBottom w:val="0"/>
      <w:divBdr>
        <w:top w:val="none" w:sz="0" w:space="0" w:color="auto"/>
        <w:left w:val="none" w:sz="0" w:space="0" w:color="auto"/>
        <w:bottom w:val="none" w:sz="0" w:space="0" w:color="auto"/>
        <w:right w:val="none" w:sz="0" w:space="0" w:color="auto"/>
      </w:divBdr>
    </w:div>
    <w:div w:id="256789386">
      <w:bodyDiv w:val="1"/>
      <w:marLeft w:val="0"/>
      <w:marRight w:val="0"/>
      <w:marTop w:val="0"/>
      <w:marBottom w:val="0"/>
      <w:divBdr>
        <w:top w:val="none" w:sz="0" w:space="0" w:color="auto"/>
        <w:left w:val="none" w:sz="0" w:space="0" w:color="auto"/>
        <w:bottom w:val="none" w:sz="0" w:space="0" w:color="auto"/>
        <w:right w:val="none" w:sz="0" w:space="0" w:color="auto"/>
      </w:divBdr>
    </w:div>
    <w:div w:id="267785153">
      <w:bodyDiv w:val="1"/>
      <w:marLeft w:val="0"/>
      <w:marRight w:val="0"/>
      <w:marTop w:val="0"/>
      <w:marBottom w:val="0"/>
      <w:divBdr>
        <w:top w:val="none" w:sz="0" w:space="0" w:color="auto"/>
        <w:left w:val="none" w:sz="0" w:space="0" w:color="auto"/>
        <w:bottom w:val="none" w:sz="0" w:space="0" w:color="auto"/>
        <w:right w:val="none" w:sz="0" w:space="0" w:color="auto"/>
      </w:divBdr>
    </w:div>
    <w:div w:id="274678323">
      <w:bodyDiv w:val="1"/>
      <w:marLeft w:val="0"/>
      <w:marRight w:val="0"/>
      <w:marTop w:val="0"/>
      <w:marBottom w:val="0"/>
      <w:divBdr>
        <w:top w:val="none" w:sz="0" w:space="0" w:color="auto"/>
        <w:left w:val="none" w:sz="0" w:space="0" w:color="auto"/>
        <w:bottom w:val="none" w:sz="0" w:space="0" w:color="auto"/>
        <w:right w:val="none" w:sz="0" w:space="0" w:color="auto"/>
      </w:divBdr>
    </w:div>
    <w:div w:id="319116899">
      <w:bodyDiv w:val="1"/>
      <w:marLeft w:val="0"/>
      <w:marRight w:val="0"/>
      <w:marTop w:val="0"/>
      <w:marBottom w:val="0"/>
      <w:divBdr>
        <w:top w:val="none" w:sz="0" w:space="0" w:color="auto"/>
        <w:left w:val="none" w:sz="0" w:space="0" w:color="auto"/>
        <w:bottom w:val="none" w:sz="0" w:space="0" w:color="auto"/>
        <w:right w:val="none" w:sz="0" w:space="0" w:color="auto"/>
      </w:divBdr>
    </w:div>
    <w:div w:id="551963384">
      <w:bodyDiv w:val="1"/>
      <w:marLeft w:val="0"/>
      <w:marRight w:val="0"/>
      <w:marTop w:val="0"/>
      <w:marBottom w:val="0"/>
      <w:divBdr>
        <w:top w:val="none" w:sz="0" w:space="0" w:color="auto"/>
        <w:left w:val="none" w:sz="0" w:space="0" w:color="auto"/>
        <w:bottom w:val="none" w:sz="0" w:space="0" w:color="auto"/>
        <w:right w:val="none" w:sz="0" w:space="0" w:color="auto"/>
      </w:divBdr>
    </w:div>
    <w:div w:id="575240080">
      <w:bodyDiv w:val="1"/>
      <w:marLeft w:val="0"/>
      <w:marRight w:val="0"/>
      <w:marTop w:val="0"/>
      <w:marBottom w:val="0"/>
      <w:divBdr>
        <w:top w:val="none" w:sz="0" w:space="0" w:color="auto"/>
        <w:left w:val="none" w:sz="0" w:space="0" w:color="auto"/>
        <w:bottom w:val="none" w:sz="0" w:space="0" w:color="auto"/>
        <w:right w:val="none" w:sz="0" w:space="0" w:color="auto"/>
      </w:divBdr>
    </w:div>
    <w:div w:id="626591657">
      <w:bodyDiv w:val="1"/>
      <w:marLeft w:val="0"/>
      <w:marRight w:val="0"/>
      <w:marTop w:val="0"/>
      <w:marBottom w:val="0"/>
      <w:divBdr>
        <w:top w:val="none" w:sz="0" w:space="0" w:color="auto"/>
        <w:left w:val="none" w:sz="0" w:space="0" w:color="auto"/>
        <w:bottom w:val="none" w:sz="0" w:space="0" w:color="auto"/>
        <w:right w:val="none" w:sz="0" w:space="0" w:color="auto"/>
      </w:divBdr>
    </w:div>
    <w:div w:id="672605172">
      <w:bodyDiv w:val="1"/>
      <w:marLeft w:val="0"/>
      <w:marRight w:val="0"/>
      <w:marTop w:val="0"/>
      <w:marBottom w:val="0"/>
      <w:divBdr>
        <w:top w:val="none" w:sz="0" w:space="0" w:color="auto"/>
        <w:left w:val="none" w:sz="0" w:space="0" w:color="auto"/>
        <w:bottom w:val="none" w:sz="0" w:space="0" w:color="auto"/>
        <w:right w:val="none" w:sz="0" w:space="0" w:color="auto"/>
      </w:divBdr>
    </w:div>
    <w:div w:id="943345494">
      <w:bodyDiv w:val="1"/>
      <w:marLeft w:val="0"/>
      <w:marRight w:val="0"/>
      <w:marTop w:val="0"/>
      <w:marBottom w:val="0"/>
      <w:divBdr>
        <w:top w:val="none" w:sz="0" w:space="0" w:color="auto"/>
        <w:left w:val="none" w:sz="0" w:space="0" w:color="auto"/>
        <w:bottom w:val="none" w:sz="0" w:space="0" w:color="auto"/>
        <w:right w:val="none" w:sz="0" w:space="0" w:color="auto"/>
      </w:divBdr>
    </w:div>
    <w:div w:id="1064792948">
      <w:bodyDiv w:val="1"/>
      <w:marLeft w:val="0"/>
      <w:marRight w:val="0"/>
      <w:marTop w:val="0"/>
      <w:marBottom w:val="0"/>
      <w:divBdr>
        <w:top w:val="none" w:sz="0" w:space="0" w:color="auto"/>
        <w:left w:val="none" w:sz="0" w:space="0" w:color="auto"/>
        <w:bottom w:val="none" w:sz="0" w:space="0" w:color="auto"/>
        <w:right w:val="none" w:sz="0" w:space="0" w:color="auto"/>
      </w:divBdr>
    </w:div>
    <w:div w:id="1068385872">
      <w:bodyDiv w:val="1"/>
      <w:marLeft w:val="0"/>
      <w:marRight w:val="0"/>
      <w:marTop w:val="0"/>
      <w:marBottom w:val="0"/>
      <w:divBdr>
        <w:top w:val="none" w:sz="0" w:space="0" w:color="auto"/>
        <w:left w:val="none" w:sz="0" w:space="0" w:color="auto"/>
        <w:bottom w:val="none" w:sz="0" w:space="0" w:color="auto"/>
        <w:right w:val="none" w:sz="0" w:space="0" w:color="auto"/>
      </w:divBdr>
    </w:div>
    <w:div w:id="1083649559">
      <w:bodyDiv w:val="1"/>
      <w:marLeft w:val="0"/>
      <w:marRight w:val="0"/>
      <w:marTop w:val="0"/>
      <w:marBottom w:val="0"/>
      <w:divBdr>
        <w:top w:val="none" w:sz="0" w:space="0" w:color="auto"/>
        <w:left w:val="none" w:sz="0" w:space="0" w:color="auto"/>
        <w:bottom w:val="none" w:sz="0" w:space="0" w:color="auto"/>
        <w:right w:val="none" w:sz="0" w:space="0" w:color="auto"/>
      </w:divBdr>
    </w:div>
    <w:div w:id="1156843086">
      <w:bodyDiv w:val="1"/>
      <w:marLeft w:val="0"/>
      <w:marRight w:val="0"/>
      <w:marTop w:val="0"/>
      <w:marBottom w:val="0"/>
      <w:divBdr>
        <w:top w:val="none" w:sz="0" w:space="0" w:color="auto"/>
        <w:left w:val="none" w:sz="0" w:space="0" w:color="auto"/>
        <w:bottom w:val="none" w:sz="0" w:space="0" w:color="auto"/>
        <w:right w:val="none" w:sz="0" w:space="0" w:color="auto"/>
      </w:divBdr>
    </w:div>
    <w:div w:id="1296906140">
      <w:bodyDiv w:val="1"/>
      <w:marLeft w:val="0"/>
      <w:marRight w:val="0"/>
      <w:marTop w:val="0"/>
      <w:marBottom w:val="0"/>
      <w:divBdr>
        <w:top w:val="none" w:sz="0" w:space="0" w:color="auto"/>
        <w:left w:val="none" w:sz="0" w:space="0" w:color="auto"/>
        <w:bottom w:val="none" w:sz="0" w:space="0" w:color="auto"/>
        <w:right w:val="none" w:sz="0" w:space="0" w:color="auto"/>
      </w:divBdr>
    </w:div>
    <w:div w:id="1323510066">
      <w:bodyDiv w:val="1"/>
      <w:marLeft w:val="0"/>
      <w:marRight w:val="0"/>
      <w:marTop w:val="0"/>
      <w:marBottom w:val="0"/>
      <w:divBdr>
        <w:top w:val="none" w:sz="0" w:space="0" w:color="auto"/>
        <w:left w:val="none" w:sz="0" w:space="0" w:color="auto"/>
        <w:bottom w:val="none" w:sz="0" w:space="0" w:color="auto"/>
        <w:right w:val="none" w:sz="0" w:space="0" w:color="auto"/>
      </w:divBdr>
    </w:div>
    <w:div w:id="1323848510">
      <w:bodyDiv w:val="1"/>
      <w:marLeft w:val="0"/>
      <w:marRight w:val="0"/>
      <w:marTop w:val="0"/>
      <w:marBottom w:val="0"/>
      <w:divBdr>
        <w:top w:val="none" w:sz="0" w:space="0" w:color="auto"/>
        <w:left w:val="none" w:sz="0" w:space="0" w:color="auto"/>
        <w:bottom w:val="none" w:sz="0" w:space="0" w:color="auto"/>
        <w:right w:val="none" w:sz="0" w:space="0" w:color="auto"/>
      </w:divBdr>
    </w:div>
    <w:div w:id="1347755577">
      <w:bodyDiv w:val="1"/>
      <w:marLeft w:val="0"/>
      <w:marRight w:val="0"/>
      <w:marTop w:val="0"/>
      <w:marBottom w:val="0"/>
      <w:divBdr>
        <w:top w:val="none" w:sz="0" w:space="0" w:color="auto"/>
        <w:left w:val="none" w:sz="0" w:space="0" w:color="auto"/>
        <w:bottom w:val="none" w:sz="0" w:space="0" w:color="auto"/>
        <w:right w:val="none" w:sz="0" w:space="0" w:color="auto"/>
      </w:divBdr>
    </w:div>
    <w:div w:id="1380088449">
      <w:bodyDiv w:val="1"/>
      <w:marLeft w:val="0"/>
      <w:marRight w:val="0"/>
      <w:marTop w:val="0"/>
      <w:marBottom w:val="0"/>
      <w:divBdr>
        <w:top w:val="none" w:sz="0" w:space="0" w:color="auto"/>
        <w:left w:val="none" w:sz="0" w:space="0" w:color="auto"/>
        <w:bottom w:val="none" w:sz="0" w:space="0" w:color="auto"/>
        <w:right w:val="none" w:sz="0" w:space="0" w:color="auto"/>
      </w:divBdr>
    </w:div>
    <w:div w:id="1471825797">
      <w:bodyDiv w:val="1"/>
      <w:marLeft w:val="0"/>
      <w:marRight w:val="0"/>
      <w:marTop w:val="0"/>
      <w:marBottom w:val="0"/>
      <w:divBdr>
        <w:top w:val="none" w:sz="0" w:space="0" w:color="auto"/>
        <w:left w:val="none" w:sz="0" w:space="0" w:color="auto"/>
        <w:bottom w:val="none" w:sz="0" w:space="0" w:color="auto"/>
        <w:right w:val="none" w:sz="0" w:space="0" w:color="auto"/>
      </w:divBdr>
    </w:div>
    <w:div w:id="1504738886">
      <w:bodyDiv w:val="1"/>
      <w:marLeft w:val="0"/>
      <w:marRight w:val="0"/>
      <w:marTop w:val="0"/>
      <w:marBottom w:val="0"/>
      <w:divBdr>
        <w:top w:val="none" w:sz="0" w:space="0" w:color="auto"/>
        <w:left w:val="none" w:sz="0" w:space="0" w:color="auto"/>
        <w:bottom w:val="none" w:sz="0" w:space="0" w:color="auto"/>
        <w:right w:val="none" w:sz="0" w:space="0" w:color="auto"/>
      </w:divBdr>
    </w:div>
    <w:div w:id="1570531519">
      <w:bodyDiv w:val="1"/>
      <w:marLeft w:val="0"/>
      <w:marRight w:val="0"/>
      <w:marTop w:val="0"/>
      <w:marBottom w:val="0"/>
      <w:divBdr>
        <w:top w:val="none" w:sz="0" w:space="0" w:color="auto"/>
        <w:left w:val="none" w:sz="0" w:space="0" w:color="auto"/>
        <w:bottom w:val="none" w:sz="0" w:space="0" w:color="auto"/>
        <w:right w:val="none" w:sz="0" w:space="0" w:color="auto"/>
      </w:divBdr>
    </w:div>
    <w:div w:id="1604872348">
      <w:bodyDiv w:val="1"/>
      <w:marLeft w:val="0"/>
      <w:marRight w:val="0"/>
      <w:marTop w:val="0"/>
      <w:marBottom w:val="0"/>
      <w:divBdr>
        <w:top w:val="none" w:sz="0" w:space="0" w:color="auto"/>
        <w:left w:val="none" w:sz="0" w:space="0" w:color="auto"/>
        <w:bottom w:val="none" w:sz="0" w:space="0" w:color="auto"/>
        <w:right w:val="none" w:sz="0" w:space="0" w:color="auto"/>
      </w:divBdr>
    </w:div>
    <w:div w:id="1679387097">
      <w:bodyDiv w:val="1"/>
      <w:marLeft w:val="0"/>
      <w:marRight w:val="0"/>
      <w:marTop w:val="0"/>
      <w:marBottom w:val="0"/>
      <w:divBdr>
        <w:top w:val="none" w:sz="0" w:space="0" w:color="auto"/>
        <w:left w:val="none" w:sz="0" w:space="0" w:color="auto"/>
        <w:bottom w:val="none" w:sz="0" w:space="0" w:color="auto"/>
        <w:right w:val="none" w:sz="0" w:space="0" w:color="auto"/>
      </w:divBdr>
    </w:div>
    <w:div w:id="1757239235">
      <w:bodyDiv w:val="1"/>
      <w:marLeft w:val="0"/>
      <w:marRight w:val="0"/>
      <w:marTop w:val="0"/>
      <w:marBottom w:val="0"/>
      <w:divBdr>
        <w:top w:val="none" w:sz="0" w:space="0" w:color="auto"/>
        <w:left w:val="none" w:sz="0" w:space="0" w:color="auto"/>
        <w:bottom w:val="none" w:sz="0" w:space="0" w:color="auto"/>
        <w:right w:val="none" w:sz="0" w:space="0" w:color="auto"/>
      </w:divBdr>
    </w:div>
    <w:div w:id="1811284122">
      <w:bodyDiv w:val="1"/>
      <w:marLeft w:val="0"/>
      <w:marRight w:val="0"/>
      <w:marTop w:val="0"/>
      <w:marBottom w:val="0"/>
      <w:divBdr>
        <w:top w:val="none" w:sz="0" w:space="0" w:color="auto"/>
        <w:left w:val="none" w:sz="0" w:space="0" w:color="auto"/>
        <w:bottom w:val="none" w:sz="0" w:space="0" w:color="auto"/>
        <w:right w:val="none" w:sz="0" w:space="0" w:color="auto"/>
      </w:divBdr>
    </w:div>
    <w:div w:id="1839422903">
      <w:bodyDiv w:val="1"/>
      <w:marLeft w:val="0"/>
      <w:marRight w:val="0"/>
      <w:marTop w:val="0"/>
      <w:marBottom w:val="0"/>
      <w:divBdr>
        <w:top w:val="none" w:sz="0" w:space="0" w:color="auto"/>
        <w:left w:val="none" w:sz="0" w:space="0" w:color="auto"/>
        <w:bottom w:val="none" w:sz="0" w:space="0" w:color="auto"/>
        <w:right w:val="none" w:sz="0" w:space="0" w:color="auto"/>
      </w:divBdr>
    </w:div>
    <w:div w:id="1931816096">
      <w:bodyDiv w:val="1"/>
      <w:marLeft w:val="0"/>
      <w:marRight w:val="0"/>
      <w:marTop w:val="0"/>
      <w:marBottom w:val="0"/>
      <w:divBdr>
        <w:top w:val="none" w:sz="0" w:space="0" w:color="auto"/>
        <w:left w:val="none" w:sz="0" w:space="0" w:color="auto"/>
        <w:bottom w:val="none" w:sz="0" w:space="0" w:color="auto"/>
        <w:right w:val="none" w:sz="0" w:space="0" w:color="auto"/>
      </w:divBdr>
      <w:divsChild>
        <w:div w:id="178580810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4934</Words>
  <Characters>28124</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Gwen Knight</cp:lastModifiedBy>
  <cp:revision>4</cp:revision>
  <cp:lastPrinted>2022-04-22T12:06:00Z</cp:lastPrinted>
  <dcterms:created xsi:type="dcterms:W3CDTF">2022-06-10T06:44:00Z</dcterms:created>
  <dcterms:modified xsi:type="dcterms:W3CDTF">2022-06-10T06:56:00Z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{"style":{"styleID":"http://www.zotero.org/styles/vancouver","locale":"en-GB","hasBibliography":true,"bibliographyStyleHasBeenSet":true},"prefs":{"fieldType":"Field","automaticJournalAbbreviations":true,"delayCitationUpdates":true,"noteType":0,"dontAskDel</vt:lpwstr>
  </property>
  <property fmtid="{D5CDD505-2E9C-101B-9397-08002B2CF9AE}" pid="3" name="ZOTERO_PREF_2">
    <vt:lpwstr>ayCitationUpdates":true},"sessionID":"O23q9GLY","zoteroVersion":"6.0.8","dataVersion":4}</vt:lpwstr>
  </property>
</Properties>
</file>