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EBC" w:rsidRPr="00AC7EBC" w:rsidRDefault="00AC7EBC" w:rsidP="00AC7EBC">
      <w:pPr>
        <w:spacing w:after="200" w:line="276" w:lineRule="auto"/>
        <w:jc w:val="both"/>
        <w:rPr>
          <w:b/>
          <w:lang w:val="en-GB"/>
        </w:rPr>
      </w:pPr>
      <w:bookmarkStart w:id="0" w:name="_GoBack"/>
      <w:bookmarkEnd w:id="0"/>
      <w:proofErr w:type="spellStart"/>
      <w:r w:rsidRPr="00AC7EBC">
        <w:rPr>
          <w:b/>
          <w:lang w:val="en-GB"/>
        </w:rPr>
        <w:t>sTable</w:t>
      </w:r>
      <w:proofErr w:type="spellEnd"/>
      <w:r w:rsidRPr="00AC7EBC">
        <w:rPr>
          <w:b/>
          <w:lang w:val="en-GB"/>
        </w:rPr>
        <w:t xml:space="preserve"> 1. Alternative empirical treatment strategies in sepsis and low estimated risk of involvement of 3GCR-E</w:t>
      </w:r>
    </w:p>
    <w:tbl>
      <w:tblPr>
        <w:tblStyle w:val="Tabelrasterlicht"/>
        <w:tblW w:w="13605" w:type="dxa"/>
        <w:tblLook w:val="04A0" w:firstRow="1" w:lastRow="0" w:firstColumn="1" w:lastColumn="0" w:noHBand="0" w:noVBand="1"/>
      </w:tblPr>
      <w:tblGrid>
        <w:gridCol w:w="1281"/>
        <w:gridCol w:w="1055"/>
        <w:gridCol w:w="2399"/>
        <w:gridCol w:w="3224"/>
        <w:gridCol w:w="2922"/>
        <w:gridCol w:w="2724"/>
      </w:tblGrid>
      <w:tr w:rsidR="00AC7EBC" w:rsidRPr="00AC7EBC" w:rsidTr="00AC7EBC">
        <w:trPr>
          <w:trHeight w:val="66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AC7EBC">
              <w:rPr>
                <w:b/>
                <w:sz w:val="18"/>
                <w:szCs w:val="18"/>
                <w:lang w:val="en-GB"/>
              </w:rPr>
              <w:t>Source</w:t>
            </w: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AC7EBC">
              <w:rPr>
                <w:b/>
                <w:sz w:val="18"/>
                <w:szCs w:val="18"/>
                <w:lang w:val="en-GB"/>
              </w:rPr>
              <w:t>Choice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AC7EBC">
              <w:rPr>
                <w:b/>
                <w:sz w:val="18"/>
                <w:szCs w:val="18"/>
                <w:lang w:val="en-GB"/>
              </w:rPr>
              <w:t>Empirical treatment strategy</w:t>
            </w:r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AC7EBC">
              <w:rPr>
                <w:b/>
                <w:sz w:val="18"/>
                <w:szCs w:val="18"/>
                <w:lang w:val="en-GB"/>
              </w:rPr>
              <w:t xml:space="preserve">Advantages </w:t>
            </w: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AC7EBC">
              <w:rPr>
                <w:b/>
                <w:sz w:val="18"/>
                <w:szCs w:val="18"/>
                <w:lang w:val="en-GB"/>
              </w:rPr>
              <w:t>Disadvantages</w:t>
            </w: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AC7EBC">
              <w:rPr>
                <w:b/>
                <w:sz w:val="18"/>
                <w:szCs w:val="18"/>
                <w:lang w:val="en-GB"/>
              </w:rPr>
              <w:t>Note</w:t>
            </w:r>
          </w:p>
        </w:tc>
      </w:tr>
      <w:tr w:rsidR="00AC7EBC" w:rsidRPr="006C3021" w:rsidTr="00AC7EBC">
        <w:trPr>
          <w:trHeight w:val="110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b/>
                <w:sz w:val="18"/>
                <w:szCs w:val="18"/>
                <w:lang w:val="en-GB"/>
              </w:rPr>
              <w:t xml:space="preserve">Unknown </w:t>
            </w:r>
            <w:r w:rsidRPr="00AC7EBC">
              <w:rPr>
                <w:b/>
                <w:sz w:val="18"/>
                <w:szCs w:val="18"/>
                <w:lang w:val="en-GB"/>
              </w:rPr>
              <w:br/>
            </w: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1</w:t>
            </w:r>
            <w:r w:rsidRPr="00AC7EBC">
              <w:rPr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3GC</w:t>
            </w:r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Relatively small spectrum </w:t>
            </w:r>
            <w:r w:rsidRPr="00AC7EBC">
              <w:rPr>
                <w:sz w:val="18"/>
                <w:szCs w:val="18"/>
                <w:lang w:val="en-GB"/>
              </w:rPr>
              <w:br/>
              <w:t xml:space="preserve">Low risk of adverse events 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Only beta-lactam component of therapy</w:t>
            </w: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Potentially suboptimal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S. aureus </w:t>
            </w:r>
            <w:r w:rsidRPr="00AC7EBC">
              <w:rPr>
                <w:sz w:val="18"/>
                <w:szCs w:val="18"/>
                <w:lang w:val="en-GB"/>
              </w:rPr>
              <w:t>PK/PD</w:t>
            </w: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High dose 3GC optional when there is a higher likelihood of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S. aureus </w:t>
            </w:r>
            <w:r w:rsidRPr="00AC7EBC">
              <w:rPr>
                <w:sz w:val="18"/>
                <w:szCs w:val="18"/>
                <w:lang w:val="en-GB"/>
              </w:rPr>
              <w:t>involvement</w:t>
            </w:r>
          </w:p>
        </w:tc>
      </w:tr>
      <w:tr w:rsidR="00AC7EBC" w:rsidRPr="006C3021" w:rsidTr="00AC7EBC">
        <w:trPr>
          <w:trHeight w:val="110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AC7EBC">
              <w:rPr>
                <w:sz w:val="18"/>
                <w:szCs w:val="18"/>
                <w:lang w:val="en-US"/>
              </w:rPr>
              <w:t>Alternative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Piperacillin-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tazobactam</w:t>
            </w:r>
            <w:proofErr w:type="spellEnd"/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Spectrum includes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E. </w:t>
            </w:r>
            <w:proofErr w:type="spellStart"/>
            <w:r w:rsidRPr="00AC7EBC">
              <w:rPr>
                <w:i/>
                <w:sz w:val="18"/>
                <w:szCs w:val="18"/>
                <w:lang w:val="en-GB"/>
              </w:rPr>
              <w:t>faecalis</w:t>
            </w:r>
            <w:proofErr w:type="spellEnd"/>
            <w:r w:rsidRPr="00AC7EBC">
              <w:rPr>
                <w:sz w:val="18"/>
                <w:szCs w:val="18"/>
                <w:lang w:val="en-GB"/>
              </w:rPr>
              <w:t xml:space="preserve"> anaerobic bacteria and </w:t>
            </w:r>
            <w:r w:rsidRPr="00AC7EBC">
              <w:rPr>
                <w:i/>
                <w:sz w:val="18"/>
                <w:szCs w:val="18"/>
                <w:lang w:val="en-GB"/>
              </w:rPr>
              <w:t>P. aeruginosa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Only beta-lactam component of therapy</w:t>
            </w: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Broader antibacterial spectrum compared to 1</w:t>
            </w:r>
            <w:r w:rsidRPr="00AC7EBC">
              <w:rPr>
                <w:sz w:val="18"/>
                <w:szCs w:val="18"/>
                <w:vertAlign w:val="superscript"/>
                <w:lang w:val="en-GB"/>
              </w:rPr>
              <w:t>st</w:t>
            </w:r>
            <w:r w:rsidRPr="00AC7EBC">
              <w:rPr>
                <w:sz w:val="18"/>
                <w:szCs w:val="18"/>
                <w:lang w:val="en-GB"/>
              </w:rPr>
              <w:t xml:space="preserve"> choice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Prolonged or continuous infusion strongly recommended</w:t>
            </w: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Optional when there is a higher likelihood of anaerobic,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P. aeruginosa </w:t>
            </w:r>
            <w:r w:rsidRPr="00AC7EBC">
              <w:rPr>
                <w:sz w:val="18"/>
                <w:szCs w:val="18"/>
                <w:lang w:val="en-GB"/>
              </w:rPr>
              <w:t xml:space="preserve">or 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enterococcal</w:t>
            </w:r>
            <w:proofErr w:type="spellEnd"/>
            <w:r w:rsidRPr="00AC7EBC">
              <w:rPr>
                <w:sz w:val="18"/>
                <w:szCs w:val="18"/>
                <w:lang w:val="en-GB"/>
              </w:rPr>
              <w:t xml:space="preserve"> involvement </w:t>
            </w:r>
          </w:p>
        </w:tc>
      </w:tr>
      <w:tr w:rsidR="00AC7EBC" w:rsidRPr="006C3021" w:rsidTr="00AC7EBC">
        <w:trPr>
          <w:trHeight w:val="110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b/>
                <w:sz w:val="18"/>
                <w:szCs w:val="18"/>
                <w:lang w:val="en-GB"/>
              </w:rPr>
              <w:br/>
            </w: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Alternative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2GC plus high dose ciprofloxacin or an aminoglycoside</w:t>
            </w:r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Spectrum includes </w:t>
            </w:r>
            <w:r w:rsidRPr="00AC7EBC">
              <w:rPr>
                <w:i/>
                <w:sz w:val="18"/>
                <w:szCs w:val="18"/>
                <w:lang w:val="en-GB"/>
              </w:rPr>
              <w:t>P. aeruginosa</w:t>
            </w:r>
            <w:r w:rsidRPr="00AC7EBC">
              <w:rPr>
                <w:sz w:val="18"/>
                <w:szCs w:val="18"/>
                <w:lang w:val="en-GB"/>
              </w:rPr>
              <w:t xml:space="preserve"> Potentially better </w:t>
            </w:r>
            <w:r w:rsidRPr="00AC7EBC">
              <w:rPr>
                <w:i/>
                <w:sz w:val="18"/>
                <w:szCs w:val="18"/>
                <w:lang w:val="en-GB"/>
              </w:rPr>
              <w:t>S. aureus</w:t>
            </w:r>
            <w:r w:rsidRPr="00AC7EBC">
              <w:rPr>
                <w:sz w:val="18"/>
                <w:szCs w:val="18"/>
                <w:lang w:val="en-GB"/>
              </w:rPr>
              <w:t xml:space="preserve"> PK/PD of beta-lactam component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Potentially less optimal 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Enterobacterales</w:t>
            </w:r>
            <w:proofErr w:type="spellEnd"/>
            <w:r w:rsidRPr="00AC7EBC">
              <w:rPr>
                <w:sz w:val="18"/>
                <w:szCs w:val="18"/>
                <w:lang w:val="en-GB"/>
              </w:rPr>
              <w:t xml:space="preserve"> PK/PD of beta-lactam component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Potentially higher risk of adverse events compared to 1</w:t>
            </w:r>
            <w:r w:rsidRPr="00AC7EBC">
              <w:rPr>
                <w:sz w:val="18"/>
                <w:szCs w:val="18"/>
                <w:vertAlign w:val="superscript"/>
                <w:lang w:val="en-GB"/>
              </w:rPr>
              <w:t>st</w:t>
            </w:r>
            <w:r w:rsidRPr="00AC7EBC">
              <w:rPr>
                <w:sz w:val="18"/>
                <w:szCs w:val="18"/>
                <w:lang w:val="en-GB"/>
              </w:rPr>
              <w:t xml:space="preserve"> choice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TDM and max 2 day treatment for aminoglycoside</w:t>
            </w: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Optional when there is a higher likelihood of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S. aureus </w:t>
            </w:r>
            <w:r w:rsidRPr="00AC7EBC">
              <w:rPr>
                <w:sz w:val="18"/>
                <w:szCs w:val="18"/>
                <w:lang w:val="en-GB"/>
              </w:rPr>
              <w:t xml:space="preserve">infection or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P. aeruginosa </w:t>
            </w:r>
            <w:r w:rsidRPr="00AC7EBC">
              <w:rPr>
                <w:sz w:val="18"/>
                <w:szCs w:val="18"/>
                <w:lang w:val="en-GB"/>
              </w:rPr>
              <w:t xml:space="preserve">involvement </w:t>
            </w:r>
          </w:p>
        </w:tc>
      </w:tr>
      <w:tr w:rsidR="00AC7EBC" w:rsidRPr="006C3021" w:rsidTr="00AC7EBC">
        <w:trPr>
          <w:trHeight w:val="22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AC7EBC">
              <w:rPr>
                <w:b/>
                <w:sz w:val="18"/>
                <w:szCs w:val="18"/>
                <w:lang w:val="en-GB"/>
              </w:rPr>
              <w:t>HAP or VAP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1</w:t>
            </w:r>
            <w:r w:rsidRPr="00AC7EBC">
              <w:rPr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3GC plus high dose ciprofloxacin</w:t>
            </w:r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Spectrum includes </w:t>
            </w:r>
            <w:r w:rsidRPr="00AC7EBC">
              <w:rPr>
                <w:i/>
                <w:sz w:val="18"/>
                <w:szCs w:val="18"/>
                <w:lang w:val="en-GB"/>
              </w:rPr>
              <w:t>P. aeruginosa</w:t>
            </w:r>
            <w:r w:rsidRPr="00AC7EBC">
              <w:rPr>
                <w:sz w:val="18"/>
                <w:szCs w:val="18"/>
                <w:lang w:val="en-GB"/>
              </w:rPr>
              <w:t xml:space="preserve">. Potentially better 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Enterobacterales</w:t>
            </w:r>
            <w:proofErr w:type="spellEnd"/>
            <w:r w:rsidRPr="00AC7EBC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AC7EBC">
              <w:rPr>
                <w:sz w:val="18"/>
                <w:szCs w:val="18"/>
                <w:lang w:val="en-GB"/>
              </w:rPr>
              <w:t xml:space="preserve">PK/PD of beta-lactam component (compared to 2GC)  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No anaerobic coverage. Potentially less optimal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S. aureus </w:t>
            </w:r>
            <w:r w:rsidRPr="00AC7EBC">
              <w:rPr>
                <w:sz w:val="18"/>
                <w:szCs w:val="18"/>
                <w:lang w:val="en-GB"/>
              </w:rPr>
              <w:t xml:space="preserve">PK/PD of beta-lactam component (compared to 2GC) 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</w:tr>
      <w:tr w:rsidR="00AC7EBC" w:rsidRPr="00AC7EBC" w:rsidTr="00AC7EBC">
        <w:trPr>
          <w:trHeight w:val="866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1</w:t>
            </w:r>
            <w:r w:rsidRPr="00AC7EBC">
              <w:rPr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Piperacillin-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tazobactam</w:t>
            </w:r>
            <w:proofErr w:type="spellEnd"/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Spectrum includes </w:t>
            </w:r>
            <w:r w:rsidRPr="00AC7EBC">
              <w:rPr>
                <w:i/>
                <w:sz w:val="18"/>
                <w:szCs w:val="18"/>
                <w:lang w:val="en-GB"/>
              </w:rPr>
              <w:t>P. aeruginosa</w:t>
            </w:r>
            <w:r w:rsidRPr="00AC7EBC">
              <w:rPr>
                <w:sz w:val="18"/>
                <w:szCs w:val="18"/>
                <w:lang w:val="en-GB"/>
              </w:rPr>
              <w:t xml:space="preserve"> and anaerobic bacteria 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Only beta-lactam component of therapy</w:t>
            </w: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Broader antibacterial spectrum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</w:tr>
      <w:tr w:rsidR="00AC7EBC" w:rsidRPr="006C3021" w:rsidTr="00AC7EBC">
        <w:trPr>
          <w:trHeight w:val="22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1</w:t>
            </w:r>
            <w:r w:rsidRPr="00AC7EBC">
              <w:rPr>
                <w:sz w:val="18"/>
                <w:szCs w:val="18"/>
                <w:vertAlign w:val="superscript"/>
                <w:lang w:val="en-GB"/>
              </w:rPr>
              <w:t>st</w:t>
            </w:r>
            <w:r w:rsidRPr="00AC7EBC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2GC plus high dose ciprofloxacin</w:t>
            </w:r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Spectrum includes </w:t>
            </w:r>
            <w:r w:rsidRPr="00AC7EBC">
              <w:rPr>
                <w:i/>
                <w:sz w:val="18"/>
                <w:szCs w:val="18"/>
                <w:lang w:val="en-GB"/>
              </w:rPr>
              <w:t>P. aeruginosa</w:t>
            </w:r>
            <w:r w:rsidRPr="00AC7EBC">
              <w:rPr>
                <w:sz w:val="18"/>
                <w:szCs w:val="18"/>
                <w:lang w:val="en-GB"/>
              </w:rPr>
              <w:t xml:space="preserve">. Potentially better </w:t>
            </w:r>
            <w:r w:rsidRPr="00AC7EBC">
              <w:rPr>
                <w:i/>
                <w:sz w:val="18"/>
                <w:szCs w:val="18"/>
                <w:lang w:val="en-GB"/>
              </w:rPr>
              <w:t>S. aureus</w:t>
            </w:r>
            <w:r w:rsidRPr="00AC7EBC">
              <w:rPr>
                <w:sz w:val="18"/>
                <w:szCs w:val="18"/>
                <w:lang w:val="en-GB"/>
              </w:rPr>
              <w:t xml:space="preserve"> PK/PD of beta-lactam component (compared to 3GC) 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No anaerobic coverage. Potentially less optimal 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Enterobacterales</w:t>
            </w:r>
            <w:proofErr w:type="spellEnd"/>
            <w:r w:rsidRPr="00AC7EBC">
              <w:rPr>
                <w:sz w:val="18"/>
                <w:szCs w:val="18"/>
                <w:lang w:val="en-GB"/>
              </w:rPr>
              <w:t xml:space="preserve"> PK/PD of beta-lactam component (compared to 3GC)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</w:tr>
      <w:tr w:rsidR="00AC7EBC" w:rsidRPr="006C3021" w:rsidTr="00AC7EBC">
        <w:trPr>
          <w:trHeight w:val="22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AC7EBC">
              <w:rPr>
                <w:b/>
                <w:sz w:val="18"/>
                <w:szCs w:val="18"/>
                <w:lang w:val="en-GB"/>
              </w:rPr>
              <w:t xml:space="preserve">Cholangitis </w:t>
            </w: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1st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3GC</w:t>
            </w:r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Relatively small spectrum </w:t>
            </w:r>
            <w:r w:rsidRPr="00AC7EBC">
              <w:rPr>
                <w:sz w:val="18"/>
                <w:szCs w:val="18"/>
                <w:lang w:val="en-GB"/>
              </w:rPr>
              <w:br/>
              <w:t xml:space="preserve">Low risk of adverse events 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Only beta-lactam component of therapy</w:t>
            </w: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No anaerobic or 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enterococcal</w:t>
            </w:r>
            <w:proofErr w:type="spellEnd"/>
            <w:r w:rsidRPr="00AC7EBC">
              <w:rPr>
                <w:sz w:val="18"/>
                <w:szCs w:val="18"/>
                <w:lang w:val="en-GB"/>
              </w:rPr>
              <w:t xml:space="preserve"> coverage.</w:t>
            </w: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Addition of metronidazole in patients with sepsis due to cholangitis who have biliary-enteric anastomosis</w:t>
            </w:r>
          </w:p>
        </w:tc>
      </w:tr>
      <w:tr w:rsidR="00AC7EBC" w:rsidRPr="006C3021" w:rsidTr="00AC7EBC">
        <w:trPr>
          <w:trHeight w:val="22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Alternative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Piperacillin-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tazobactam</w:t>
            </w:r>
            <w:proofErr w:type="spellEnd"/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Spectrum includes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E. </w:t>
            </w:r>
            <w:proofErr w:type="spellStart"/>
            <w:r w:rsidRPr="00AC7EBC">
              <w:rPr>
                <w:i/>
                <w:sz w:val="18"/>
                <w:szCs w:val="18"/>
                <w:lang w:val="en-GB"/>
              </w:rPr>
              <w:t>faecalis</w:t>
            </w:r>
            <w:proofErr w:type="spellEnd"/>
            <w:r w:rsidRPr="00AC7EBC">
              <w:rPr>
                <w:sz w:val="18"/>
                <w:szCs w:val="18"/>
                <w:lang w:val="en-GB"/>
              </w:rPr>
              <w:t xml:space="preserve">,  anaerobic bacteria and </w:t>
            </w:r>
            <w:r w:rsidRPr="00AC7EBC">
              <w:rPr>
                <w:i/>
                <w:sz w:val="18"/>
                <w:szCs w:val="18"/>
                <w:lang w:val="en-GB"/>
              </w:rPr>
              <w:t>P. aeruginosa</w:t>
            </w: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Broader antibacterial spectrum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Prolonged or continuous infusion strongly recommended</w:t>
            </w: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Optional when there is a higher likelihood of anaerobic, 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enterococcal</w:t>
            </w:r>
            <w:proofErr w:type="spellEnd"/>
            <w:r w:rsidRPr="00AC7EBC">
              <w:rPr>
                <w:sz w:val="18"/>
                <w:szCs w:val="18"/>
                <w:lang w:val="en-GB"/>
              </w:rPr>
              <w:t xml:space="preserve"> or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P. aeruginosa </w:t>
            </w:r>
            <w:r w:rsidRPr="00AC7EBC">
              <w:rPr>
                <w:sz w:val="18"/>
                <w:szCs w:val="18"/>
                <w:lang w:val="en-GB"/>
              </w:rPr>
              <w:t xml:space="preserve">involvement 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u w:val="single"/>
                <w:lang w:val="en-GB"/>
              </w:rPr>
              <w:t>Alternative treatment</w:t>
            </w:r>
            <w:r w:rsidRPr="00AC7EBC">
              <w:rPr>
                <w:sz w:val="18"/>
                <w:szCs w:val="18"/>
                <w:lang w:val="en-GB"/>
              </w:rPr>
              <w:t xml:space="preserve"> option to 3GC plus metronidazole in patients with sepsis due to cholangitis who have biliary-enteric anastomosis</w:t>
            </w:r>
          </w:p>
        </w:tc>
      </w:tr>
      <w:tr w:rsidR="00AC7EBC" w:rsidRPr="006C3021" w:rsidTr="00AC7EBC">
        <w:trPr>
          <w:trHeight w:val="22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Alternative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2GC/3GC plus high dose ciprofloxacin or an aminoglycoside</w:t>
            </w:r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Spectrum includes </w:t>
            </w:r>
            <w:r w:rsidRPr="00AC7EBC">
              <w:rPr>
                <w:i/>
                <w:sz w:val="18"/>
                <w:szCs w:val="18"/>
                <w:lang w:val="en-GB"/>
              </w:rPr>
              <w:t>P. aeruginosa</w:t>
            </w:r>
            <w:r w:rsidRPr="00AC7EBC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No anaerobic coverage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Potentially higher risk of adverse events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TDM and max 2 day treatment for aminoglycoside</w:t>
            </w: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Optional when there is a higher likelihood of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P. aeruginosa </w:t>
            </w:r>
            <w:r w:rsidRPr="00AC7EBC">
              <w:rPr>
                <w:sz w:val="18"/>
                <w:szCs w:val="18"/>
                <w:lang w:val="en-GB"/>
              </w:rPr>
              <w:t xml:space="preserve">involvement 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Addition of metronidazole in patients with sepsis due to cholangitis who have biliary-enteric anastomosis</w:t>
            </w:r>
          </w:p>
        </w:tc>
      </w:tr>
      <w:tr w:rsidR="00AC7EBC" w:rsidRPr="006C3021" w:rsidTr="00AC7EBC">
        <w:trPr>
          <w:trHeight w:val="22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AC7EBC">
              <w:rPr>
                <w:b/>
                <w:sz w:val="18"/>
                <w:szCs w:val="18"/>
                <w:lang w:val="en-GB"/>
              </w:rPr>
              <w:t xml:space="preserve">Intra-abdominal infection 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1</w:t>
            </w:r>
            <w:r w:rsidRPr="00AC7EBC">
              <w:rPr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3GC plus metronidazole</w:t>
            </w:r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Relatively small spectrum </w:t>
            </w:r>
            <w:r w:rsidRPr="00AC7EBC">
              <w:rPr>
                <w:sz w:val="18"/>
                <w:szCs w:val="18"/>
                <w:lang w:val="en-GB"/>
              </w:rPr>
              <w:br/>
              <w:t xml:space="preserve">Low risk of adverse events 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Only beta-lactam component of therapy</w:t>
            </w: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</w:tr>
      <w:tr w:rsidR="00AC7EBC" w:rsidRPr="006C3021" w:rsidTr="00AC7EBC">
        <w:trPr>
          <w:trHeight w:val="22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Alternative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Piperacillin-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tazobactam</w:t>
            </w:r>
            <w:proofErr w:type="spellEnd"/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Spectrum includes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E. </w:t>
            </w:r>
            <w:proofErr w:type="spellStart"/>
            <w:r w:rsidRPr="00AC7EBC">
              <w:rPr>
                <w:i/>
                <w:sz w:val="18"/>
                <w:szCs w:val="18"/>
                <w:lang w:val="en-GB"/>
              </w:rPr>
              <w:t>faecalis</w:t>
            </w:r>
            <w:proofErr w:type="spellEnd"/>
            <w:r w:rsidRPr="00AC7EBC">
              <w:rPr>
                <w:i/>
                <w:sz w:val="18"/>
                <w:szCs w:val="18"/>
                <w:lang w:val="en-GB"/>
              </w:rPr>
              <w:t xml:space="preserve"> </w:t>
            </w:r>
            <w:r w:rsidRPr="00AC7EBC">
              <w:rPr>
                <w:sz w:val="18"/>
                <w:szCs w:val="18"/>
                <w:lang w:val="en-GB"/>
              </w:rPr>
              <w:t xml:space="preserve">and </w:t>
            </w:r>
            <w:r w:rsidRPr="00AC7EBC">
              <w:rPr>
                <w:i/>
                <w:sz w:val="18"/>
                <w:szCs w:val="18"/>
                <w:lang w:val="en-GB"/>
              </w:rPr>
              <w:t>P. aeruginosa</w:t>
            </w: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Broader antibacterial spectrum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Prolonged or continuous infusion strongly recommended</w:t>
            </w: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Optional when there is a higher likelihood of </w:t>
            </w:r>
            <w:r w:rsidRPr="00AC7EBC">
              <w:rPr>
                <w:i/>
                <w:sz w:val="18"/>
                <w:szCs w:val="18"/>
                <w:lang w:val="en-GB"/>
              </w:rPr>
              <w:t>P. aeruginosa</w:t>
            </w:r>
            <w:r w:rsidRPr="00AC7EBC">
              <w:rPr>
                <w:sz w:val="18"/>
                <w:szCs w:val="18"/>
                <w:lang w:val="en-GB"/>
              </w:rPr>
              <w:t xml:space="preserve"> or 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enterococcal</w:t>
            </w:r>
            <w:proofErr w:type="spellEnd"/>
            <w:r w:rsidRPr="00AC7EBC">
              <w:rPr>
                <w:sz w:val="18"/>
                <w:szCs w:val="18"/>
                <w:lang w:val="en-GB"/>
              </w:rPr>
              <w:t xml:space="preserve"> involvement</w:t>
            </w:r>
          </w:p>
        </w:tc>
      </w:tr>
      <w:tr w:rsidR="00AC7EBC" w:rsidRPr="006C3021" w:rsidTr="00AC7EBC">
        <w:trPr>
          <w:trHeight w:val="22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AC7EBC">
              <w:rPr>
                <w:b/>
                <w:sz w:val="18"/>
                <w:szCs w:val="18"/>
                <w:lang w:val="en-GB"/>
              </w:rPr>
              <w:t>CVC infection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Multiple equivalent treatment options</w:t>
            </w: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1</w:t>
            </w:r>
            <w:r w:rsidRPr="00AC7EBC">
              <w:rPr>
                <w:sz w:val="18"/>
                <w:szCs w:val="18"/>
                <w:vertAlign w:val="superscript"/>
                <w:lang w:val="en-GB"/>
              </w:rPr>
              <w:t>st</w:t>
            </w:r>
            <w:r w:rsidRPr="00AC7EBC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High dose 3GC plus high dose ciprofloxacin or an aminoglycoside</w:t>
            </w:r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i/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Spectrum includes </w:t>
            </w:r>
            <w:r w:rsidRPr="00AC7EBC">
              <w:rPr>
                <w:i/>
                <w:sz w:val="18"/>
                <w:szCs w:val="18"/>
                <w:lang w:val="en-GB"/>
              </w:rPr>
              <w:t>P. aeruginosa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Potentially better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S. aureus </w:t>
            </w:r>
            <w:r w:rsidRPr="00AC7EBC">
              <w:rPr>
                <w:sz w:val="18"/>
                <w:szCs w:val="18"/>
                <w:lang w:val="en-GB"/>
              </w:rPr>
              <w:t>PK/PD (compared to regular 3GC dose)</w:t>
            </w: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Risk of adverse events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TDM and max 2 day treatment for aminoglycoside</w:t>
            </w: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</w:tr>
      <w:tr w:rsidR="00AC7EBC" w:rsidRPr="006C3021" w:rsidTr="00AC7EBC">
        <w:trPr>
          <w:trHeight w:val="22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1</w:t>
            </w:r>
            <w:r w:rsidRPr="00AC7EBC">
              <w:rPr>
                <w:sz w:val="18"/>
                <w:szCs w:val="18"/>
                <w:vertAlign w:val="superscript"/>
                <w:lang w:val="en-GB"/>
              </w:rPr>
              <w:t>st</w:t>
            </w:r>
            <w:r w:rsidRPr="00AC7EBC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Piperacillin-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tazobactam</w:t>
            </w:r>
            <w:proofErr w:type="spellEnd"/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i/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Spectrum includes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E. </w:t>
            </w:r>
            <w:proofErr w:type="spellStart"/>
            <w:r w:rsidRPr="00AC7EBC">
              <w:rPr>
                <w:i/>
                <w:sz w:val="18"/>
                <w:szCs w:val="18"/>
                <w:lang w:val="en-GB"/>
              </w:rPr>
              <w:t>faecalis</w:t>
            </w:r>
            <w:proofErr w:type="spellEnd"/>
            <w:r w:rsidRPr="00AC7EBC">
              <w:rPr>
                <w:sz w:val="18"/>
                <w:szCs w:val="18"/>
                <w:lang w:val="en-GB"/>
              </w:rPr>
              <w:t xml:space="preserve"> and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P. aeruginosa 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Prolonged or continuous infusion strongly recommended</w:t>
            </w: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</w:tr>
      <w:tr w:rsidR="00AC7EBC" w:rsidRPr="006C3021" w:rsidTr="00AC7EBC">
        <w:trPr>
          <w:trHeight w:val="22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1</w:t>
            </w:r>
            <w:r w:rsidRPr="00AC7EBC">
              <w:rPr>
                <w:sz w:val="18"/>
                <w:szCs w:val="18"/>
                <w:vertAlign w:val="superscript"/>
                <w:lang w:val="en-GB"/>
              </w:rPr>
              <w:t>st</w:t>
            </w:r>
            <w:r w:rsidRPr="00AC7EBC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2GC plus high dose ciprofloxacin or an aminoglycoside</w:t>
            </w:r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Spectrum includes </w:t>
            </w:r>
            <w:r w:rsidRPr="00AC7EBC">
              <w:rPr>
                <w:i/>
                <w:sz w:val="18"/>
                <w:szCs w:val="18"/>
                <w:lang w:val="en-GB"/>
              </w:rPr>
              <w:t>P. aeruginosa</w:t>
            </w:r>
            <w:r w:rsidRPr="00AC7EBC">
              <w:rPr>
                <w:sz w:val="18"/>
                <w:szCs w:val="18"/>
                <w:lang w:val="en-GB"/>
              </w:rPr>
              <w:t xml:space="preserve"> Potentially better </w:t>
            </w:r>
            <w:r w:rsidRPr="00AC7EBC">
              <w:rPr>
                <w:i/>
                <w:sz w:val="18"/>
                <w:szCs w:val="18"/>
                <w:lang w:val="en-GB"/>
              </w:rPr>
              <w:t>S. aureus</w:t>
            </w:r>
            <w:r w:rsidRPr="00AC7EBC">
              <w:rPr>
                <w:sz w:val="18"/>
                <w:szCs w:val="18"/>
                <w:lang w:val="en-GB"/>
              </w:rPr>
              <w:t xml:space="preserve"> PK/PD of beta-lactam component (compared to regular 3GC dose)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Potentially less optimal 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Enterobacterales</w:t>
            </w:r>
            <w:proofErr w:type="spellEnd"/>
            <w:r w:rsidRPr="00AC7EBC">
              <w:rPr>
                <w:sz w:val="18"/>
                <w:szCs w:val="18"/>
                <w:lang w:val="en-GB"/>
              </w:rPr>
              <w:t xml:space="preserve"> PK/PD of beta-lactam component (compared to 3GC)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Risk of adverse events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TDM and max 2 day treatment for aminoglycoside</w:t>
            </w: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</w:tr>
      <w:tr w:rsidR="00AC7EBC" w:rsidRPr="006C3021" w:rsidTr="00AC7EBC">
        <w:trPr>
          <w:trHeight w:val="22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Alternative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proofErr w:type="spellStart"/>
            <w:r w:rsidRPr="00AC7EBC">
              <w:rPr>
                <w:sz w:val="18"/>
                <w:szCs w:val="18"/>
                <w:lang w:val="en-GB"/>
              </w:rPr>
              <w:t>Flucloxacillin</w:t>
            </w:r>
            <w:proofErr w:type="spellEnd"/>
            <w:r w:rsidRPr="00AC7EBC">
              <w:rPr>
                <w:sz w:val="18"/>
                <w:szCs w:val="18"/>
                <w:lang w:val="en-GB"/>
              </w:rPr>
              <w:t xml:space="preserve"> plus high dose ciprofloxacin or aminoglycoside</w:t>
            </w:r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Optimal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S. aureus </w:t>
            </w:r>
            <w:r w:rsidRPr="00AC7EBC">
              <w:rPr>
                <w:sz w:val="18"/>
                <w:szCs w:val="18"/>
                <w:lang w:val="en-GB"/>
              </w:rPr>
              <w:t>therapy</w:t>
            </w: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No beta-lactam treatment of gram-negative pathogens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Higher risk of adverse events</w:t>
            </w:r>
          </w:p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TDM and max 2 day treatment for aminoglycoside</w:t>
            </w:r>
          </w:p>
        </w:tc>
        <w:tc>
          <w:tcPr>
            <w:tcW w:w="27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Optional, especially when there is a high likelihood of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S. aureus </w:t>
            </w:r>
            <w:r w:rsidRPr="00AC7EBC">
              <w:rPr>
                <w:sz w:val="18"/>
                <w:szCs w:val="18"/>
                <w:lang w:val="en-GB"/>
              </w:rPr>
              <w:t>involvement</w:t>
            </w:r>
          </w:p>
        </w:tc>
      </w:tr>
      <w:tr w:rsidR="00AC7EBC" w:rsidRPr="006C3021" w:rsidTr="00AC7EBC">
        <w:trPr>
          <w:trHeight w:val="220"/>
        </w:trPr>
        <w:tc>
          <w:tcPr>
            <w:tcW w:w="1281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055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Alternative</w:t>
            </w:r>
          </w:p>
        </w:tc>
        <w:tc>
          <w:tcPr>
            <w:tcW w:w="2399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Vancomycin plus gram-negative antibacterial treatment</w:t>
            </w:r>
          </w:p>
        </w:tc>
        <w:tc>
          <w:tcPr>
            <w:tcW w:w="3224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>Spectrum includes coagulase-negative Staphylococci, Enterococci</w:t>
            </w:r>
          </w:p>
        </w:tc>
        <w:tc>
          <w:tcPr>
            <w:tcW w:w="2922" w:type="dxa"/>
            <w:shd w:val="clear" w:color="auto" w:fill="auto"/>
          </w:tcPr>
          <w:p w:rsidR="00AC7EBC" w:rsidRPr="00AC7EBC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Potentially less optimal </w:t>
            </w:r>
            <w:r w:rsidRPr="00AC7EBC">
              <w:rPr>
                <w:i/>
                <w:sz w:val="18"/>
                <w:szCs w:val="18"/>
                <w:lang w:val="en-GB"/>
              </w:rPr>
              <w:t xml:space="preserve">S. aureus </w:t>
            </w:r>
            <w:r w:rsidRPr="00AC7EBC">
              <w:rPr>
                <w:sz w:val="18"/>
                <w:szCs w:val="18"/>
                <w:lang w:val="en-GB"/>
              </w:rPr>
              <w:t>treatment</w:t>
            </w:r>
          </w:p>
        </w:tc>
        <w:tc>
          <w:tcPr>
            <w:tcW w:w="2724" w:type="dxa"/>
            <w:shd w:val="clear" w:color="auto" w:fill="auto"/>
          </w:tcPr>
          <w:p w:rsidR="00AC7EBC" w:rsidRPr="002C7794" w:rsidRDefault="00AC7EBC" w:rsidP="00AC7EBC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AC7EBC">
              <w:rPr>
                <w:sz w:val="18"/>
                <w:szCs w:val="18"/>
                <w:lang w:val="en-GB"/>
              </w:rPr>
              <w:t xml:space="preserve">Optional when there is a high likelihood of </w:t>
            </w:r>
            <w:proofErr w:type="spellStart"/>
            <w:r w:rsidRPr="00AC7EBC">
              <w:rPr>
                <w:sz w:val="18"/>
                <w:szCs w:val="18"/>
                <w:lang w:val="en-GB"/>
              </w:rPr>
              <w:t>enterococcal</w:t>
            </w:r>
            <w:proofErr w:type="spellEnd"/>
            <w:r w:rsidRPr="00AC7EBC">
              <w:rPr>
                <w:sz w:val="18"/>
                <w:szCs w:val="18"/>
                <w:lang w:val="en-GB"/>
              </w:rPr>
              <w:t xml:space="preserve"> involvement or when the patient has intravascular prosthetic </w:t>
            </w:r>
            <w:r w:rsidRPr="00AC7EBC">
              <w:rPr>
                <w:sz w:val="18"/>
                <w:szCs w:val="18"/>
                <w:lang w:val="en-GB"/>
              </w:rPr>
              <w:lastRenderedPageBreak/>
              <w:t>material at risk of secondary infection with low virulent gram-positive pathogens</w:t>
            </w:r>
          </w:p>
        </w:tc>
      </w:tr>
    </w:tbl>
    <w:p w:rsidR="00AC7EBC" w:rsidRPr="00ED0145" w:rsidRDefault="00AC7EBC" w:rsidP="00AC7EBC">
      <w:pPr>
        <w:spacing w:after="200" w:line="276" w:lineRule="auto"/>
        <w:jc w:val="both"/>
        <w:rPr>
          <w:rFonts w:asciiTheme="majorHAnsi" w:eastAsiaTheme="majorEastAsia" w:hAnsiTheme="majorHAnsi" w:cstheme="majorBidi"/>
          <w:bCs/>
          <w:color w:val="5B9BD5" w:themeColor="accent1"/>
          <w:sz w:val="26"/>
          <w:szCs w:val="26"/>
          <w:lang w:val="en-US"/>
        </w:rPr>
      </w:pPr>
    </w:p>
    <w:p w:rsidR="00AC7EBC" w:rsidRDefault="00AC7EBC">
      <w:pPr>
        <w:rPr>
          <w:rFonts w:asciiTheme="majorHAnsi" w:eastAsiaTheme="majorEastAsia" w:hAnsiTheme="majorHAnsi" w:cstheme="majorBidi"/>
          <w:b/>
          <w:bCs/>
          <w:i/>
          <w:iCs/>
          <w:color w:val="5B9BD5" w:themeColor="accent1"/>
          <w:sz w:val="24"/>
          <w:szCs w:val="24"/>
          <w:lang w:val="en-GB" w:eastAsia="nl-NL"/>
        </w:rPr>
      </w:pPr>
      <w:r>
        <w:rPr>
          <w:lang w:val="en-GB"/>
        </w:rPr>
        <w:br w:type="page"/>
      </w:r>
    </w:p>
    <w:p w:rsidR="00AC7EBC" w:rsidRPr="002C7794" w:rsidRDefault="00AC7EBC" w:rsidP="00AC7EBC">
      <w:pPr>
        <w:spacing w:after="200" w:line="276" w:lineRule="auto"/>
        <w:jc w:val="both"/>
        <w:rPr>
          <w:b/>
          <w:lang w:val="en-GB"/>
        </w:rPr>
      </w:pPr>
      <w:proofErr w:type="spellStart"/>
      <w:r w:rsidRPr="006C3021">
        <w:rPr>
          <w:b/>
          <w:lang w:val="en-GB"/>
        </w:rPr>
        <w:lastRenderedPageBreak/>
        <w:t>s</w:t>
      </w:r>
      <w:r w:rsidRPr="002C7794">
        <w:rPr>
          <w:b/>
          <w:lang w:val="en-GB"/>
        </w:rPr>
        <w:t>Table</w:t>
      </w:r>
      <w:proofErr w:type="spellEnd"/>
      <w:r w:rsidRPr="002C7794">
        <w:rPr>
          <w:b/>
          <w:lang w:val="en-GB"/>
        </w:rPr>
        <w:t xml:space="preserve"> </w:t>
      </w:r>
      <w:r>
        <w:rPr>
          <w:b/>
          <w:lang w:val="en-GB"/>
        </w:rPr>
        <w:t>2</w:t>
      </w:r>
      <w:r w:rsidRPr="002C7794">
        <w:rPr>
          <w:b/>
          <w:lang w:val="en-GB"/>
        </w:rPr>
        <w:t>. Alternative empirical treatment strategies in sepsis and increased or high estimated risk of involvement of 3GCR-E</w:t>
      </w:r>
    </w:p>
    <w:tbl>
      <w:tblPr>
        <w:tblStyle w:val="Tabelrasterlicht"/>
        <w:tblW w:w="14458" w:type="dxa"/>
        <w:tblLayout w:type="fixed"/>
        <w:tblLook w:val="04A0" w:firstRow="1" w:lastRow="0" w:firstColumn="1" w:lastColumn="0" w:noHBand="0" w:noVBand="1"/>
      </w:tblPr>
      <w:tblGrid>
        <w:gridCol w:w="1951"/>
        <w:gridCol w:w="1134"/>
        <w:gridCol w:w="2693"/>
        <w:gridCol w:w="2835"/>
        <w:gridCol w:w="3119"/>
        <w:gridCol w:w="2726"/>
      </w:tblGrid>
      <w:tr w:rsidR="00AC7EBC" w:rsidRPr="002C7794" w:rsidTr="00AC6A21">
        <w:trPr>
          <w:trHeight w:val="651"/>
        </w:trPr>
        <w:tc>
          <w:tcPr>
            <w:tcW w:w="1951" w:type="dxa"/>
          </w:tcPr>
          <w:p w:rsidR="00AC7EBC" w:rsidRPr="002C7794" w:rsidRDefault="00AC7EBC" w:rsidP="00AC6A21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2C7794">
              <w:rPr>
                <w:b/>
                <w:sz w:val="18"/>
                <w:szCs w:val="18"/>
                <w:lang w:val="en-GB"/>
              </w:rPr>
              <w:t>Estimated risk of involvement of 3GCR-E</w:t>
            </w:r>
          </w:p>
        </w:tc>
        <w:tc>
          <w:tcPr>
            <w:tcW w:w="1134" w:type="dxa"/>
          </w:tcPr>
          <w:p w:rsidR="00AC7EBC" w:rsidRPr="00E00517" w:rsidRDefault="00AC7EBC" w:rsidP="00AC6A21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Choice</w:t>
            </w:r>
          </w:p>
        </w:tc>
        <w:tc>
          <w:tcPr>
            <w:tcW w:w="2693" w:type="dxa"/>
          </w:tcPr>
          <w:p w:rsidR="00AC7EBC" w:rsidRPr="002C7794" w:rsidRDefault="00AC7EBC" w:rsidP="00AC6A21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Empirical treatment strategy</w:t>
            </w:r>
          </w:p>
        </w:tc>
        <w:tc>
          <w:tcPr>
            <w:tcW w:w="2835" w:type="dxa"/>
          </w:tcPr>
          <w:p w:rsidR="00AC7EBC" w:rsidRPr="002C7794" w:rsidRDefault="00AC7EBC" w:rsidP="00AC6A21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2C7794">
              <w:rPr>
                <w:b/>
                <w:sz w:val="18"/>
                <w:szCs w:val="18"/>
                <w:lang w:val="en-GB"/>
              </w:rPr>
              <w:t xml:space="preserve">Advantages </w:t>
            </w:r>
          </w:p>
        </w:tc>
        <w:tc>
          <w:tcPr>
            <w:tcW w:w="3119" w:type="dxa"/>
          </w:tcPr>
          <w:p w:rsidR="00AC7EBC" w:rsidRPr="002C7794" w:rsidRDefault="00AC7EBC" w:rsidP="00AC6A21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2C7794">
              <w:rPr>
                <w:b/>
                <w:sz w:val="18"/>
                <w:szCs w:val="18"/>
                <w:lang w:val="en-GB"/>
              </w:rPr>
              <w:t>Disadvantages</w:t>
            </w:r>
          </w:p>
        </w:tc>
        <w:tc>
          <w:tcPr>
            <w:tcW w:w="2726" w:type="dxa"/>
          </w:tcPr>
          <w:p w:rsidR="00AC7EBC" w:rsidRPr="002C7794" w:rsidRDefault="00AC7EBC" w:rsidP="00AC6A21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2C7794">
              <w:rPr>
                <w:b/>
                <w:sz w:val="18"/>
                <w:szCs w:val="18"/>
                <w:lang w:val="en-GB"/>
              </w:rPr>
              <w:t>Note</w:t>
            </w:r>
          </w:p>
        </w:tc>
      </w:tr>
      <w:tr w:rsidR="00AC7EBC" w:rsidRPr="006C3021" w:rsidTr="00AC6A21">
        <w:trPr>
          <w:trHeight w:val="1086"/>
        </w:trPr>
        <w:tc>
          <w:tcPr>
            <w:tcW w:w="1951" w:type="dxa"/>
          </w:tcPr>
          <w:p w:rsidR="00AC7EBC" w:rsidRPr="002C7794" w:rsidRDefault="00AC7EBC" w:rsidP="00AC6A21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2C7794">
              <w:rPr>
                <w:b/>
                <w:sz w:val="18"/>
                <w:szCs w:val="18"/>
                <w:lang w:val="en-GB"/>
              </w:rPr>
              <w:t xml:space="preserve">Increased risk </w:t>
            </w:r>
          </w:p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  <w:r w:rsidRPr="00E00517">
              <w:rPr>
                <w:sz w:val="18"/>
                <w:szCs w:val="18"/>
                <w:vertAlign w:val="superscript"/>
                <w:lang w:val="en-GB"/>
              </w:rPr>
              <w:t>st</w:t>
            </w:r>
          </w:p>
        </w:tc>
        <w:tc>
          <w:tcPr>
            <w:tcW w:w="2693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2GC/</w:t>
            </w:r>
            <w:r w:rsidRPr="002C7794">
              <w:rPr>
                <w:sz w:val="18"/>
                <w:szCs w:val="18"/>
                <w:lang w:val="en-GB"/>
              </w:rPr>
              <w:t>3GC plus an aminoglycoside (plus metronidazole when applicable)</w:t>
            </w:r>
          </w:p>
        </w:tc>
        <w:tc>
          <w:tcPr>
            <w:tcW w:w="2835" w:type="dxa"/>
          </w:tcPr>
          <w:p w:rsidR="00AC7EBC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Carbapenem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>-sparing</w:t>
            </w:r>
          </w:p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</w:t>
            </w:r>
            <w:r w:rsidRPr="002C7794">
              <w:rPr>
                <w:sz w:val="18"/>
                <w:szCs w:val="18"/>
                <w:lang w:val="en-GB"/>
              </w:rPr>
              <w:t>luoroquinolone-sparing</w:t>
            </w:r>
          </w:p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Potentially higher risk of adverse events compared to other choices</w:t>
            </w:r>
          </w:p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TDM and max 2 day treatment for aminoglycoside</w:t>
            </w:r>
          </w:p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Approximately 1/3</w:t>
            </w:r>
            <w:r w:rsidRPr="002C7794">
              <w:rPr>
                <w:sz w:val="18"/>
                <w:szCs w:val="18"/>
                <w:vertAlign w:val="superscript"/>
                <w:lang w:val="en-GB"/>
              </w:rPr>
              <w:t>rd</w:t>
            </w:r>
            <w:r w:rsidRPr="002C7794">
              <w:rPr>
                <w:sz w:val="18"/>
                <w:szCs w:val="18"/>
                <w:lang w:val="en-GB"/>
              </w:rPr>
              <w:t xml:space="preserve"> of ESBL-producing </w:t>
            </w:r>
            <w:proofErr w:type="spellStart"/>
            <w:r w:rsidRPr="002C7794">
              <w:rPr>
                <w:sz w:val="18"/>
                <w:szCs w:val="18"/>
                <w:lang w:val="en-GB"/>
              </w:rPr>
              <w:t>Enterobacterales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 xml:space="preserve"> is resistant to aminoglycosides</w:t>
            </w:r>
          </w:p>
        </w:tc>
        <w:tc>
          <w:tcPr>
            <w:tcW w:w="2726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Equivalent treatment option when there is no known renal insufficiency</w:t>
            </w:r>
          </w:p>
        </w:tc>
      </w:tr>
      <w:tr w:rsidR="00AC7EBC" w:rsidRPr="002C7794" w:rsidTr="00AC6A21">
        <w:trPr>
          <w:trHeight w:val="813"/>
        </w:trPr>
        <w:tc>
          <w:tcPr>
            <w:tcW w:w="1951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  <w:r w:rsidRPr="00E00517">
              <w:rPr>
                <w:sz w:val="18"/>
                <w:szCs w:val="18"/>
                <w:vertAlign w:val="superscript"/>
                <w:lang w:val="en-GB"/>
              </w:rPr>
              <w:t>st</w:t>
            </w:r>
            <w:r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693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Meropenem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 xml:space="preserve"> or </w:t>
            </w:r>
            <w:proofErr w:type="spellStart"/>
            <w:r w:rsidRPr="002C7794">
              <w:rPr>
                <w:sz w:val="18"/>
                <w:szCs w:val="18"/>
                <w:lang w:val="en-GB"/>
              </w:rPr>
              <w:t>imipenem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:rsidR="00AC7EBC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Only beta-lactam component of sepsis therapy</w:t>
            </w:r>
          </w:p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</w:t>
            </w:r>
            <w:r w:rsidRPr="002C7794">
              <w:rPr>
                <w:sz w:val="18"/>
                <w:szCs w:val="18"/>
                <w:lang w:val="en-GB"/>
              </w:rPr>
              <w:t>otentially lower toxicity profile, especially in case of renal insufficiency</w:t>
            </w:r>
          </w:p>
        </w:tc>
        <w:tc>
          <w:tcPr>
            <w:tcW w:w="3119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Very broad-spectrum </w:t>
            </w:r>
          </w:p>
        </w:tc>
        <w:tc>
          <w:tcPr>
            <w:tcW w:w="2726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Equivalent treatment option </w:t>
            </w:r>
          </w:p>
        </w:tc>
      </w:tr>
      <w:tr w:rsidR="00AC7EBC" w:rsidRPr="006C3021" w:rsidTr="00AC6A21">
        <w:trPr>
          <w:trHeight w:val="825"/>
        </w:trPr>
        <w:tc>
          <w:tcPr>
            <w:tcW w:w="1951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Alternative</w:t>
            </w:r>
          </w:p>
        </w:tc>
        <w:tc>
          <w:tcPr>
            <w:tcW w:w="2693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2GC/</w:t>
            </w:r>
            <w:r w:rsidRPr="002C7794">
              <w:rPr>
                <w:sz w:val="18"/>
                <w:szCs w:val="18"/>
                <w:lang w:val="en-GB"/>
              </w:rPr>
              <w:t>3GC plus high dose ciprofloxacin (plus metronidazole when applicable)</w:t>
            </w:r>
          </w:p>
        </w:tc>
        <w:tc>
          <w:tcPr>
            <w:tcW w:w="2835" w:type="dxa"/>
          </w:tcPr>
          <w:p w:rsidR="00AC7EBC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Carbapenem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>-sparing</w:t>
            </w:r>
          </w:p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Aminoglycoside-sparing</w:t>
            </w:r>
          </w:p>
          <w:p w:rsidR="00AC7EBC" w:rsidRPr="002C7794" w:rsidRDefault="00AC7EBC" w:rsidP="00AC6A21">
            <w:pPr>
              <w:spacing w:line="36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3119" w:type="dxa"/>
          </w:tcPr>
          <w:p w:rsidR="00AC7EBC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Approximately 2/3</w:t>
            </w:r>
            <w:r w:rsidRPr="002C7794">
              <w:rPr>
                <w:sz w:val="18"/>
                <w:szCs w:val="18"/>
                <w:vertAlign w:val="superscript"/>
                <w:lang w:val="en-GB"/>
              </w:rPr>
              <w:t>rd</w:t>
            </w:r>
            <w:r w:rsidRPr="002C7794">
              <w:rPr>
                <w:sz w:val="18"/>
                <w:szCs w:val="18"/>
                <w:lang w:val="en-GB"/>
              </w:rPr>
              <w:t xml:space="preserve"> of ESBL-producing </w:t>
            </w:r>
            <w:proofErr w:type="spellStart"/>
            <w:r w:rsidRPr="002C7794">
              <w:rPr>
                <w:sz w:val="18"/>
                <w:szCs w:val="18"/>
                <w:lang w:val="en-GB"/>
              </w:rPr>
              <w:t>Enterobacterales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 xml:space="preserve"> is ciprofloxacin-resistant</w:t>
            </w:r>
          </w:p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Risk of adverse events</w:t>
            </w:r>
          </w:p>
        </w:tc>
        <w:tc>
          <w:tcPr>
            <w:tcW w:w="2726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Optional when local ciprofloxacin resistance allows its </w:t>
            </w:r>
            <w:r>
              <w:rPr>
                <w:sz w:val="18"/>
                <w:szCs w:val="18"/>
                <w:lang w:val="en-GB"/>
              </w:rPr>
              <w:t xml:space="preserve">empirical </w:t>
            </w:r>
            <w:r w:rsidRPr="002C7794">
              <w:rPr>
                <w:sz w:val="18"/>
                <w:szCs w:val="18"/>
                <w:lang w:val="en-GB"/>
              </w:rPr>
              <w:t>use</w:t>
            </w:r>
          </w:p>
        </w:tc>
      </w:tr>
      <w:tr w:rsidR="00AC7EBC" w:rsidRPr="006C3021" w:rsidTr="00AC6A21">
        <w:trPr>
          <w:trHeight w:val="217"/>
        </w:trPr>
        <w:tc>
          <w:tcPr>
            <w:tcW w:w="1951" w:type="dxa"/>
          </w:tcPr>
          <w:p w:rsidR="00AC7EBC" w:rsidRPr="002C7794" w:rsidRDefault="00AC7EBC" w:rsidP="00AC6A21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  <w:r w:rsidRPr="002C7794">
              <w:rPr>
                <w:b/>
                <w:sz w:val="18"/>
                <w:szCs w:val="18"/>
                <w:lang w:val="en-GB"/>
              </w:rPr>
              <w:t>High risk</w:t>
            </w:r>
          </w:p>
        </w:tc>
        <w:tc>
          <w:tcPr>
            <w:tcW w:w="1134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1</w:t>
            </w:r>
            <w:r w:rsidRPr="00E00517">
              <w:rPr>
                <w:sz w:val="18"/>
                <w:szCs w:val="18"/>
                <w:vertAlign w:val="superscript"/>
                <w:lang w:val="en-GB"/>
              </w:rPr>
              <w:t>st</w:t>
            </w:r>
            <w:r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693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Meropenem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 xml:space="preserve"> or </w:t>
            </w:r>
            <w:proofErr w:type="spellStart"/>
            <w:r w:rsidRPr="002C7794">
              <w:rPr>
                <w:sz w:val="18"/>
                <w:szCs w:val="18"/>
                <w:lang w:val="en-GB"/>
              </w:rPr>
              <w:t>imipenem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835" w:type="dxa"/>
          </w:tcPr>
          <w:p w:rsidR="00AC7EBC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Only beta-lactam component of sepsis therapy</w:t>
            </w:r>
          </w:p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P</w:t>
            </w:r>
            <w:r w:rsidRPr="002C7794">
              <w:rPr>
                <w:sz w:val="18"/>
                <w:szCs w:val="18"/>
                <w:lang w:val="en-GB"/>
              </w:rPr>
              <w:t>otentially lower toxicity profile, especially in case of renal insufficiency</w:t>
            </w:r>
          </w:p>
        </w:tc>
        <w:tc>
          <w:tcPr>
            <w:tcW w:w="3119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Very broad-spectrum</w:t>
            </w:r>
          </w:p>
        </w:tc>
        <w:tc>
          <w:tcPr>
            <w:tcW w:w="2726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Preferred treatment option, especially when there was previous resistance to aminoglycosides or ciprofloxacin or risk of toxicity (e.g. known renal insufficiency)</w:t>
            </w:r>
          </w:p>
        </w:tc>
      </w:tr>
      <w:tr w:rsidR="00AC7EBC" w:rsidRPr="006C3021" w:rsidTr="00AC6A21">
        <w:trPr>
          <w:trHeight w:val="217"/>
        </w:trPr>
        <w:tc>
          <w:tcPr>
            <w:tcW w:w="1951" w:type="dxa"/>
          </w:tcPr>
          <w:p w:rsidR="00AC7EBC" w:rsidRPr="00AC7EBC" w:rsidRDefault="00AC7EBC" w:rsidP="00AC6A21">
            <w:pPr>
              <w:spacing w:line="276" w:lineRule="auto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Alternative</w:t>
            </w:r>
          </w:p>
        </w:tc>
        <w:tc>
          <w:tcPr>
            <w:tcW w:w="2693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2GC/</w:t>
            </w:r>
            <w:r w:rsidRPr="002C7794">
              <w:rPr>
                <w:sz w:val="18"/>
                <w:szCs w:val="18"/>
                <w:lang w:val="en-GB"/>
              </w:rPr>
              <w:t>3GC plus an aminoglycoside (plus metronidazole when applicable)</w:t>
            </w:r>
          </w:p>
        </w:tc>
        <w:tc>
          <w:tcPr>
            <w:tcW w:w="2835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Carbapenem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>-sparing</w:t>
            </w:r>
            <w:r>
              <w:rPr>
                <w:sz w:val="18"/>
                <w:szCs w:val="18"/>
                <w:lang w:val="en-GB"/>
              </w:rPr>
              <w:t>, F</w:t>
            </w:r>
            <w:r w:rsidRPr="002C7794">
              <w:rPr>
                <w:sz w:val="18"/>
                <w:szCs w:val="18"/>
                <w:lang w:val="en-GB"/>
              </w:rPr>
              <w:t>luoroquinolone-sparing</w:t>
            </w:r>
          </w:p>
        </w:tc>
        <w:tc>
          <w:tcPr>
            <w:tcW w:w="3119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Potentially higher risk of adverse events compared to other choices</w:t>
            </w:r>
          </w:p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TDM and max 2 day treatment for aminoglycoside</w:t>
            </w:r>
          </w:p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Approximately 1/3</w:t>
            </w:r>
            <w:r w:rsidRPr="002C7794">
              <w:rPr>
                <w:sz w:val="18"/>
                <w:szCs w:val="18"/>
                <w:vertAlign w:val="superscript"/>
                <w:lang w:val="en-GB"/>
              </w:rPr>
              <w:t>rd</w:t>
            </w:r>
            <w:r w:rsidRPr="002C7794">
              <w:rPr>
                <w:sz w:val="18"/>
                <w:szCs w:val="18"/>
                <w:lang w:val="en-GB"/>
              </w:rPr>
              <w:t xml:space="preserve"> of ESBL-producing </w:t>
            </w:r>
            <w:proofErr w:type="spellStart"/>
            <w:r w:rsidRPr="002C7794">
              <w:rPr>
                <w:sz w:val="18"/>
                <w:szCs w:val="18"/>
                <w:lang w:val="en-GB"/>
              </w:rPr>
              <w:t>Enterobacterales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 xml:space="preserve"> is resistant to aminoglycosides </w:t>
            </w:r>
          </w:p>
        </w:tc>
        <w:tc>
          <w:tcPr>
            <w:tcW w:w="2726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Optional when local resistance epidemiology allows, when there is no sepsis (yet) and/or when the previously cultured 3GCR-E was susceptible</w:t>
            </w:r>
          </w:p>
        </w:tc>
      </w:tr>
      <w:tr w:rsidR="00AC7EBC" w:rsidRPr="006C3021" w:rsidTr="00AC6A21">
        <w:trPr>
          <w:trHeight w:val="217"/>
        </w:trPr>
        <w:tc>
          <w:tcPr>
            <w:tcW w:w="1951" w:type="dxa"/>
          </w:tcPr>
          <w:p w:rsidR="00AC7EBC" w:rsidRPr="002C7794" w:rsidRDefault="00AC7EBC" w:rsidP="00AC6A21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Alternative</w:t>
            </w:r>
          </w:p>
        </w:tc>
        <w:tc>
          <w:tcPr>
            <w:tcW w:w="2693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2GC/</w:t>
            </w:r>
            <w:r w:rsidRPr="002C7794">
              <w:rPr>
                <w:sz w:val="18"/>
                <w:szCs w:val="18"/>
                <w:lang w:val="en-GB"/>
              </w:rPr>
              <w:t>3GC plus high dose ciprofloxacin (plus metronidazole when applicable)</w:t>
            </w:r>
          </w:p>
        </w:tc>
        <w:tc>
          <w:tcPr>
            <w:tcW w:w="2835" w:type="dxa"/>
          </w:tcPr>
          <w:p w:rsidR="00AC7EBC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Carbapenem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>-sparing</w:t>
            </w:r>
          </w:p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Aminoglycoside-sparing</w:t>
            </w:r>
          </w:p>
        </w:tc>
        <w:tc>
          <w:tcPr>
            <w:tcW w:w="3119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Nationally, approximately 2/3</w:t>
            </w:r>
            <w:r w:rsidRPr="002C7794">
              <w:rPr>
                <w:sz w:val="18"/>
                <w:szCs w:val="18"/>
                <w:vertAlign w:val="superscript"/>
                <w:lang w:val="en-GB"/>
              </w:rPr>
              <w:t>rd</w:t>
            </w:r>
            <w:r w:rsidRPr="002C7794">
              <w:rPr>
                <w:sz w:val="18"/>
                <w:szCs w:val="18"/>
                <w:lang w:val="en-GB"/>
              </w:rPr>
              <w:t xml:space="preserve"> of ESBL-producing </w:t>
            </w:r>
            <w:proofErr w:type="spellStart"/>
            <w:r w:rsidRPr="002C7794">
              <w:rPr>
                <w:sz w:val="18"/>
                <w:szCs w:val="18"/>
                <w:lang w:val="en-GB"/>
              </w:rPr>
              <w:t>Enterobacterales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 xml:space="preserve"> is ciprofloxacin-resistant</w:t>
            </w:r>
          </w:p>
        </w:tc>
        <w:tc>
          <w:tcPr>
            <w:tcW w:w="2726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Optional when local ciprofloxacin resistance allows its use and/or when previously cultured 3GCR-E was susceptible</w:t>
            </w:r>
          </w:p>
        </w:tc>
      </w:tr>
      <w:tr w:rsidR="00AC7EBC" w:rsidRPr="006C3021" w:rsidTr="00AC6A21">
        <w:trPr>
          <w:trHeight w:val="217"/>
        </w:trPr>
        <w:tc>
          <w:tcPr>
            <w:tcW w:w="1951" w:type="dxa"/>
          </w:tcPr>
          <w:p w:rsidR="00AC7EBC" w:rsidRPr="002C7794" w:rsidRDefault="00AC7EBC" w:rsidP="00AC6A21">
            <w:pPr>
              <w:spacing w:line="276" w:lineRule="auto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Alternative</w:t>
            </w:r>
          </w:p>
        </w:tc>
        <w:tc>
          <w:tcPr>
            <w:tcW w:w="2693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Piperacillin-</w:t>
            </w:r>
            <w:proofErr w:type="spellStart"/>
            <w:r w:rsidRPr="002C7794">
              <w:rPr>
                <w:sz w:val="18"/>
                <w:szCs w:val="18"/>
                <w:lang w:val="en-GB"/>
              </w:rPr>
              <w:t>tazobactam</w:t>
            </w:r>
            <w:proofErr w:type="spellEnd"/>
          </w:p>
        </w:tc>
        <w:tc>
          <w:tcPr>
            <w:tcW w:w="2835" w:type="dxa"/>
          </w:tcPr>
          <w:p w:rsidR="00AC7EBC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proofErr w:type="spellStart"/>
            <w:r>
              <w:rPr>
                <w:sz w:val="18"/>
                <w:szCs w:val="18"/>
                <w:lang w:val="en-GB"/>
              </w:rPr>
              <w:t>Carbapenem</w:t>
            </w:r>
            <w:proofErr w:type="spellEnd"/>
            <w:r>
              <w:rPr>
                <w:sz w:val="18"/>
                <w:szCs w:val="18"/>
                <w:lang w:val="en-GB"/>
              </w:rPr>
              <w:t>-sparing</w:t>
            </w:r>
          </w:p>
          <w:p w:rsidR="00AC7EBC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F</w:t>
            </w:r>
            <w:r w:rsidRPr="002C7794">
              <w:rPr>
                <w:sz w:val="18"/>
                <w:szCs w:val="18"/>
                <w:lang w:val="en-GB"/>
              </w:rPr>
              <w:t>luoroquinolone-sparing</w:t>
            </w:r>
          </w:p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Aminoglycoside-sparing</w:t>
            </w:r>
          </w:p>
        </w:tc>
        <w:tc>
          <w:tcPr>
            <w:tcW w:w="3119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Likely inferior in ESBL-producing 3GCR-E sepsis</w:t>
            </w:r>
          </w:p>
        </w:tc>
        <w:tc>
          <w:tcPr>
            <w:tcW w:w="2726" w:type="dxa"/>
          </w:tcPr>
          <w:p w:rsidR="00AC7EBC" w:rsidRPr="002C7794" w:rsidRDefault="00AC7EBC" w:rsidP="00AC6A21">
            <w:pPr>
              <w:spacing w:line="276" w:lineRule="auto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O</w:t>
            </w:r>
            <w:r>
              <w:rPr>
                <w:sz w:val="18"/>
                <w:szCs w:val="18"/>
                <w:lang w:val="en-GB"/>
              </w:rPr>
              <w:t>nly o</w:t>
            </w:r>
            <w:r w:rsidRPr="002C7794">
              <w:rPr>
                <w:sz w:val="18"/>
                <w:szCs w:val="18"/>
                <w:lang w:val="en-GB"/>
              </w:rPr>
              <w:t>ptional when the previously cultured 3GCR-E did not produce ESBL and was susceptible</w:t>
            </w:r>
            <w:r>
              <w:rPr>
                <w:sz w:val="18"/>
                <w:szCs w:val="18"/>
                <w:lang w:val="en-GB"/>
              </w:rPr>
              <w:t xml:space="preserve"> to piperacillin-</w:t>
            </w:r>
            <w:proofErr w:type="spellStart"/>
            <w:r>
              <w:rPr>
                <w:sz w:val="18"/>
                <w:szCs w:val="18"/>
                <w:lang w:val="en-GB"/>
              </w:rPr>
              <w:t>tazobactam</w:t>
            </w:r>
            <w:proofErr w:type="spellEnd"/>
          </w:p>
        </w:tc>
      </w:tr>
    </w:tbl>
    <w:p w:rsidR="00AC7EBC" w:rsidRDefault="00AC7EBC" w:rsidP="00AC7EBC">
      <w:pPr>
        <w:spacing w:after="200" w:line="276" w:lineRule="auto"/>
        <w:jc w:val="both"/>
        <w:rPr>
          <w:rFonts w:asciiTheme="majorHAnsi" w:eastAsiaTheme="majorEastAsia" w:hAnsiTheme="majorHAnsi" w:cstheme="majorBidi"/>
          <w:bCs/>
          <w:color w:val="5B9BD5" w:themeColor="accent1"/>
          <w:sz w:val="26"/>
          <w:szCs w:val="26"/>
          <w:lang w:val="en-US"/>
        </w:rPr>
      </w:pPr>
    </w:p>
    <w:p w:rsidR="00AC7EBC" w:rsidRDefault="00AC7EBC">
      <w:pPr>
        <w:rPr>
          <w:rFonts w:asciiTheme="majorHAnsi" w:eastAsiaTheme="majorEastAsia" w:hAnsiTheme="majorHAnsi" w:cstheme="majorBidi"/>
          <w:bCs/>
          <w:color w:val="5B9BD5" w:themeColor="accent1"/>
          <w:sz w:val="26"/>
          <w:szCs w:val="26"/>
          <w:lang w:val="en-US"/>
        </w:rPr>
      </w:pPr>
      <w:r>
        <w:rPr>
          <w:rFonts w:asciiTheme="majorHAnsi" w:eastAsiaTheme="majorEastAsia" w:hAnsiTheme="majorHAnsi" w:cstheme="majorBidi"/>
          <w:bCs/>
          <w:color w:val="5B9BD5" w:themeColor="accent1"/>
          <w:sz w:val="26"/>
          <w:szCs w:val="26"/>
          <w:lang w:val="en-US"/>
        </w:rPr>
        <w:br w:type="page"/>
      </w:r>
    </w:p>
    <w:p w:rsidR="00AC7EBC" w:rsidRPr="002C7794" w:rsidRDefault="00AC7EBC" w:rsidP="00AC7EBC">
      <w:pPr>
        <w:spacing w:line="276" w:lineRule="auto"/>
        <w:jc w:val="both"/>
        <w:rPr>
          <w:b/>
          <w:lang w:val="en-GB"/>
        </w:rPr>
      </w:pPr>
      <w:proofErr w:type="spellStart"/>
      <w:r>
        <w:rPr>
          <w:b/>
          <w:lang w:val="en-GB"/>
        </w:rPr>
        <w:lastRenderedPageBreak/>
        <w:t>s</w:t>
      </w:r>
      <w:r w:rsidRPr="002C7794">
        <w:rPr>
          <w:b/>
          <w:lang w:val="en-GB"/>
        </w:rPr>
        <w:t>Table</w:t>
      </w:r>
      <w:proofErr w:type="spellEnd"/>
      <w:r w:rsidRPr="002C7794">
        <w:rPr>
          <w:b/>
          <w:lang w:val="en-GB"/>
        </w:rPr>
        <w:t xml:space="preserve"> </w:t>
      </w:r>
      <w:r>
        <w:rPr>
          <w:b/>
          <w:lang w:val="en-GB"/>
        </w:rPr>
        <w:t>3</w:t>
      </w:r>
      <w:r w:rsidRPr="002C7794">
        <w:rPr>
          <w:b/>
          <w:lang w:val="en-GB"/>
        </w:rPr>
        <w:t>. Recommended iv doses of empirical antibacterial treatment for sepsis</w:t>
      </w:r>
    </w:p>
    <w:tbl>
      <w:tblPr>
        <w:tblStyle w:val="Tabelrasterlicht"/>
        <w:tblW w:w="14318" w:type="dxa"/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402"/>
        <w:gridCol w:w="4400"/>
      </w:tblGrid>
      <w:tr w:rsidR="00AC7EBC" w:rsidRPr="002C7794" w:rsidTr="00AC6A21">
        <w:trPr>
          <w:trHeight w:val="419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b/>
                <w:sz w:val="18"/>
                <w:szCs w:val="18"/>
                <w:lang w:val="en-GB"/>
              </w:rPr>
            </w:pPr>
            <w:r w:rsidRPr="002C7794">
              <w:rPr>
                <w:b/>
                <w:sz w:val="18"/>
                <w:szCs w:val="18"/>
                <w:lang w:val="en-GB"/>
              </w:rPr>
              <w:t>Antibacterial agent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b/>
                <w:sz w:val="18"/>
                <w:szCs w:val="18"/>
                <w:lang w:val="en-GB"/>
              </w:rPr>
            </w:pPr>
            <w:r w:rsidRPr="002C7794">
              <w:rPr>
                <w:b/>
                <w:sz w:val="18"/>
                <w:szCs w:val="18"/>
                <w:lang w:val="en-GB"/>
              </w:rPr>
              <w:t>Intermittent dosing (&lt;60 min infusion)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b/>
                <w:sz w:val="18"/>
                <w:szCs w:val="18"/>
                <w:lang w:val="en-GB"/>
              </w:rPr>
            </w:pPr>
            <w:r w:rsidRPr="002C7794">
              <w:rPr>
                <w:b/>
                <w:sz w:val="18"/>
                <w:szCs w:val="18"/>
                <w:lang w:val="en-GB"/>
              </w:rPr>
              <w:t>Prolonged dosing (3-5 hour infusion)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b/>
                <w:sz w:val="18"/>
                <w:szCs w:val="18"/>
                <w:lang w:val="en-GB"/>
              </w:rPr>
            </w:pPr>
            <w:r w:rsidRPr="002C7794">
              <w:rPr>
                <w:b/>
                <w:sz w:val="18"/>
                <w:szCs w:val="18"/>
                <w:lang w:val="en-GB"/>
              </w:rPr>
              <w:t>Continuous infusion + loading dose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b/>
                <w:sz w:val="18"/>
                <w:szCs w:val="18"/>
                <w:lang w:val="en-GB"/>
              </w:rPr>
            </w:pPr>
            <w:r w:rsidRPr="002C7794">
              <w:rPr>
                <w:b/>
                <w:sz w:val="18"/>
                <w:szCs w:val="18"/>
                <w:lang w:val="en-GB"/>
              </w:rPr>
              <w:t>Remarks</w:t>
            </w:r>
          </w:p>
        </w:tc>
      </w:tr>
      <w:tr w:rsidR="00AC7EBC" w:rsidRPr="006C3021" w:rsidTr="00AC6A21">
        <w:trPr>
          <w:trHeight w:val="426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Benzylpenicillin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6x 1 million IU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6x 1 million IU 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6 million IU + 1 million IU loading dose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Higher doses optional up to 24 million IU per 24h*</w:t>
            </w:r>
          </w:p>
        </w:tc>
      </w:tr>
      <w:tr w:rsidR="00AC7EBC" w:rsidRPr="006C3021" w:rsidTr="00AC6A21">
        <w:trPr>
          <w:trHeight w:val="419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Amoxicillin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6x 1000 mg 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6x 1000 mg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6000 mg + 1000 mg loading dose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Higher doses optional up to 12000 mg per 24h*</w:t>
            </w:r>
          </w:p>
        </w:tc>
      </w:tr>
      <w:tr w:rsidR="00AC7EBC" w:rsidRPr="006C3021" w:rsidTr="00AC6A21">
        <w:trPr>
          <w:trHeight w:val="426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Flucloxacillin</w:t>
            </w:r>
            <w:proofErr w:type="spellEnd"/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6x 1000 mg 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6x 1000 mg 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6000 mg + 1000 mg loading dose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Higher doses optional up to 12000 mg per 24h*</w:t>
            </w:r>
          </w:p>
        </w:tc>
      </w:tr>
      <w:tr w:rsidR="00AC7EBC" w:rsidRPr="002C7794" w:rsidTr="00AC6A21">
        <w:trPr>
          <w:trHeight w:val="137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Amoxicillin-clavulanic acid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4x 1200 mg 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4x 1200 mg 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N.a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C7EBC" w:rsidRPr="006C3021" w:rsidTr="00AC6A21">
        <w:trPr>
          <w:trHeight w:val="419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Piperacillin-</w:t>
            </w:r>
            <w:proofErr w:type="spellStart"/>
            <w:r w:rsidRPr="002C7794">
              <w:rPr>
                <w:sz w:val="18"/>
                <w:szCs w:val="18"/>
                <w:lang w:val="en-GB"/>
              </w:rPr>
              <w:t>tazobactam</w:t>
            </w:r>
            <w:proofErr w:type="spellEnd"/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4x 4500 mg 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4x 4500 mg 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  <w:r w:rsidRPr="00BD7082">
              <w:rPr>
                <w:sz w:val="18"/>
                <w:szCs w:val="18"/>
                <w:lang w:val="en-GB"/>
              </w:rPr>
              <w:t xml:space="preserve">18000 mg </w:t>
            </w:r>
            <w:r>
              <w:rPr>
                <w:sz w:val="18"/>
                <w:szCs w:val="18"/>
                <w:lang w:val="en-GB"/>
              </w:rPr>
              <w:t xml:space="preserve">+ </w:t>
            </w:r>
            <w:r w:rsidRPr="00BD7082">
              <w:rPr>
                <w:sz w:val="18"/>
                <w:szCs w:val="18"/>
                <w:lang w:val="en-GB"/>
              </w:rPr>
              <w:t>4500 mg</w:t>
            </w:r>
            <w:r>
              <w:rPr>
                <w:sz w:val="18"/>
                <w:szCs w:val="18"/>
                <w:lang w:val="en-GB"/>
              </w:rPr>
              <w:t xml:space="preserve"> loading dose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3x 4500 mg when </w:t>
            </w:r>
            <w:r w:rsidRPr="002C7794">
              <w:rPr>
                <w:i/>
                <w:sz w:val="18"/>
                <w:szCs w:val="18"/>
                <w:lang w:val="en-GB"/>
              </w:rPr>
              <w:t xml:space="preserve">Pseudomonas </w:t>
            </w:r>
            <w:r w:rsidRPr="002C7794">
              <w:rPr>
                <w:sz w:val="18"/>
                <w:szCs w:val="18"/>
                <w:lang w:val="en-GB"/>
              </w:rPr>
              <w:t>is not involved*</w:t>
            </w:r>
          </w:p>
        </w:tc>
      </w:tr>
      <w:tr w:rsidR="00AC7EBC" w:rsidRPr="006C3021" w:rsidTr="00AC6A21">
        <w:trPr>
          <w:trHeight w:val="426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Cefazolin 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3x 1000 mg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3x 1000 mg 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3000 mg + 1000 mg loading dose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Higher doses optional up to 6000 mg per 24h*</w:t>
            </w:r>
          </w:p>
        </w:tc>
      </w:tr>
      <w:tr w:rsidR="00AC7EBC" w:rsidRPr="002C7794" w:rsidTr="00AC6A21">
        <w:trPr>
          <w:trHeight w:val="281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Cefuroxime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3x 1500 mg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3x 1500 mg 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4500 mg + 1500 mg loading dose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C7EBC" w:rsidRPr="006C3021" w:rsidTr="00AC6A21">
        <w:trPr>
          <w:trHeight w:val="419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Ceftriaxone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1x2000 mg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1x 2000 mg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2000 mg + 2000 mg loading dose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2x 2000 mg when </w:t>
            </w:r>
            <w:r w:rsidRPr="002C7794">
              <w:rPr>
                <w:i/>
                <w:sz w:val="18"/>
                <w:szCs w:val="18"/>
                <w:lang w:val="en-GB"/>
              </w:rPr>
              <w:t xml:space="preserve">S. aureus </w:t>
            </w:r>
            <w:r w:rsidRPr="002C7794">
              <w:rPr>
                <w:sz w:val="18"/>
                <w:szCs w:val="18"/>
                <w:lang w:val="en-GB"/>
              </w:rPr>
              <w:t>is involved*</w:t>
            </w:r>
          </w:p>
        </w:tc>
      </w:tr>
      <w:tr w:rsidR="00AC7EBC" w:rsidRPr="006C3021" w:rsidTr="00AC6A21">
        <w:trPr>
          <w:trHeight w:val="419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Ceftazidime</w:t>
            </w:r>
            <w:proofErr w:type="spellEnd"/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3x 2000 mg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3x 2000 mg (3 hour infusion)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6000 mg + 2000 mg loading dose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3x 1000 mg or 3000 mg per 24h + 1000 mg loading dose optional when </w:t>
            </w:r>
            <w:r w:rsidRPr="002C7794">
              <w:rPr>
                <w:i/>
                <w:sz w:val="18"/>
                <w:szCs w:val="18"/>
                <w:lang w:val="en-GB"/>
              </w:rPr>
              <w:t xml:space="preserve">Pseudomonas </w:t>
            </w:r>
            <w:r w:rsidRPr="002C7794">
              <w:rPr>
                <w:sz w:val="18"/>
                <w:szCs w:val="18"/>
                <w:lang w:val="en-GB"/>
              </w:rPr>
              <w:t>is not involved</w:t>
            </w:r>
          </w:p>
        </w:tc>
      </w:tr>
      <w:tr w:rsidR="00AC7EBC" w:rsidRPr="006C3021" w:rsidTr="00AC6A21">
        <w:trPr>
          <w:trHeight w:val="426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Imipenem</w:t>
            </w:r>
            <w:proofErr w:type="spellEnd"/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4x 1000 mg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4x 1000 mg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4000 mg + 1000 mg loading dose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4x 500 mg optional when </w:t>
            </w:r>
            <w:r w:rsidRPr="002C7794">
              <w:rPr>
                <w:i/>
                <w:sz w:val="18"/>
                <w:szCs w:val="18"/>
                <w:lang w:val="en-GB"/>
              </w:rPr>
              <w:t xml:space="preserve">Pseudomonas </w:t>
            </w:r>
            <w:r w:rsidRPr="002C7794">
              <w:rPr>
                <w:sz w:val="18"/>
                <w:szCs w:val="18"/>
                <w:lang w:val="en-GB"/>
              </w:rPr>
              <w:t>is not involved</w:t>
            </w:r>
          </w:p>
        </w:tc>
      </w:tr>
      <w:tr w:rsidR="00AC7EBC" w:rsidRPr="006C3021" w:rsidTr="00AC6A21">
        <w:trPr>
          <w:trHeight w:val="419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Meropenem</w:t>
            </w:r>
            <w:proofErr w:type="spellEnd"/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3x 1000 mg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3x 1000 mg (3 hour infusion)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3000 mg + 1000 mg loading dose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Higher doses optional up to 6000 mg per 24h*</w:t>
            </w:r>
          </w:p>
        </w:tc>
      </w:tr>
      <w:tr w:rsidR="00AC7EBC" w:rsidRPr="006C3021" w:rsidTr="00AC6A21">
        <w:trPr>
          <w:trHeight w:val="426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Ciprofloxacin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3x 400 mg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N.a</w:t>
            </w:r>
            <w:proofErr w:type="spellEnd"/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N.a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2x 400 mg when </w:t>
            </w:r>
            <w:r w:rsidRPr="002C7794">
              <w:rPr>
                <w:i/>
                <w:sz w:val="18"/>
                <w:szCs w:val="18"/>
                <w:lang w:val="en-GB"/>
              </w:rPr>
              <w:t>Pseudomonas</w:t>
            </w:r>
            <w:r w:rsidRPr="002C7794">
              <w:rPr>
                <w:sz w:val="18"/>
                <w:szCs w:val="18"/>
                <w:lang w:val="en-GB"/>
              </w:rPr>
              <w:t xml:space="preserve"> is not involved*</w:t>
            </w:r>
          </w:p>
        </w:tc>
      </w:tr>
      <w:tr w:rsidR="00AC7EBC" w:rsidRPr="006C3021" w:rsidTr="00AC6A21">
        <w:trPr>
          <w:trHeight w:val="558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Gentamicin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1x 5 mg/kg**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N.a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N.a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1x </w:t>
            </w:r>
            <w:r>
              <w:rPr>
                <w:sz w:val="18"/>
                <w:szCs w:val="18"/>
                <w:lang w:val="en-GB"/>
              </w:rPr>
              <w:t>6-</w:t>
            </w:r>
            <w:r w:rsidRPr="002C7794">
              <w:rPr>
                <w:sz w:val="18"/>
                <w:szCs w:val="18"/>
                <w:lang w:val="en-GB"/>
              </w:rPr>
              <w:t xml:space="preserve">7 mg/kg may be indicated in sepsis due to </w:t>
            </w:r>
            <w:proofErr w:type="spellStart"/>
            <w:r w:rsidRPr="002C7794">
              <w:rPr>
                <w:sz w:val="18"/>
                <w:szCs w:val="18"/>
                <w:lang w:val="en-GB"/>
              </w:rPr>
              <w:t>Enterobacterales</w:t>
            </w:r>
            <w:proofErr w:type="spellEnd"/>
            <w:r w:rsidRPr="002C7794" w:rsidDel="008A084B">
              <w:rPr>
                <w:sz w:val="18"/>
                <w:szCs w:val="18"/>
                <w:lang w:val="en-GB"/>
              </w:rPr>
              <w:t xml:space="preserve"> </w:t>
            </w:r>
            <w:r w:rsidRPr="002C7794">
              <w:rPr>
                <w:sz w:val="18"/>
                <w:szCs w:val="18"/>
                <w:lang w:val="en-GB"/>
              </w:rPr>
              <w:t>*</w:t>
            </w:r>
          </w:p>
          <w:p w:rsidR="00AC7EBC" w:rsidRPr="002C7794" w:rsidRDefault="0074438F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Adjusted for adjusted body</w:t>
            </w:r>
            <w:r w:rsidR="00AC7EBC" w:rsidRPr="002C7794">
              <w:rPr>
                <w:sz w:val="18"/>
                <w:szCs w:val="18"/>
                <w:lang w:val="en-GB"/>
              </w:rPr>
              <w:t>weight**</w:t>
            </w:r>
          </w:p>
          <w:p w:rsidR="00AC7EBC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Immediate TDM recommended***</w:t>
            </w:r>
          </w:p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Should be given </w:t>
            </w:r>
            <w:r w:rsidRPr="002C0B8A">
              <w:rPr>
                <w:sz w:val="18"/>
                <w:szCs w:val="18"/>
                <w:lang w:val="en-GB"/>
              </w:rPr>
              <w:t xml:space="preserve">in combination with </w:t>
            </w:r>
            <w:r>
              <w:rPr>
                <w:sz w:val="18"/>
                <w:szCs w:val="18"/>
                <w:lang w:val="en-GB"/>
              </w:rPr>
              <w:t xml:space="preserve">other antibacterial therapy, generally a beta-lactam agent. Gentamicin may be a suboptimal choice for </w:t>
            </w:r>
            <w:r>
              <w:rPr>
                <w:i/>
                <w:sz w:val="18"/>
                <w:szCs w:val="18"/>
                <w:lang w:val="en-GB"/>
              </w:rPr>
              <w:t xml:space="preserve">P. aeruginosa </w:t>
            </w:r>
            <w:r>
              <w:rPr>
                <w:sz w:val="18"/>
                <w:szCs w:val="18"/>
                <w:lang w:val="en-GB"/>
              </w:rPr>
              <w:t>based on PK/PD models****</w:t>
            </w:r>
          </w:p>
        </w:tc>
      </w:tr>
      <w:tr w:rsidR="00AC7EBC" w:rsidRPr="006C3021" w:rsidTr="00AC6A21">
        <w:trPr>
          <w:trHeight w:val="983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Tobramycin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1x 5 mg/kg**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N.a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N.a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1x </w:t>
            </w:r>
            <w:r>
              <w:rPr>
                <w:sz w:val="18"/>
                <w:szCs w:val="18"/>
                <w:lang w:val="en-GB"/>
              </w:rPr>
              <w:t>6-</w:t>
            </w:r>
            <w:r w:rsidRPr="002C7794">
              <w:rPr>
                <w:sz w:val="18"/>
                <w:szCs w:val="18"/>
                <w:lang w:val="en-GB"/>
              </w:rPr>
              <w:t xml:space="preserve">7 mg/kg may be indicated in sepsis due to </w:t>
            </w:r>
            <w:proofErr w:type="spellStart"/>
            <w:r w:rsidRPr="002C7794">
              <w:rPr>
                <w:sz w:val="18"/>
                <w:szCs w:val="18"/>
                <w:lang w:val="en-GB"/>
              </w:rPr>
              <w:t>Enterobacterales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t xml:space="preserve">or </w:t>
            </w:r>
            <w:r w:rsidRPr="002C7794">
              <w:rPr>
                <w:i/>
                <w:sz w:val="18"/>
                <w:szCs w:val="18"/>
                <w:lang w:val="en-GB"/>
              </w:rPr>
              <w:t>Pseudomonas</w:t>
            </w:r>
            <w:r w:rsidRPr="002C7794">
              <w:rPr>
                <w:sz w:val="18"/>
                <w:szCs w:val="18"/>
                <w:lang w:val="en-GB"/>
              </w:rPr>
              <w:t>*</w:t>
            </w:r>
          </w:p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Adjusted for adjusted body weight**</w:t>
            </w:r>
          </w:p>
          <w:p w:rsidR="00AC7EBC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Immediate TDM recommended***</w:t>
            </w:r>
          </w:p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Should be given </w:t>
            </w:r>
            <w:r w:rsidRPr="002C0B8A">
              <w:rPr>
                <w:sz w:val="18"/>
                <w:szCs w:val="18"/>
                <w:lang w:val="en-GB"/>
              </w:rPr>
              <w:t xml:space="preserve">in combination with </w:t>
            </w:r>
            <w:r>
              <w:rPr>
                <w:sz w:val="18"/>
                <w:szCs w:val="18"/>
                <w:lang w:val="en-GB"/>
              </w:rPr>
              <w:t>other antibacterial therapy, generally a beta-lactam agent.****</w:t>
            </w:r>
          </w:p>
        </w:tc>
      </w:tr>
      <w:tr w:rsidR="00AC7EBC" w:rsidRPr="002C7794" w:rsidTr="00AC6A21">
        <w:trPr>
          <w:trHeight w:val="701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Vancomycin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 xml:space="preserve">2-3x 15-20 mg/kg + 25-30 mg/kg loading dose 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N.a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 xml:space="preserve">. 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30-40</w:t>
            </w:r>
            <w:r w:rsidRPr="002C7794">
              <w:rPr>
                <w:sz w:val="18"/>
                <w:szCs w:val="18"/>
                <w:lang w:val="en-GB"/>
              </w:rPr>
              <w:t xml:space="preserve"> mg/kg + 15-20 mg/kg loading dose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Adjusted for adjusted body weight**</w:t>
            </w:r>
          </w:p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TDM recommended***</w:t>
            </w:r>
          </w:p>
        </w:tc>
      </w:tr>
      <w:tr w:rsidR="00AC7EBC" w:rsidRPr="002C7794" w:rsidTr="00AC6A21">
        <w:trPr>
          <w:trHeight w:val="144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Metronidazole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3x 500 mg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N.a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N.a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 xml:space="preserve">. 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</w:p>
        </w:tc>
      </w:tr>
      <w:tr w:rsidR="00AC7EBC" w:rsidRPr="002C7794" w:rsidTr="00AC6A21">
        <w:trPr>
          <w:trHeight w:val="274"/>
        </w:trPr>
        <w:tc>
          <w:tcPr>
            <w:tcW w:w="283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Trimethoprim-sulfamethoxazole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2x 960 mg</w:t>
            </w:r>
          </w:p>
        </w:tc>
        <w:tc>
          <w:tcPr>
            <w:tcW w:w="1843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N.a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3402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proofErr w:type="spellStart"/>
            <w:r w:rsidRPr="002C7794">
              <w:rPr>
                <w:sz w:val="18"/>
                <w:szCs w:val="18"/>
                <w:lang w:val="en-GB"/>
              </w:rPr>
              <w:t>N.a</w:t>
            </w:r>
            <w:proofErr w:type="spellEnd"/>
            <w:r w:rsidRPr="002C7794">
              <w:rPr>
                <w:sz w:val="18"/>
                <w:szCs w:val="18"/>
                <w:lang w:val="en-GB"/>
              </w:rPr>
              <w:t>.</w:t>
            </w:r>
          </w:p>
        </w:tc>
        <w:tc>
          <w:tcPr>
            <w:tcW w:w="4400" w:type="dxa"/>
          </w:tcPr>
          <w:p w:rsidR="00AC7EBC" w:rsidRPr="002C7794" w:rsidRDefault="00AC7EBC" w:rsidP="00AC6A21">
            <w:pPr>
              <w:spacing w:line="276" w:lineRule="auto"/>
              <w:jc w:val="both"/>
              <w:rPr>
                <w:sz w:val="18"/>
                <w:szCs w:val="18"/>
                <w:lang w:val="en-GB"/>
              </w:rPr>
            </w:pPr>
            <w:r w:rsidRPr="002C7794">
              <w:rPr>
                <w:sz w:val="18"/>
                <w:szCs w:val="18"/>
                <w:lang w:val="en-GB"/>
              </w:rPr>
              <w:t>Higher doses optional*</w:t>
            </w:r>
          </w:p>
        </w:tc>
      </w:tr>
    </w:tbl>
    <w:p w:rsidR="00AC7EBC" w:rsidRPr="002C7794" w:rsidRDefault="00AC7EBC" w:rsidP="00AC7EBC">
      <w:pPr>
        <w:pStyle w:val="Geenafstand1"/>
        <w:spacing w:line="276" w:lineRule="auto"/>
        <w:jc w:val="both"/>
        <w:rPr>
          <w:rFonts w:asciiTheme="minorHAnsi" w:hAnsiTheme="minorHAnsi" w:cstheme="minorHAnsi"/>
          <w:lang w:val="en-GB"/>
        </w:rPr>
      </w:pPr>
      <w:r w:rsidRPr="002C7794">
        <w:rPr>
          <w:rFonts w:asciiTheme="minorHAnsi" w:hAnsiTheme="minorHAnsi" w:cstheme="minorHAnsi"/>
          <w:lang w:val="en-GB"/>
        </w:rPr>
        <w:t>* See also EUCAST dosing table (</w:t>
      </w:r>
      <w:hyperlink r:id="rId5" w:history="1">
        <w:r w:rsidRPr="002C7794">
          <w:rPr>
            <w:rStyle w:val="Hyperlink"/>
            <w:rFonts w:asciiTheme="minorHAnsi" w:hAnsiTheme="minorHAnsi" w:cstheme="minorHAnsi"/>
            <w:lang w:val="en-GB"/>
          </w:rPr>
          <w:t>http://www.eucast.org/</w:t>
        </w:r>
      </w:hyperlink>
      <w:r w:rsidRPr="002C7794">
        <w:rPr>
          <w:rFonts w:asciiTheme="minorHAnsi" w:hAnsiTheme="minorHAnsi" w:cstheme="minorHAnsi"/>
          <w:lang w:val="en-GB"/>
        </w:rPr>
        <w:t>) for guidance on which pathogens may require higher dosing and other relevant guidelines for infections that require other dosages. In case of higher 24h doses a higher loading dose is indicated (i.e. one intermittent dose)</w:t>
      </w:r>
    </w:p>
    <w:p w:rsidR="00AC7EBC" w:rsidRPr="002C7794" w:rsidRDefault="00AC7EBC" w:rsidP="00AC7EBC">
      <w:pPr>
        <w:pStyle w:val="Geenafstand1"/>
        <w:spacing w:line="276" w:lineRule="auto"/>
        <w:jc w:val="both"/>
        <w:rPr>
          <w:rFonts w:asciiTheme="minorHAnsi" w:hAnsiTheme="minorHAnsi" w:cstheme="minorHAnsi"/>
          <w:lang w:val="en-GB"/>
        </w:rPr>
      </w:pPr>
      <w:r w:rsidRPr="002C7794">
        <w:rPr>
          <w:rFonts w:asciiTheme="minorHAnsi" w:hAnsiTheme="minorHAnsi" w:cstheme="minorHAnsi"/>
          <w:lang w:val="en-GB"/>
        </w:rPr>
        <w:t xml:space="preserve">** Adjusted for adjusted body weight (ideal body weight + 0,4*(true body weight – ideal body weight. Ideal body weight: man: 50 kg + 0,9 * (cm &gt; 150 cm); woman: 45 kg + 0,9 * (cm &gt; 150 cm). See </w:t>
      </w:r>
      <w:hyperlink r:id="rId6" w:history="1">
        <w:r w:rsidRPr="002C7794">
          <w:rPr>
            <w:rStyle w:val="Hyperlink"/>
            <w:rFonts w:asciiTheme="minorHAnsi" w:hAnsiTheme="minorHAnsi" w:cstheme="minorHAnsi"/>
            <w:lang w:val="en-GB"/>
          </w:rPr>
          <w:t>https://tdm-monografie.org/</w:t>
        </w:r>
      </w:hyperlink>
      <w:r w:rsidRPr="002C7794">
        <w:rPr>
          <w:rFonts w:asciiTheme="minorHAnsi" w:hAnsiTheme="minorHAnsi" w:cstheme="minorHAnsi"/>
          <w:lang w:val="en-GB"/>
        </w:rPr>
        <w:t xml:space="preserve">  </w:t>
      </w:r>
    </w:p>
    <w:p w:rsidR="00AC7EBC" w:rsidRDefault="00AC7EBC" w:rsidP="00AC7EBC">
      <w:pPr>
        <w:pStyle w:val="Geenafstand1"/>
        <w:spacing w:line="276" w:lineRule="auto"/>
        <w:jc w:val="both"/>
        <w:rPr>
          <w:rFonts w:asciiTheme="minorHAnsi" w:hAnsiTheme="minorHAnsi" w:cstheme="minorHAnsi"/>
          <w:lang w:val="en-GB"/>
        </w:rPr>
      </w:pPr>
      <w:r w:rsidRPr="002C7794">
        <w:rPr>
          <w:rFonts w:asciiTheme="minorHAnsi" w:hAnsiTheme="minorHAnsi" w:cstheme="minorHAnsi"/>
          <w:lang w:val="en-GB"/>
        </w:rPr>
        <w:t xml:space="preserve">*** See </w:t>
      </w:r>
      <w:hyperlink r:id="rId7" w:history="1">
        <w:r w:rsidRPr="002C7794">
          <w:rPr>
            <w:rStyle w:val="Hyperlink"/>
            <w:rFonts w:asciiTheme="minorHAnsi" w:hAnsiTheme="minorHAnsi" w:cstheme="minorHAnsi"/>
            <w:lang w:val="en-GB"/>
          </w:rPr>
          <w:t>https://tdm-monografie.org/</w:t>
        </w:r>
      </w:hyperlink>
      <w:r w:rsidRPr="002C7794">
        <w:rPr>
          <w:rFonts w:asciiTheme="minorHAnsi" w:hAnsiTheme="minorHAnsi" w:cstheme="minorHAnsi"/>
          <w:lang w:val="en-GB"/>
        </w:rPr>
        <w:t xml:space="preserve">  </w:t>
      </w:r>
    </w:p>
    <w:p w:rsidR="00AC7EBC" w:rsidRPr="002C7794" w:rsidRDefault="00AC7EBC" w:rsidP="00AC7EBC">
      <w:pPr>
        <w:pStyle w:val="Geenafstand1"/>
        <w:spacing w:line="276" w:lineRule="auto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**** </w:t>
      </w:r>
      <w:r w:rsidRPr="008A084B">
        <w:rPr>
          <w:rFonts w:asciiTheme="minorHAnsi" w:hAnsiTheme="minorHAnsi" w:cstheme="minorHAnsi"/>
          <w:lang w:val="en-GB"/>
        </w:rPr>
        <w:t xml:space="preserve">Since 2020 EUCAST </w:t>
      </w:r>
      <w:r>
        <w:rPr>
          <w:rFonts w:asciiTheme="minorHAnsi" w:hAnsiTheme="minorHAnsi" w:cstheme="minorHAnsi"/>
          <w:lang w:val="en-GB"/>
        </w:rPr>
        <w:t xml:space="preserve">doesn’t provide formal breakpoints for aminoglycosides in systemic infection (excluding UTI) with </w:t>
      </w:r>
      <w:proofErr w:type="spellStart"/>
      <w:r>
        <w:rPr>
          <w:rFonts w:asciiTheme="minorHAnsi" w:hAnsiTheme="minorHAnsi" w:cstheme="minorHAnsi"/>
          <w:lang w:val="en-GB"/>
        </w:rPr>
        <w:t>Enterobacterales</w:t>
      </w:r>
      <w:proofErr w:type="spellEnd"/>
      <w:r>
        <w:rPr>
          <w:rFonts w:asciiTheme="minorHAnsi" w:hAnsiTheme="minorHAnsi" w:cstheme="minorHAnsi"/>
          <w:lang w:val="en-GB"/>
        </w:rPr>
        <w:t xml:space="preserve">, </w:t>
      </w:r>
      <w:r w:rsidRPr="00ED0236">
        <w:rPr>
          <w:rFonts w:asciiTheme="minorHAnsi" w:hAnsiTheme="minorHAnsi" w:cstheme="minorHAnsi"/>
          <w:i/>
          <w:lang w:val="en-GB"/>
        </w:rPr>
        <w:t>Pseudomonas</w:t>
      </w:r>
      <w:r>
        <w:rPr>
          <w:rFonts w:asciiTheme="minorHAnsi" w:hAnsiTheme="minorHAnsi" w:cstheme="minorHAnsi"/>
          <w:lang w:val="en-GB"/>
        </w:rPr>
        <w:t xml:space="preserve">, </w:t>
      </w:r>
      <w:proofErr w:type="spellStart"/>
      <w:r w:rsidRPr="00ED0236">
        <w:rPr>
          <w:rFonts w:asciiTheme="minorHAnsi" w:hAnsiTheme="minorHAnsi" w:cstheme="minorHAnsi"/>
          <w:i/>
          <w:lang w:val="en-GB"/>
        </w:rPr>
        <w:t>Acinetobacter</w:t>
      </w:r>
      <w:proofErr w:type="spellEnd"/>
      <w:r>
        <w:rPr>
          <w:rFonts w:asciiTheme="minorHAnsi" w:hAnsiTheme="minorHAnsi" w:cstheme="minorHAnsi"/>
          <w:lang w:val="en-GB"/>
        </w:rPr>
        <w:t xml:space="preserve"> and </w:t>
      </w:r>
      <w:r w:rsidRPr="00ED0236">
        <w:rPr>
          <w:rFonts w:asciiTheme="minorHAnsi" w:hAnsiTheme="minorHAnsi" w:cstheme="minorHAnsi"/>
          <w:i/>
          <w:lang w:val="en-GB"/>
        </w:rPr>
        <w:t>Staphylococcus</w:t>
      </w:r>
      <w:r>
        <w:rPr>
          <w:rFonts w:asciiTheme="minorHAnsi" w:hAnsiTheme="minorHAnsi" w:cstheme="minorHAnsi"/>
          <w:lang w:val="en-GB"/>
        </w:rPr>
        <w:t xml:space="preserve"> species anymore. EUCAST </w:t>
      </w:r>
      <w:r w:rsidRPr="008A084B">
        <w:rPr>
          <w:rFonts w:asciiTheme="minorHAnsi" w:hAnsiTheme="minorHAnsi" w:cstheme="minorHAnsi"/>
          <w:lang w:val="en-GB"/>
        </w:rPr>
        <w:t>recommends that in systemic infections</w:t>
      </w:r>
      <w:r>
        <w:rPr>
          <w:rFonts w:asciiTheme="minorHAnsi" w:hAnsiTheme="minorHAnsi" w:cstheme="minorHAnsi"/>
          <w:lang w:val="en-GB"/>
        </w:rPr>
        <w:t xml:space="preserve"> with these species</w:t>
      </w:r>
      <w:r w:rsidRPr="008A084B">
        <w:rPr>
          <w:rFonts w:asciiTheme="minorHAnsi" w:hAnsiTheme="minorHAnsi" w:cstheme="minorHAnsi"/>
          <w:lang w:val="en-GB"/>
        </w:rPr>
        <w:t xml:space="preserve">, the aminoglycoside must be supported by other active therapy. </w:t>
      </w:r>
      <w:r>
        <w:rPr>
          <w:rFonts w:asciiTheme="minorHAnsi" w:hAnsiTheme="minorHAnsi" w:cstheme="minorHAnsi"/>
          <w:lang w:val="en-GB"/>
        </w:rPr>
        <w:t xml:space="preserve">In addition, there are no breakpoints for gentamicin in any infection with </w:t>
      </w:r>
      <w:r w:rsidRPr="00ED0236">
        <w:rPr>
          <w:rFonts w:asciiTheme="minorHAnsi" w:hAnsiTheme="minorHAnsi" w:cstheme="minorHAnsi"/>
          <w:i/>
          <w:lang w:val="en-GB"/>
        </w:rPr>
        <w:t>Pseudomonas</w:t>
      </w:r>
      <w:r>
        <w:rPr>
          <w:rFonts w:asciiTheme="minorHAnsi" w:hAnsiTheme="minorHAnsi" w:cstheme="minorHAnsi"/>
          <w:lang w:val="en-GB"/>
        </w:rPr>
        <w:t xml:space="preserve"> species anymore. See EUCAST clinical breakpoints table and </w:t>
      </w:r>
      <w:r w:rsidRPr="00145EED">
        <w:rPr>
          <w:lang w:val="en-US"/>
        </w:rPr>
        <w:t>http://www.eucast.org/guidance_documents/</w:t>
      </w:r>
      <w:r>
        <w:rPr>
          <w:rFonts w:asciiTheme="minorHAnsi" w:hAnsiTheme="minorHAnsi" w:cstheme="minorHAnsi"/>
          <w:lang w:val="en-GB"/>
        </w:rPr>
        <w:t xml:space="preserve">. </w:t>
      </w:r>
    </w:p>
    <w:p w:rsidR="00AC7EBC" w:rsidRPr="00AC7EBC" w:rsidRDefault="00AC7EBC" w:rsidP="00AC7EBC">
      <w:pPr>
        <w:rPr>
          <w:rFonts w:asciiTheme="majorHAnsi" w:eastAsiaTheme="majorEastAsia" w:hAnsiTheme="majorHAnsi" w:cstheme="majorBidi"/>
          <w:b/>
          <w:bCs/>
          <w:i/>
          <w:iCs/>
          <w:color w:val="5B9BD5" w:themeColor="accent1"/>
          <w:sz w:val="24"/>
          <w:szCs w:val="24"/>
          <w:lang w:val="en-US" w:eastAsia="nl-NL"/>
        </w:rPr>
        <w:sectPr w:rsidR="00AC7EBC" w:rsidRPr="00AC7EBC" w:rsidSect="00A102E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8D6406" w:rsidRPr="00AC7EBC" w:rsidRDefault="008D6406" w:rsidP="00AC7EBC">
      <w:pPr>
        <w:pStyle w:val="Geenafstand"/>
        <w:rPr>
          <w:rFonts w:ascii="Segoe UI" w:hAnsi="Segoe UI" w:cs="Segoe UI"/>
          <w:lang w:val="en-GB"/>
        </w:rPr>
      </w:pPr>
    </w:p>
    <w:sectPr w:rsidR="008D6406" w:rsidRPr="00AC7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EBC"/>
    <w:rsid w:val="002A6452"/>
    <w:rsid w:val="003F2CDA"/>
    <w:rsid w:val="006C3021"/>
    <w:rsid w:val="006F142D"/>
    <w:rsid w:val="0074438F"/>
    <w:rsid w:val="00852147"/>
    <w:rsid w:val="008D6406"/>
    <w:rsid w:val="00AC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2B2EC-F04B-4934-9620-B49970F0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C7E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C7EBC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D6406"/>
    <w:pPr>
      <w:spacing w:after="0" w:line="240" w:lineRule="auto"/>
    </w:pPr>
  </w:style>
  <w:style w:type="character" w:customStyle="1" w:styleId="Kop4Char">
    <w:name w:val="Kop 4 Char"/>
    <w:basedOn w:val="Standaardalinea-lettertype"/>
    <w:link w:val="Kop4"/>
    <w:uiPriority w:val="9"/>
    <w:rsid w:val="00AC7EBC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nl-NL"/>
    </w:rPr>
  </w:style>
  <w:style w:type="table" w:styleId="Tabelrasterlicht">
    <w:name w:val="Grid Table Light"/>
    <w:basedOn w:val="Standaardtabel"/>
    <w:uiPriority w:val="40"/>
    <w:rsid w:val="00AC7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AC7E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AC7EBC"/>
    <w:rPr>
      <w:color w:val="0563C1" w:themeColor="hyperlink"/>
      <w:u w:val="single"/>
    </w:rPr>
  </w:style>
  <w:style w:type="paragraph" w:customStyle="1" w:styleId="Geenafstand1">
    <w:name w:val="Geen afstand1"/>
    <w:link w:val="NoSpacingChar"/>
    <w:uiPriority w:val="1"/>
    <w:qFormat/>
    <w:rsid w:val="00AC7E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Geenafstand1"/>
    <w:uiPriority w:val="1"/>
    <w:rsid w:val="00AC7E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dm-monografie.org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dm-monografie.org/" TargetMode="External"/><Relationship Id="rId5" Type="http://schemas.openxmlformats.org/officeDocument/2006/relationships/hyperlink" Target="http://www.eucast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8255E-4332-48C8-BD35-BED8639F4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1706</Words>
  <Characters>9387</Characters>
  <Application>Microsoft Office Word</Application>
  <DocSecurity>4</DocSecurity>
  <Lines>78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11071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Sieswerda, E. (Elske)</dc:creator>
  <cp:keywords/>
  <dc:description/>
  <cp:lastModifiedBy>Elske Sieswerda</cp:lastModifiedBy>
  <cp:revision>2</cp:revision>
  <dcterms:created xsi:type="dcterms:W3CDTF">2022-02-15T11:50:00Z</dcterms:created>
  <dcterms:modified xsi:type="dcterms:W3CDTF">2022-02-15T11:50:00Z</dcterms:modified>
</cp:coreProperties>
</file>