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F4B6" w14:textId="77777777" w:rsidR="00E12281" w:rsidRDefault="00E12281" w:rsidP="00E12281">
      <w:pPr>
        <w:spacing w:line="480" w:lineRule="auto"/>
        <w:jc w:val="both"/>
        <w:rPr>
          <w:rFonts w:asciiTheme="minorBidi" w:hAnsiTheme="minorBidi"/>
        </w:rPr>
      </w:pPr>
      <w:r w:rsidRPr="003769C6">
        <w:rPr>
          <w:rFonts w:asciiTheme="minorBidi" w:hAnsiTheme="minorBidi"/>
          <w:b/>
          <w:bCs/>
        </w:rPr>
        <w:t>Appendix 1: Hospitals Covered by Hamad Medical Corporation (HMC) in Qatar</w:t>
      </w:r>
    </w:p>
    <w:p w14:paraId="50DBBCB0" w14:textId="77777777" w:rsidR="00E12281" w:rsidRDefault="00E12281" w:rsidP="00E12281">
      <w:pPr>
        <w:spacing w:line="480" w:lineRule="auto"/>
        <w:jc w:val="both"/>
        <w:rPr>
          <w:rFonts w:asciiTheme="minorBidi" w:hAnsiTheme="minorBidi"/>
        </w:rPr>
      </w:pPr>
    </w:p>
    <w:p w14:paraId="18E28C39" w14:textId="77777777" w:rsidR="00E12281" w:rsidRDefault="00E12281" w:rsidP="00E12281">
      <w:pPr>
        <w:spacing w:line="480" w:lineRule="auto"/>
        <w:jc w:val="both"/>
        <w:rPr>
          <w:rFonts w:asciiTheme="minorBidi" w:hAnsiTheme="minorBidi"/>
        </w:rPr>
      </w:pPr>
    </w:p>
    <w:p w14:paraId="462A29D8" w14:textId="77777777" w:rsidR="00E12281" w:rsidRPr="003072BD" w:rsidRDefault="00E12281" w:rsidP="00E12281">
      <w:pPr>
        <w:spacing w:line="480" w:lineRule="auto"/>
        <w:jc w:val="both"/>
        <w:rPr>
          <w:rFonts w:asciiTheme="minorBidi" w:hAnsiTheme="minorBidi"/>
        </w:rPr>
      </w:pPr>
    </w:p>
    <w:p w14:paraId="5A9413B7" w14:textId="77777777" w:rsidR="00E12281" w:rsidRPr="003072BD" w:rsidRDefault="00E12281" w:rsidP="00E1228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bookmarkStart w:id="0" w:name="_Hlk103082200"/>
    </w:p>
    <w:bookmarkEnd w:id="0"/>
    <w:p w14:paraId="7DC541EC" w14:textId="77777777" w:rsidR="00E12281" w:rsidRPr="00A47C85" w:rsidRDefault="00E12281" w:rsidP="00E12281">
      <w:pPr>
        <w:spacing w:line="480" w:lineRule="auto"/>
        <w:rPr>
          <w:rFonts w:asciiTheme="minorBidi" w:hAnsiTheme="minorBidi"/>
          <w:b/>
          <w:bCs/>
        </w:rPr>
      </w:pPr>
    </w:p>
    <w:tbl>
      <w:tblPr>
        <w:tblStyle w:val="TableGrid1"/>
        <w:tblpPr w:leftFromText="180" w:rightFromText="180" w:vertAnchor="page" w:horzAnchor="margin" w:tblpXSpec="center" w:tblpY="2281"/>
        <w:tblW w:w="9630" w:type="dxa"/>
        <w:tblInd w:w="0" w:type="dxa"/>
        <w:tblLook w:val="04A0" w:firstRow="1" w:lastRow="0" w:firstColumn="1" w:lastColumn="0" w:noHBand="0" w:noVBand="1"/>
      </w:tblPr>
      <w:tblGrid>
        <w:gridCol w:w="3862"/>
        <w:gridCol w:w="1273"/>
        <w:gridCol w:w="4495"/>
      </w:tblGrid>
      <w:tr w:rsidR="00E12281" w:rsidRPr="00E31A18" w14:paraId="33D81102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F0E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/>
              </w:rPr>
            </w:pPr>
            <w:r w:rsidRPr="00E31A18">
              <w:rPr>
                <w:rFonts w:eastAsiaTheme="minorEastAsia" w:cstheme="minorHAnsi"/>
                <w:b/>
              </w:rPr>
              <w:t xml:space="preserve">Hospital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6C4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/>
              </w:rPr>
            </w:pPr>
            <w:r w:rsidRPr="00E31A18">
              <w:rPr>
                <w:rFonts w:eastAsiaTheme="minorEastAsia" w:cstheme="minorHAnsi"/>
                <w:b/>
              </w:rPr>
              <w:t xml:space="preserve">Bed Capacity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35D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/>
              </w:rPr>
            </w:pPr>
            <w:r w:rsidRPr="00E31A18">
              <w:rPr>
                <w:rFonts w:eastAsiaTheme="minorEastAsia" w:cstheme="minorHAnsi"/>
                <w:b/>
              </w:rPr>
              <w:t xml:space="preserve">Specialty </w:t>
            </w:r>
          </w:p>
        </w:tc>
      </w:tr>
      <w:tr w:rsidR="00E12281" w:rsidRPr="00E31A18" w14:paraId="3BAB268E" w14:textId="77777777" w:rsidTr="00382596">
        <w:trPr>
          <w:trHeight w:val="78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516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</w:rPr>
              <w:t>Hamad General Hospital (HGH)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5719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605 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37E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</w:rPr>
              <w:t>Acute care general hospital with three specialized intensive care units</w:t>
            </w:r>
          </w:p>
        </w:tc>
      </w:tr>
      <w:tr w:rsidR="00E12281" w:rsidRPr="00E31A18" w14:paraId="66C176CF" w14:textId="77777777" w:rsidTr="00382596">
        <w:trPr>
          <w:trHeight w:val="618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F1AD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Rumaila Hospital (RH</w:t>
            </w:r>
            <w:proofErr w:type="gramStart"/>
            <w:r w:rsidRPr="00E31A18">
              <w:rPr>
                <w:rFonts w:eastAsiaTheme="minorEastAsia" w:cstheme="minorHAnsi"/>
                <w:bCs/>
              </w:rPr>
              <w:t>) :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366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620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B2E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Acute geriatrics and long-term facility hospital </w:t>
            </w:r>
          </w:p>
        </w:tc>
      </w:tr>
      <w:tr w:rsidR="00E12281" w:rsidRPr="00E31A18" w14:paraId="3816B80B" w14:textId="77777777" w:rsidTr="00382596">
        <w:trPr>
          <w:trHeight w:val="528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DEC2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The Surgical Specialty Centre (SSC)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801D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320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7E8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Acute and specialized surgical care center </w:t>
            </w:r>
          </w:p>
        </w:tc>
      </w:tr>
      <w:tr w:rsidR="00E12281" w:rsidRPr="00E31A18" w14:paraId="1026BCA0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3DE9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  <w:spacing w:val="-1"/>
              </w:rPr>
              <w:t>The Heart Hospital (HH)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EB2A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  <w:spacing w:val="-1"/>
              </w:rPr>
              <w:t>120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63BA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  <w:spacing w:val="-1"/>
              </w:rPr>
              <w:t>Specialized cardiac and cardiothoracic hospital</w:t>
            </w:r>
          </w:p>
        </w:tc>
      </w:tr>
      <w:tr w:rsidR="00E12281" w:rsidRPr="00E31A18" w14:paraId="6437DBD5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08BD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</w:rPr>
              <w:t>The Women Wellness and Research Centre (WWRC)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007E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220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C6B4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Specialized women wellness hospital </w:t>
            </w:r>
          </w:p>
          <w:p w14:paraId="32EDB4A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</w:p>
        </w:tc>
      </w:tr>
      <w:tr w:rsidR="00E12281" w:rsidRPr="00E31A18" w14:paraId="6B5D446B" w14:textId="77777777" w:rsidTr="00382596">
        <w:trPr>
          <w:trHeight w:val="87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5591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  <w:u w:val="single"/>
              </w:rPr>
            </w:pPr>
            <w:r w:rsidRPr="00E31A18">
              <w:rPr>
                <w:rFonts w:eastAsiaTheme="minorEastAsia" w:cstheme="minorHAnsi"/>
                <w:bCs/>
              </w:rPr>
              <w:t xml:space="preserve">Communicable Diseases center (CDC)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77AF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65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76E0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Dedicated communicable diseases hospital with full capacity isolation and negative pressure rooms  </w:t>
            </w:r>
          </w:p>
        </w:tc>
      </w:tr>
      <w:tr w:rsidR="00E12281" w:rsidRPr="00E31A18" w14:paraId="6EAC11A2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9CED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The National Centre for Cancer and Research (NCCR)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2B3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65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5483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Specialized hospital for solid organs and hematological malignancies including bone marrow transplantation</w:t>
            </w:r>
          </w:p>
        </w:tc>
      </w:tr>
      <w:tr w:rsidR="00E12281" w:rsidRPr="00E31A18" w14:paraId="694E084E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713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Ambulatory Care Center (ACC</w:t>
            </w:r>
            <w:proofErr w:type="gramStart"/>
            <w:r w:rsidRPr="00E31A18">
              <w:rPr>
                <w:rFonts w:eastAsiaTheme="minorEastAsia" w:cstheme="minorHAnsi"/>
                <w:bCs/>
              </w:rPr>
              <w:t>) :</w:t>
            </w:r>
            <w:proofErr w:type="gramEnd"/>
            <w:r w:rsidRPr="00E31A18">
              <w:rPr>
                <w:rFonts w:eastAsiaTheme="minorEastAsia" w:cstheme="minorHAnsi"/>
                <w:bCs/>
              </w:rPr>
              <w:t xml:space="preserve"> </w:t>
            </w:r>
          </w:p>
          <w:p w14:paraId="1C5CD3C0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29E5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Ambulatory care 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F20F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Specialized short stay hospital that houses, day care gastroenterology, urology, ophthalmology and ENT services</w:t>
            </w:r>
          </w:p>
        </w:tc>
      </w:tr>
      <w:tr w:rsidR="00E12281" w:rsidRPr="00E31A18" w14:paraId="1E0EDB3F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96E3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Hazem </w:t>
            </w:r>
            <w:proofErr w:type="spellStart"/>
            <w:r w:rsidRPr="00E31A18">
              <w:rPr>
                <w:rFonts w:eastAsiaTheme="minorEastAsia" w:cstheme="minorHAnsi"/>
                <w:bCs/>
              </w:rPr>
              <w:t>Mubairek</w:t>
            </w:r>
            <w:proofErr w:type="spellEnd"/>
            <w:r w:rsidRPr="00E31A18">
              <w:rPr>
                <w:rFonts w:eastAsiaTheme="minorEastAsia" w:cstheme="minorHAnsi"/>
                <w:bCs/>
              </w:rPr>
              <w:t xml:space="preserve"> General Hospital (HMGH)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7AA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120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9A1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 xml:space="preserve">Acute care hospital at the south west of the city </w:t>
            </w:r>
          </w:p>
          <w:p w14:paraId="36B021D6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</w:p>
        </w:tc>
      </w:tr>
      <w:tr w:rsidR="00E12281" w:rsidRPr="00E31A18" w14:paraId="635E63A9" w14:textId="77777777" w:rsidTr="00382596">
        <w:trPr>
          <w:trHeight w:val="451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C4D2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Wakra Hospital (WH)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8A53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320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A6A" w14:textId="77777777" w:rsidR="00E12281" w:rsidRPr="00E31A18" w:rsidRDefault="00E12281" w:rsidP="00382596">
            <w:pPr>
              <w:spacing w:before="92"/>
              <w:rPr>
                <w:rFonts w:eastAsiaTheme="minorEastAsia" w:cstheme="minorHAnsi"/>
                <w:bCs/>
              </w:rPr>
            </w:pPr>
            <w:r w:rsidRPr="00E31A18">
              <w:rPr>
                <w:rFonts w:eastAsiaTheme="minorEastAsia" w:cstheme="minorHAnsi"/>
                <w:bCs/>
              </w:rPr>
              <w:t>Acute care at the south of the city</w:t>
            </w:r>
          </w:p>
        </w:tc>
      </w:tr>
    </w:tbl>
    <w:p w14:paraId="37222DAD" w14:textId="77777777" w:rsidR="00E12281" w:rsidRPr="0054017B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353F132D" w14:textId="77777777" w:rsidR="00E12281" w:rsidRPr="002B57BE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4FCF6A35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32A4A52" w14:textId="77777777" w:rsidR="00E12281" w:rsidRPr="00E31A18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6872082C" w14:textId="77777777" w:rsidR="00E12281" w:rsidRPr="009F2FFD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14:paraId="79B07EC3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02FBE592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</w:rPr>
      </w:pPr>
    </w:p>
    <w:p w14:paraId="14A2C6B7" w14:textId="77777777" w:rsidR="00E12281" w:rsidRPr="00A47C85" w:rsidRDefault="00E12281" w:rsidP="00E12281">
      <w:pPr>
        <w:spacing w:line="480" w:lineRule="auto"/>
        <w:rPr>
          <w:rFonts w:asciiTheme="minorBidi" w:hAnsiTheme="minorBidi"/>
          <w:b/>
          <w:bCs/>
        </w:rPr>
      </w:pPr>
    </w:p>
    <w:p w14:paraId="43AE288F" w14:textId="77777777" w:rsidR="00E12281" w:rsidRPr="00A47C85" w:rsidRDefault="00E12281" w:rsidP="00E12281">
      <w:pPr>
        <w:spacing w:line="480" w:lineRule="auto"/>
        <w:rPr>
          <w:rFonts w:asciiTheme="minorBidi" w:hAnsiTheme="minorBidi"/>
          <w:b/>
          <w:bCs/>
        </w:rPr>
      </w:pPr>
      <w:r w:rsidRPr="003769C6">
        <w:rPr>
          <w:rFonts w:asciiTheme="minorBidi" w:hAnsiTheme="minorBidi"/>
          <w:b/>
          <w:bCs/>
        </w:rPr>
        <w:t>Appendix 2: Antibiotic Susceptibility and D Tests for 196 invasive GBS bacteraemia isolates</w:t>
      </w:r>
    </w:p>
    <w:tbl>
      <w:tblPr>
        <w:tblW w:w="10118" w:type="dxa"/>
        <w:tblInd w:w="-815" w:type="dxa"/>
        <w:tblLook w:val="04A0" w:firstRow="1" w:lastRow="0" w:firstColumn="1" w:lastColumn="0" w:noHBand="0" w:noVBand="1"/>
      </w:tblPr>
      <w:tblGrid>
        <w:gridCol w:w="1504"/>
        <w:gridCol w:w="1281"/>
        <w:gridCol w:w="1260"/>
        <w:gridCol w:w="1306"/>
        <w:gridCol w:w="1417"/>
        <w:gridCol w:w="3373"/>
      </w:tblGrid>
      <w:tr w:rsidR="00E12281" w:rsidRPr="000D4210" w14:paraId="73EB9283" w14:textId="77777777" w:rsidTr="00382596">
        <w:trPr>
          <w:trHeight w:val="539"/>
        </w:trPr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B56CAC6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bookmarkStart w:id="1" w:name="RANGE!N6"/>
            <w:bookmarkStart w:id="2" w:name="_Hlk103666205" w:colFirst="1" w:colLast="5"/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Antimicrobials N and %</w:t>
            </w:r>
            <w:bookmarkEnd w:id="1"/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ADB2B9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Penicillin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AE1DCC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Ceftriaxone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BA1CF6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Vancomycin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5DAF6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Erythromycin </w:t>
            </w:r>
          </w:p>
        </w:tc>
        <w:tc>
          <w:tcPr>
            <w:tcW w:w="3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E0827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Clindamycin </w:t>
            </w:r>
          </w:p>
        </w:tc>
      </w:tr>
      <w:tr w:rsidR="00E12281" w:rsidRPr="000D4210" w14:paraId="22776713" w14:textId="77777777" w:rsidTr="00382596">
        <w:trPr>
          <w:trHeight w:val="174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09D55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09588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5391A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9C8B36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57E9F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2751BB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E12281" w:rsidRPr="000D4210" w14:paraId="78150BD5" w14:textId="77777777" w:rsidTr="00382596">
        <w:trPr>
          <w:trHeight w:val="174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A0C5B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Susceptible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8F1B3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196(100%)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D366C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196(100 %)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D9144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 (100 %)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ADB36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100 (51 %) 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F863AE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140(71.4%)</w:t>
            </w:r>
          </w:p>
        </w:tc>
      </w:tr>
      <w:tr w:rsidR="00E12281" w:rsidRPr="000D4210" w14:paraId="319A56DB" w14:textId="77777777" w:rsidTr="00382596">
        <w:trPr>
          <w:trHeight w:val="174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3F3DF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Resistant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F97D7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0E72D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17B8C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D674C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96 (49 %) 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60CCB7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56(28.6%)</w:t>
            </w:r>
          </w:p>
        </w:tc>
      </w:tr>
      <w:tr w:rsidR="00E12281" w:rsidRPr="000D4210" w14:paraId="7E9332E5" w14:textId="77777777" w:rsidTr="00382596">
        <w:trPr>
          <w:trHeight w:val="174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2E940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Total Isolates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AFFFC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B482D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CDA2F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B363D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FC6A9F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196  </w:t>
            </w:r>
          </w:p>
        </w:tc>
      </w:tr>
      <w:tr w:rsidR="00E12281" w:rsidRPr="000D4210" w14:paraId="1CD2B0D7" w14:textId="77777777" w:rsidTr="00382596">
        <w:trPr>
          <w:trHeight w:val="261"/>
        </w:trPr>
        <w:tc>
          <w:tcPr>
            <w:tcW w:w="15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1472ED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*Positive D test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9D220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33 Isolates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0258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9D950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2A8C0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00D405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Overall, 16.8 % (33/196)</w:t>
            </w:r>
          </w:p>
        </w:tc>
      </w:tr>
      <w:tr w:rsidR="00E12281" w:rsidRPr="000D4210" w14:paraId="018AE095" w14:textId="77777777" w:rsidTr="00382596">
        <w:trPr>
          <w:trHeight w:val="374"/>
        </w:trPr>
        <w:tc>
          <w:tcPr>
            <w:tcW w:w="15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D6E698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5941CB" w14:textId="77777777" w:rsidR="00E12281" w:rsidRPr="000D4210" w:rsidRDefault="00E12281" w:rsidP="00382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3DC3CB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8CFB51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23195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851531" w14:textId="77777777" w:rsidR="00E12281" w:rsidRPr="000D4210" w:rsidRDefault="00E12281" w:rsidP="00382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D4210">
              <w:rPr>
                <w:rFonts w:ascii="Calibri" w:eastAsia="Times New Roman" w:hAnsi="Calibri" w:cs="Calibri"/>
                <w:color w:val="000000"/>
                <w:lang w:val="en-US"/>
              </w:rPr>
              <w:t xml:space="preserve">23.6 % of phenotypic Clindamycin susceptible isolates (33/140)  </w:t>
            </w:r>
          </w:p>
        </w:tc>
      </w:tr>
      <w:bookmarkEnd w:id="2"/>
    </w:tbl>
    <w:p w14:paraId="47D65745" w14:textId="77777777" w:rsidR="00E12281" w:rsidRDefault="00E12281" w:rsidP="00E12281">
      <w:pPr>
        <w:spacing w:line="480" w:lineRule="auto"/>
        <w:rPr>
          <w:rFonts w:asciiTheme="minorBidi" w:hAnsiTheme="minorBidi"/>
          <w:sz w:val="24"/>
          <w:szCs w:val="24"/>
        </w:rPr>
      </w:pPr>
    </w:p>
    <w:p w14:paraId="04DED32E" w14:textId="77777777" w:rsidR="00E12281" w:rsidRPr="006D02EF" w:rsidRDefault="00E12281" w:rsidP="00E12281">
      <w:pPr>
        <w:spacing w:line="480" w:lineRule="auto"/>
        <w:rPr>
          <w:rFonts w:asciiTheme="minorBidi" w:hAnsiTheme="minorBidi"/>
          <w:sz w:val="24"/>
          <w:szCs w:val="24"/>
        </w:rPr>
      </w:pPr>
      <w:r w:rsidRPr="006D02EF">
        <w:rPr>
          <w:rFonts w:asciiTheme="minorBidi" w:hAnsiTheme="minorBidi"/>
          <w:sz w:val="24"/>
          <w:szCs w:val="24"/>
        </w:rPr>
        <w:t>*For erythromycin -clindamycin discordant isolates to detect clindamycin inducible resistance</w:t>
      </w:r>
    </w:p>
    <w:p w14:paraId="735833DF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19CAD9A4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160C2426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AD388CA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5033960F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6108DD8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241E93DA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441AD9C0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5520867F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5BD4979E" w14:textId="77777777" w:rsidR="00E12281" w:rsidRDefault="00E12281" w:rsidP="00E12281">
      <w:pPr>
        <w:spacing w:line="480" w:lineRule="auto"/>
        <w:rPr>
          <w:rFonts w:asciiTheme="minorBidi" w:hAnsiTheme="minorBidi"/>
          <w:b/>
          <w:bCs/>
          <w:sz w:val="24"/>
          <w:szCs w:val="24"/>
        </w:rPr>
      </w:pPr>
    </w:p>
    <w:p w14:paraId="64DD8F0C" w14:textId="46B95BE6" w:rsidR="00AB317C" w:rsidRPr="00E12281" w:rsidRDefault="00AB317C"/>
    <w:sectPr w:rsidR="00AB317C" w:rsidRPr="00E122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81"/>
    <w:rsid w:val="003769C6"/>
    <w:rsid w:val="00665D13"/>
    <w:rsid w:val="00926F94"/>
    <w:rsid w:val="00AB317C"/>
    <w:rsid w:val="00AF16EF"/>
    <w:rsid w:val="00E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B38D7"/>
  <w15:chartTrackingRefBased/>
  <w15:docId w15:val="{C7BC9B55-9427-4374-BA67-805C7EF3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122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12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MAISA MOHAMED BASHIR ALI</dc:creator>
  <cp:keywords/>
  <dc:description/>
  <cp:lastModifiedBy>MAISA MOHAMED BASHIR ALI</cp:lastModifiedBy>
  <cp:revision>2</cp:revision>
  <dcterms:created xsi:type="dcterms:W3CDTF">2022-05-24T06:04:00Z</dcterms:created>
  <dcterms:modified xsi:type="dcterms:W3CDTF">2022-08-11T10:17:00Z</dcterms:modified>
</cp:coreProperties>
</file>