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A3874" w14:textId="77777777" w:rsidR="00B61620" w:rsidRPr="005C4E67" w:rsidRDefault="00B61620" w:rsidP="00B61620">
      <w:pPr>
        <w:spacing w:line="240" w:lineRule="auto"/>
        <w:jc w:val="left"/>
        <w:rPr>
          <w:rFonts w:cstheme="minorHAnsi"/>
          <w:b/>
          <w:bCs/>
          <w:sz w:val="22"/>
        </w:rPr>
      </w:pPr>
    </w:p>
    <w:p w14:paraId="23CFE10E" w14:textId="1A62D7F6" w:rsidR="008E7644" w:rsidRPr="003C76DC" w:rsidRDefault="00DC5682" w:rsidP="008E7644">
      <w:pPr>
        <w:rPr>
          <w:b/>
          <w:bCs/>
        </w:rPr>
      </w:pPr>
      <w:r>
        <w:rPr>
          <w:b/>
          <w:bCs/>
        </w:rPr>
        <w:t>Additional file</w:t>
      </w:r>
      <w:r w:rsidR="008E7644" w:rsidRPr="003C76DC">
        <w:rPr>
          <w:b/>
          <w:bCs/>
        </w:rPr>
        <w:t xml:space="preserve"> 4</w:t>
      </w:r>
      <w:r w:rsidR="008E7644">
        <w:rPr>
          <w:b/>
          <w:bCs/>
        </w:rPr>
        <w:t>: Examining Bias Based on Respondent Characteristics</w:t>
      </w:r>
    </w:p>
    <w:p w14:paraId="464F526C" w14:textId="16AAAE39" w:rsidR="00DD59B7" w:rsidRDefault="008E7644" w:rsidP="00B61620">
      <w:pPr>
        <w:rPr>
          <w:rFonts w:cstheme="minorHAnsi"/>
          <w:szCs w:val="24"/>
        </w:rPr>
      </w:pPr>
      <w:r w:rsidRPr="005C4E67">
        <w:rPr>
          <w:rFonts w:cstheme="minorHAnsi"/>
          <w:szCs w:val="24"/>
        </w:rPr>
        <w:t>To examine potential bias</w:t>
      </w:r>
      <w:r>
        <w:rPr>
          <w:rFonts w:cstheme="minorHAnsi"/>
          <w:szCs w:val="24"/>
        </w:rPr>
        <w:t xml:space="preserve"> in respondent perceptions</w:t>
      </w:r>
      <w:r w:rsidRPr="005C4E67">
        <w:rPr>
          <w:rFonts w:cstheme="minorHAnsi"/>
          <w:szCs w:val="24"/>
        </w:rPr>
        <w:t xml:space="preserve">, consider ratio of reported COVID-19 </w:t>
      </w:r>
      <w:r>
        <w:rPr>
          <w:rFonts w:cstheme="minorHAnsi"/>
          <w:szCs w:val="24"/>
        </w:rPr>
        <w:t xml:space="preserve">inoculation fatalities to COVID-19 </w:t>
      </w:r>
      <w:r w:rsidRPr="005C4E67">
        <w:rPr>
          <w:rFonts w:cstheme="minorHAnsi"/>
          <w:szCs w:val="24"/>
        </w:rPr>
        <w:t xml:space="preserve">illness fatalities for Democrats, Republicans and Independents which are 6/46, 32/58, and 18/61, respectively. Democrats report fewer COVID-19 inoculation fatalities than Republicans or Independents, suggesting politicization of the issue. </w:t>
      </w:r>
      <w:r>
        <w:rPr>
          <w:rFonts w:cstheme="minorHAnsi"/>
          <w:szCs w:val="24"/>
        </w:rPr>
        <w:t>E</w:t>
      </w:r>
      <w:r w:rsidRPr="005C4E67">
        <w:rPr>
          <w:rFonts w:cstheme="minorHAnsi"/>
          <w:szCs w:val="24"/>
        </w:rPr>
        <w:t xml:space="preserve">stimated nationwide fatalities </w:t>
      </w:r>
      <w:r>
        <w:rPr>
          <w:rFonts w:cstheme="minorHAnsi"/>
          <w:szCs w:val="24"/>
        </w:rPr>
        <w:t xml:space="preserve">are calculated </w:t>
      </w:r>
      <w:r w:rsidRPr="005C4E67">
        <w:rPr>
          <w:rFonts w:cstheme="minorHAnsi"/>
          <w:szCs w:val="24"/>
        </w:rPr>
        <w:t xml:space="preserve">with scenarios where Democrats, Republicans and Independents are presumed to offer </w:t>
      </w:r>
      <w:r>
        <w:rPr>
          <w:rFonts w:cstheme="minorHAnsi"/>
          <w:szCs w:val="24"/>
        </w:rPr>
        <w:t>more accurate reporting</w:t>
      </w:r>
      <w:r w:rsidRPr="005C4E67">
        <w:rPr>
          <w:rFonts w:cstheme="minorHAnsi"/>
          <w:szCs w:val="24"/>
        </w:rPr>
        <w:t xml:space="preserve"> by applying the ratio of COVID-19 inoculation fatalities to COVID-19 illness fatalities to nationwide COVID-19 illness fatalities of 839,992. </w:t>
      </w:r>
      <w:r>
        <w:rPr>
          <w:rFonts w:cstheme="minorHAnsi"/>
          <w:szCs w:val="24"/>
        </w:rPr>
        <w:t>E</w:t>
      </w:r>
      <w:r w:rsidRPr="005C4E67">
        <w:rPr>
          <w:rFonts w:cstheme="minorHAnsi"/>
          <w:szCs w:val="24"/>
        </w:rPr>
        <w:t>stimated fatalities</w:t>
      </w:r>
      <w:r>
        <w:rPr>
          <w:rFonts w:cstheme="minorHAnsi"/>
          <w:szCs w:val="24"/>
        </w:rPr>
        <w:t xml:space="preserve"> for Democrats</w:t>
      </w:r>
      <w:r w:rsidRPr="005C4E67">
        <w:rPr>
          <w:rFonts w:cstheme="minorHAnsi"/>
          <w:szCs w:val="24"/>
        </w:rPr>
        <w:t xml:space="preserve"> are</w:t>
      </w:r>
      <w:r>
        <w:rPr>
          <w:rFonts w:cstheme="minorHAnsi"/>
          <w:szCs w:val="24"/>
        </w:rPr>
        <w:t xml:space="preserve"> </w:t>
      </w:r>
      <w:r w:rsidRPr="005C4E67">
        <w:rPr>
          <w:rFonts w:cstheme="minorHAnsi"/>
          <w:szCs w:val="24"/>
        </w:rPr>
        <w:t xml:space="preserve">109,564. Republicans </w:t>
      </w:r>
      <w:r>
        <w:rPr>
          <w:rFonts w:cstheme="minorHAnsi"/>
          <w:szCs w:val="24"/>
        </w:rPr>
        <w:t xml:space="preserve">and Independents yield </w:t>
      </w:r>
      <w:r w:rsidRPr="005C4E67">
        <w:rPr>
          <w:rFonts w:cstheme="minorHAnsi"/>
          <w:szCs w:val="24"/>
        </w:rPr>
        <w:t xml:space="preserve">estimated fatalities </w:t>
      </w:r>
      <w:r>
        <w:rPr>
          <w:rFonts w:cstheme="minorHAnsi"/>
          <w:szCs w:val="24"/>
        </w:rPr>
        <w:t>of</w:t>
      </w:r>
      <w:r w:rsidRPr="005C4E67">
        <w:rPr>
          <w:rFonts w:cstheme="minorHAnsi"/>
          <w:szCs w:val="24"/>
        </w:rPr>
        <w:t xml:space="preserve"> 463,444</w:t>
      </w:r>
      <w:r>
        <w:rPr>
          <w:rFonts w:cstheme="minorHAnsi"/>
          <w:szCs w:val="24"/>
        </w:rPr>
        <w:t xml:space="preserve"> and</w:t>
      </w:r>
      <w:r w:rsidRPr="005C4E67">
        <w:rPr>
          <w:rFonts w:cstheme="minorHAnsi"/>
          <w:szCs w:val="24"/>
        </w:rPr>
        <w:t xml:space="preserve"> 247,867</w:t>
      </w:r>
      <w:r>
        <w:rPr>
          <w:rFonts w:cstheme="minorHAnsi"/>
          <w:szCs w:val="24"/>
        </w:rPr>
        <w:t xml:space="preserve">, respectively. </w:t>
      </w:r>
      <w:r w:rsidRPr="005C4E67">
        <w:rPr>
          <w:rFonts w:cstheme="minorHAnsi"/>
          <w:szCs w:val="24"/>
        </w:rPr>
        <w:t>There may also be differences in perceptions by inoculation status.  A person who has been inoculated may be less inclined to observe</w:t>
      </w:r>
      <w:r>
        <w:rPr>
          <w:rFonts w:cstheme="minorHAnsi"/>
          <w:szCs w:val="24"/>
        </w:rPr>
        <w:t xml:space="preserve"> and </w:t>
      </w:r>
      <w:r w:rsidRPr="005C4E67">
        <w:rPr>
          <w:rFonts w:cstheme="minorHAnsi"/>
          <w:szCs w:val="24"/>
        </w:rPr>
        <w:t xml:space="preserve">acknowledge potential </w:t>
      </w:r>
      <w:r>
        <w:rPr>
          <w:rFonts w:cstheme="minorHAnsi"/>
          <w:szCs w:val="24"/>
        </w:rPr>
        <w:t>vaccine</w:t>
      </w:r>
      <w:r w:rsidRPr="005C4E67">
        <w:rPr>
          <w:rFonts w:cstheme="minorHAnsi"/>
          <w:szCs w:val="24"/>
        </w:rPr>
        <w:t xml:space="preserve">-induced injuries, whereas the uninoculated may be looking for potential harm; each person has an incentive to validate one’s decision.  To examine this type of bias, </w:t>
      </w:r>
      <w:r>
        <w:rPr>
          <w:rFonts w:cstheme="minorHAnsi"/>
          <w:szCs w:val="24"/>
        </w:rPr>
        <w:t>t</w:t>
      </w:r>
      <w:r w:rsidRPr="005C4E67">
        <w:rPr>
          <w:rFonts w:cstheme="minorHAnsi"/>
          <w:szCs w:val="24"/>
        </w:rPr>
        <w:t>he sample</w:t>
      </w:r>
      <w:r>
        <w:rPr>
          <w:rFonts w:cstheme="minorHAnsi"/>
          <w:szCs w:val="24"/>
        </w:rPr>
        <w:t xml:space="preserve"> is divided</w:t>
      </w:r>
      <w:r w:rsidRPr="005C4E67">
        <w:rPr>
          <w:rFonts w:cstheme="minorHAnsi"/>
          <w:szCs w:val="24"/>
        </w:rPr>
        <w:t xml:space="preserve"> by </w:t>
      </w:r>
      <w:r>
        <w:rPr>
          <w:rFonts w:cstheme="minorHAnsi"/>
          <w:szCs w:val="24"/>
        </w:rPr>
        <w:t>vaccination</w:t>
      </w:r>
      <w:r w:rsidRPr="005C4E67">
        <w:rPr>
          <w:rFonts w:cstheme="minorHAnsi"/>
          <w:szCs w:val="24"/>
        </w:rPr>
        <w:t xml:space="preserve"> status:  The inoculated ratio of COVID-19 inoculation fatalities to COVID-19 illness fatalities is 14/106 and the </w:t>
      </w:r>
      <w:r>
        <w:rPr>
          <w:rFonts w:cstheme="minorHAnsi"/>
          <w:szCs w:val="24"/>
        </w:rPr>
        <w:t>unvaccinated</w:t>
      </w:r>
      <w:r w:rsidRPr="005C4E67">
        <w:rPr>
          <w:rFonts w:cstheme="minorHAnsi"/>
          <w:szCs w:val="24"/>
        </w:rPr>
        <w:t xml:space="preserve"> reported </w:t>
      </w:r>
      <w:r>
        <w:rPr>
          <w:rFonts w:cstheme="minorHAnsi"/>
          <w:szCs w:val="24"/>
        </w:rPr>
        <w:t xml:space="preserve">ratio is </w:t>
      </w:r>
      <w:r w:rsidRPr="005C4E67">
        <w:rPr>
          <w:rFonts w:cstheme="minorHAnsi"/>
          <w:szCs w:val="24"/>
        </w:rPr>
        <w:t xml:space="preserve">44/56.  </w:t>
      </w:r>
      <w:r>
        <w:rPr>
          <w:rFonts w:cstheme="minorHAnsi"/>
          <w:szCs w:val="24"/>
        </w:rPr>
        <w:t>For the vaccinated group</w:t>
      </w:r>
      <w:r w:rsidRPr="005C4E67">
        <w:rPr>
          <w:rFonts w:cstheme="minorHAnsi"/>
          <w:szCs w:val="24"/>
        </w:rPr>
        <w:t xml:space="preserve">, there are </w:t>
      </w:r>
      <w:r>
        <w:rPr>
          <w:rFonts w:cstheme="minorHAnsi"/>
          <w:szCs w:val="24"/>
        </w:rPr>
        <w:t xml:space="preserve">an estimated </w:t>
      </w:r>
      <w:r w:rsidRPr="005C4E67">
        <w:rPr>
          <w:rFonts w:cstheme="minorHAnsi"/>
          <w:szCs w:val="24"/>
        </w:rPr>
        <w:t>110,942 fatalities, whereas with the un</w:t>
      </w:r>
      <w:r>
        <w:rPr>
          <w:rFonts w:cstheme="minorHAnsi"/>
          <w:szCs w:val="24"/>
        </w:rPr>
        <w:t>vaccinated group</w:t>
      </w:r>
      <w:r w:rsidRPr="005C4E67">
        <w:rPr>
          <w:rFonts w:cstheme="minorHAnsi"/>
          <w:szCs w:val="24"/>
        </w:rPr>
        <w:t xml:space="preserve"> there are 659,995 fatalities.</w:t>
      </w:r>
    </w:p>
    <w:p w14:paraId="2CEA6D97" w14:textId="0AC511BE" w:rsidR="00A37949" w:rsidRDefault="00A37949">
      <w:pPr>
        <w:spacing w:after="160" w:line="259" w:lineRule="auto"/>
        <w:jc w:val="left"/>
        <w:rPr>
          <w:rFonts w:cstheme="minorHAnsi"/>
          <w:szCs w:val="24"/>
        </w:rPr>
      </w:pPr>
    </w:p>
    <w:p w14:paraId="3A69D4FC" w14:textId="3D373A51" w:rsidR="009A00ED" w:rsidRPr="009A00ED" w:rsidRDefault="009A00ED" w:rsidP="00B61620">
      <w:pPr>
        <w:rPr>
          <w:rFonts w:cstheme="minorHAnsi"/>
          <w:szCs w:val="24"/>
        </w:rPr>
      </w:pPr>
    </w:p>
    <w:sectPr w:rsidR="009A00ED" w:rsidRPr="009A0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B4AF6"/>
    <w:multiLevelType w:val="hybridMultilevel"/>
    <w:tmpl w:val="2B9A215A"/>
    <w:lvl w:ilvl="0" w:tplc="04090001">
      <w:start w:val="1"/>
      <w:numFmt w:val="bullet"/>
      <w:lvlText w:val=""/>
      <w:lvlJc w:val="left"/>
      <w:pPr>
        <w:ind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A0BF6"/>
    <w:multiLevelType w:val="multilevel"/>
    <w:tmpl w:val="0409001D"/>
    <w:numStyleLink w:val="Singlepunch"/>
  </w:abstractNum>
  <w:abstractNum w:abstractNumId="2" w15:restartNumberingAfterBreak="0">
    <w:nsid w:val="0F364D78"/>
    <w:multiLevelType w:val="multilevel"/>
    <w:tmpl w:val="8062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374FCB"/>
    <w:multiLevelType w:val="hybridMultilevel"/>
    <w:tmpl w:val="1144C0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8E1CE2"/>
    <w:multiLevelType w:val="multilevel"/>
    <w:tmpl w:val="0409001D"/>
    <w:numStyleLink w:val="Multipunch"/>
  </w:abstractNum>
  <w:abstractNum w:abstractNumId="5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207972"/>
    <w:multiLevelType w:val="multilevel"/>
    <w:tmpl w:val="D5D85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A407FE"/>
    <w:multiLevelType w:val="hybridMultilevel"/>
    <w:tmpl w:val="B6BCF8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3E0FCE"/>
    <w:multiLevelType w:val="hybridMultilevel"/>
    <w:tmpl w:val="1382E8C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E47E6A"/>
    <w:multiLevelType w:val="hybridMultilevel"/>
    <w:tmpl w:val="1ED072D6"/>
    <w:lvl w:ilvl="0" w:tplc="426EEE92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A57569"/>
    <w:multiLevelType w:val="multilevel"/>
    <w:tmpl w:val="121E5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DFC5809"/>
    <w:multiLevelType w:val="hybridMultilevel"/>
    <w:tmpl w:val="F3F6C7F6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E8A2624"/>
    <w:multiLevelType w:val="multilevel"/>
    <w:tmpl w:val="D60AC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C921AA"/>
    <w:multiLevelType w:val="multilevel"/>
    <w:tmpl w:val="6A885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0"/>
  </w:num>
  <w:num w:numId="5">
    <w:abstractNumId w:val="12"/>
  </w:num>
  <w:num w:numId="6">
    <w:abstractNumId w:val="5"/>
  </w:num>
  <w:num w:numId="7">
    <w:abstractNumId w:val="4"/>
  </w:num>
  <w:num w:numId="8">
    <w:abstractNumId w:val="11"/>
  </w:num>
  <w:num w:numId="9">
    <w:abstractNumId w:val="1"/>
  </w:num>
  <w:num w:numId="10">
    <w:abstractNumId w:val="2"/>
  </w:num>
  <w:num w:numId="11">
    <w:abstractNumId w:val="10"/>
  </w:num>
  <w:num w:numId="12">
    <w:abstractNumId w:val="13"/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620"/>
    <w:rsid w:val="00141395"/>
    <w:rsid w:val="0019510D"/>
    <w:rsid w:val="007368F7"/>
    <w:rsid w:val="00827B5F"/>
    <w:rsid w:val="008E7644"/>
    <w:rsid w:val="009A00ED"/>
    <w:rsid w:val="00A37949"/>
    <w:rsid w:val="00B61620"/>
    <w:rsid w:val="00C212BA"/>
    <w:rsid w:val="00D07511"/>
    <w:rsid w:val="00DC5682"/>
    <w:rsid w:val="00DD59B7"/>
    <w:rsid w:val="00EE717A"/>
    <w:rsid w:val="00FD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1709D"/>
  <w15:chartTrackingRefBased/>
  <w15:docId w15:val="{C2ABEC9E-D4F1-42A4-835C-FE01B2859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620"/>
    <w:pPr>
      <w:spacing w:after="0" w:line="480" w:lineRule="auto"/>
      <w:jc w:val="both"/>
    </w:pPr>
    <w:rPr>
      <w:rFonts w:eastAsia="SimSun"/>
      <w:sz w:val="24"/>
    </w:rPr>
  </w:style>
  <w:style w:type="paragraph" w:styleId="Heading1">
    <w:name w:val="heading 1"/>
    <w:basedOn w:val="Normal"/>
    <w:link w:val="Heading1Char"/>
    <w:uiPriority w:val="9"/>
    <w:qFormat/>
    <w:rsid w:val="00B61620"/>
    <w:pPr>
      <w:jc w:val="left"/>
      <w:outlineLvl w:val="0"/>
    </w:pPr>
    <w:rPr>
      <w:rFonts w:eastAsia="Times New Roman" w:cs="Times New Roman"/>
      <w:b/>
      <w:bCs/>
      <w:kern w:val="36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616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1620"/>
    <w:rPr>
      <w:rFonts w:eastAsia="Times New Roman" w:cs="Times New Roman"/>
      <w:b/>
      <w:bCs/>
      <w:kern w:val="36"/>
      <w:sz w:val="24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61620"/>
    <w:rPr>
      <w:rFonts w:asciiTheme="majorHAnsi" w:eastAsiaTheme="majorEastAsia" w:hAnsiTheme="majorHAnsi" w:cstheme="majorBidi"/>
      <w:i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B6162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162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B6162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61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B6162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1620"/>
    <w:rPr>
      <w:rFonts w:eastAsia="SimSun"/>
      <w:sz w:val="24"/>
    </w:rPr>
  </w:style>
  <w:style w:type="paragraph" w:styleId="Footer">
    <w:name w:val="footer"/>
    <w:basedOn w:val="Normal"/>
    <w:link w:val="FooterChar"/>
    <w:uiPriority w:val="99"/>
    <w:unhideWhenUsed/>
    <w:rsid w:val="00B6162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1620"/>
    <w:rPr>
      <w:rFonts w:eastAsia="SimSun"/>
      <w:sz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B61620"/>
    <w:rPr>
      <w:color w:val="954F72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61620"/>
    <w:rPr>
      <w:color w:val="808080"/>
    </w:rPr>
  </w:style>
  <w:style w:type="table" w:styleId="TableGrid">
    <w:name w:val="Table Grid"/>
    <w:basedOn w:val="TableNormal"/>
    <w:uiPriority w:val="39"/>
    <w:rsid w:val="00B61620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61620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61620"/>
    <w:rPr>
      <w:rFonts w:eastAsia="SimSun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B61620"/>
    <w:rPr>
      <w:vertAlign w:val="superscript"/>
    </w:rPr>
  </w:style>
  <w:style w:type="table" w:customStyle="1" w:styleId="QQuestionTable">
    <w:name w:val="QQuestionTable"/>
    <w:uiPriority w:val="99"/>
    <w:qFormat/>
    <w:rsid w:val="00B61620"/>
    <w:pPr>
      <w:spacing w:after="0" w:line="240" w:lineRule="auto"/>
      <w:jc w:val="center"/>
    </w:pPr>
    <w:rPr>
      <w:rFonts w:eastAsiaTheme="minorEastAsia"/>
      <w:sz w:val="20"/>
      <w:szCs w:val="20"/>
      <w:lang w:val="en-GB" w:eastAsia="zh-CN"/>
    </w:r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numbering" w:customStyle="1" w:styleId="Multipunch">
    <w:name w:val="Multi punch"/>
    <w:rsid w:val="00B61620"/>
    <w:pPr>
      <w:numPr>
        <w:numId w:val="6"/>
      </w:numPr>
    </w:pPr>
  </w:style>
  <w:style w:type="numbering" w:customStyle="1" w:styleId="Singlepunch">
    <w:name w:val="Single punch"/>
    <w:rsid w:val="00B61620"/>
    <w:pPr>
      <w:numPr>
        <w:numId w:val="8"/>
      </w:numPr>
    </w:pPr>
  </w:style>
  <w:style w:type="paragraph" w:customStyle="1" w:styleId="QSkipLogic">
    <w:name w:val="QSkipLogic"/>
    <w:basedOn w:val="Normal"/>
    <w:qFormat/>
    <w:rsid w:val="00B61620"/>
    <w:pPr>
      <w:shd w:val="clear" w:color="auto" w:fill="8D8D8D"/>
      <w:spacing w:before="120" w:after="120" w:line="240" w:lineRule="auto"/>
    </w:pPr>
    <w:rPr>
      <w:rFonts w:eastAsiaTheme="minorEastAsia"/>
      <w:i/>
      <w:color w:val="FFFFFF"/>
      <w:sz w:val="20"/>
    </w:rPr>
  </w:style>
  <w:style w:type="paragraph" w:customStyle="1" w:styleId="QuestionSeparator">
    <w:name w:val="QuestionSeparator"/>
    <w:basedOn w:val="Normal"/>
    <w:qFormat/>
    <w:rsid w:val="00B61620"/>
    <w:pPr>
      <w:pBdr>
        <w:top w:val="dashed" w:sz="8" w:space="0" w:color="CCCCCC"/>
      </w:pBdr>
      <w:spacing w:before="120" w:after="120" w:line="120" w:lineRule="auto"/>
    </w:pPr>
    <w:rPr>
      <w:rFonts w:eastAsiaTheme="minorEastAsia"/>
    </w:rPr>
  </w:style>
  <w:style w:type="paragraph" w:customStyle="1" w:styleId="TextEntryLine">
    <w:name w:val="TextEntryLine"/>
    <w:basedOn w:val="Normal"/>
    <w:qFormat/>
    <w:rsid w:val="00B61620"/>
    <w:pPr>
      <w:spacing w:before="240" w:line="240" w:lineRule="auto"/>
    </w:pPr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616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16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1620"/>
    <w:rPr>
      <w:rFonts w:eastAsia="SimSu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16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1620"/>
    <w:rPr>
      <w:rFonts w:eastAsia="SimSun"/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61620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61620"/>
    <w:rPr>
      <w:rFonts w:eastAsia="SimSu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61620"/>
    <w:rPr>
      <w:vertAlign w:val="superscript"/>
    </w:rPr>
  </w:style>
  <w:style w:type="character" w:customStyle="1" w:styleId="moz-txt-citetags">
    <w:name w:val="moz-txt-citetags"/>
    <w:basedOn w:val="DefaultParagraphFont"/>
    <w:rsid w:val="00B61620"/>
  </w:style>
  <w:style w:type="paragraph" w:customStyle="1" w:styleId="pf0">
    <w:name w:val="pf0"/>
    <w:basedOn w:val="Normal"/>
    <w:rsid w:val="00B61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cf01">
    <w:name w:val="cf01"/>
    <w:basedOn w:val="DefaultParagraphFont"/>
    <w:rsid w:val="00B61620"/>
    <w:rPr>
      <w:rFonts w:ascii="Segoe UI" w:hAnsi="Segoe UI" w:cs="Segoe UI" w:hint="default"/>
      <w:sz w:val="18"/>
      <w:szCs w:val="18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B61620"/>
    <w:pPr>
      <w:spacing w:line="240" w:lineRule="auto"/>
    </w:pPr>
    <w:rPr>
      <w:rFonts w:ascii="Calibri" w:eastAsiaTheme="minorHAns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61620"/>
    <w:rPr>
      <w:rFonts w:ascii="Calibri" w:hAnsi="Calibri"/>
      <w:sz w:val="24"/>
      <w:szCs w:val="21"/>
    </w:rPr>
  </w:style>
  <w:style w:type="paragraph" w:styleId="Revision">
    <w:name w:val="Revision"/>
    <w:hidden/>
    <w:uiPriority w:val="99"/>
    <w:semiHidden/>
    <w:rsid w:val="00B61620"/>
    <w:pPr>
      <w:spacing w:after="0" w:line="240" w:lineRule="auto"/>
    </w:pPr>
    <w:rPr>
      <w:rFonts w:eastAsia="SimSu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620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620"/>
    <w:rPr>
      <w:rFonts w:ascii="Times New Roman" w:eastAsia="SimSun" w:hAnsi="Times New Roman" w:cs="Times New Roman"/>
      <w:sz w:val="18"/>
      <w:szCs w:val="18"/>
    </w:rPr>
  </w:style>
  <w:style w:type="character" w:customStyle="1" w:styleId="docsum-pmid">
    <w:name w:val="docsum-pmid"/>
    <w:basedOn w:val="DefaultParagraphFont"/>
    <w:rsid w:val="00B61620"/>
  </w:style>
  <w:style w:type="paragraph" w:customStyle="1" w:styleId="nova-legacy-e-listitem">
    <w:name w:val="nova-legacy-e-list__item"/>
    <w:basedOn w:val="Normal"/>
    <w:rsid w:val="00B6162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Skidmore, Mark</dc:creator>
  <cp:keywords/>
  <dc:description/>
  <cp:lastModifiedBy>Jini Mol</cp:lastModifiedBy>
  <cp:revision>14</cp:revision>
  <dcterms:created xsi:type="dcterms:W3CDTF">2022-06-20T10:56:00Z</dcterms:created>
  <dcterms:modified xsi:type="dcterms:W3CDTF">2023-01-12T18:50:00Z</dcterms:modified>
</cp:coreProperties>
</file>