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F9A85" w14:textId="77777777" w:rsidR="00E13373" w:rsidRDefault="00E13373" w:rsidP="00E13373">
      <w:pPr>
        <w:pStyle w:val="Heading1"/>
        <w:jc w:val="center"/>
      </w:pPr>
      <w:r>
        <w:rPr>
          <w:rFonts w:eastAsia="Times New Roman"/>
          <w:lang w:eastAsia="nl-NL"/>
        </w:rPr>
        <w:t>Supplementary Material</w:t>
      </w:r>
    </w:p>
    <w:p w14:paraId="3297BE94" w14:textId="77777777" w:rsidR="00E13373" w:rsidRDefault="00E13373" w:rsidP="00E13373">
      <w:pPr>
        <w:spacing w:after="0" w:line="480" w:lineRule="auto"/>
        <w:jc w:val="center"/>
        <w:rPr>
          <w:rFonts w:eastAsia="Times New Roman" w:cs="Times New Roman"/>
          <w:lang w:eastAsia="nl-NL"/>
        </w:rPr>
      </w:pPr>
    </w:p>
    <w:p w14:paraId="28C28B4C" w14:textId="77777777" w:rsidR="00CA2BF4" w:rsidRDefault="00CA2BF4" w:rsidP="00CA2BF4">
      <w:pPr>
        <w:tabs>
          <w:tab w:val="left" w:pos="567"/>
        </w:tabs>
        <w:spacing w:after="0" w:line="480" w:lineRule="auto"/>
        <w:jc w:val="center"/>
        <w:rPr>
          <w:rFonts w:eastAsia="Times New Roman" w:cs="Times New Roman"/>
          <w:b/>
          <w:color w:val="333333"/>
          <w:lang w:eastAsia="en-GB"/>
        </w:rPr>
      </w:pPr>
      <w:bookmarkStart w:id="0" w:name="_Hlk100615358"/>
      <w:r w:rsidRPr="00CA2BF4">
        <w:rPr>
          <w:rFonts w:eastAsia="Times New Roman" w:cs="Times New Roman"/>
          <w:b/>
          <w:color w:val="333333"/>
          <w:lang w:eastAsia="en-GB"/>
        </w:rPr>
        <w:t>Human T-cell lymphotropic virus type 1 (HTLV-1) proposed vaccines: A systematic review of preclinical and clinical studies.</w:t>
      </w:r>
    </w:p>
    <w:p w14:paraId="2977A5D5" w14:textId="222CB904" w:rsidR="00E13373" w:rsidRDefault="00E13373" w:rsidP="00E13373">
      <w:pPr>
        <w:tabs>
          <w:tab w:val="left" w:pos="567"/>
        </w:tabs>
        <w:spacing w:after="0" w:line="480" w:lineRule="auto"/>
        <w:rPr>
          <w:rFonts w:eastAsia="Times New Roman" w:cs="Times New Roman"/>
          <w:b/>
          <w:bCs/>
          <w:spacing w:val="1"/>
          <w:lang w:eastAsia="nl-NL"/>
        </w:rPr>
      </w:pPr>
      <w:r>
        <w:rPr>
          <w:rFonts w:eastAsia="Times New Roman" w:cs="Times New Roman"/>
          <w:b/>
          <w:bCs/>
          <w:spacing w:val="1"/>
          <w:lang w:eastAsia="nl-NL"/>
        </w:rPr>
        <w:t>Supplementary Table 1</w:t>
      </w:r>
      <w:r>
        <w:rPr>
          <w:rFonts w:eastAsia="Times New Roman" w:cs="Times New Roman"/>
          <w:b/>
          <w:spacing w:val="1"/>
          <w:lang w:eastAsia="nl-NL"/>
        </w:rPr>
        <w:t>.</w:t>
      </w:r>
      <w:r>
        <w:rPr>
          <w:rFonts w:eastAsia="Times New Roman" w:cs="Times New Roman"/>
          <w:spacing w:val="1"/>
          <w:lang w:eastAsia="nl-NL"/>
        </w:rPr>
        <w:t xml:space="preserve"> PRISMA 2020 checklist</w:t>
      </w:r>
    </w:p>
    <w:p w14:paraId="6E219A58" w14:textId="77777777" w:rsidR="00E13373" w:rsidRDefault="00E13373" w:rsidP="00E13373">
      <w:pPr>
        <w:tabs>
          <w:tab w:val="left" w:pos="567"/>
        </w:tabs>
        <w:spacing w:after="0" w:line="480" w:lineRule="auto"/>
        <w:rPr>
          <w:rFonts w:eastAsia="Times New Roman" w:cs="Times New Roman"/>
          <w:spacing w:val="1"/>
          <w:lang w:eastAsia="nl-NL"/>
        </w:rPr>
      </w:pPr>
      <w:r>
        <w:rPr>
          <w:rFonts w:eastAsia="Times New Roman" w:cs="Times New Roman"/>
          <w:b/>
          <w:bCs/>
          <w:spacing w:val="1"/>
          <w:lang w:eastAsia="nl-NL"/>
        </w:rPr>
        <w:t>Supplementary Table 2</w:t>
      </w:r>
      <w:r>
        <w:rPr>
          <w:rFonts w:eastAsia="Times New Roman" w:cs="Times New Roman"/>
          <w:b/>
          <w:spacing w:val="1"/>
          <w:lang w:eastAsia="nl-NL"/>
        </w:rPr>
        <w:t>.</w:t>
      </w:r>
      <w:r>
        <w:rPr>
          <w:rFonts w:eastAsia="Times New Roman" w:cs="Times New Roman"/>
          <w:spacing w:val="1"/>
          <w:lang w:eastAsia="nl-NL"/>
        </w:rPr>
        <w:t xml:space="preserve"> Search strategies for online databases</w:t>
      </w:r>
    </w:p>
    <w:p w14:paraId="1A2B1B21" w14:textId="1E00D1AA" w:rsidR="00E13373" w:rsidRDefault="00E13373" w:rsidP="00E13373">
      <w:pPr>
        <w:tabs>
          <w:tab w:val="left" w:pos="567"/>
        </w:tabs>
        <w:spacing w:after="0" w:line="480" w:lineRule="auto"/>
        <w:rPr>
          <w:rFonts w:eastAsia="Times New Roman" w:cs="Times New Roman"/>
          <w:spacing w:val="1"/>
          <w:lang w:eastAsia="nl-NL"/>
        </w:rPr>
      </w:pPr>
      <w:r>
        <w:rPr>
          <w:rFonts w:eastAsia="Times New Roman" w:cs="Times New Roman"/>
          <w:b/>
          <w:bCs/>
          <w:spacing w:val="1"/>
          <w:lang w:eastAsia="nl-NL"/>
        </w:rPr>
        <w:t>Supplementary Table 3</w:t>
      </w:r>
      <w:r>
        <w:rPr>
          <w:rFonts w:eastAsia="Times New Roman" w:cs="Times New Roman"/>
          <w:b/>
          <w:spacing w:val="1"/>
          <w:lang w:eastAsia="nl-NL"/>
        </w:rPr>
        <w:t xml:space="preserve">. </w:t>
      </w:r>
      <w:r>
        <w:rPr>
          <w:rFonts w:cs="Times New Roman"/>
        </w:rPr>
        <w:t>Full characteristics of the included studies.</w:t>
      </w:r>
    </w:p>
    <w:bookmarkEnd w:id="0"/>
    <w:p w14:paraId="6BE4AF3B" w14:textId="77777777" w:rsidR="00E13373" w:rsidRDefault="00E13373" w:rsidP="00E13373">
      <w:pPr>
        <w:shd w:val="clear" w:color="auto" w:fill="FFFFFF"/>
        <w:tabs>
          <w:tab w:val="left" w:pos="567"/>
        </w:tabs>
        <w:spacing w:after="0" w:line="480" w:lineRule="auto"/>
        <w:rPr>
          <w:rFonts w:eastAsia="Times New Roman" w:cs="Times New Roman"/>
          <w:lang w:eastAsia="nl-NL"/>
        </w:rPr>
      </w:pPr>
    </w:p>
    <w:p w14:paraId="3F23688A" w14:textId="77777777" w:rsidR="00E13373" w:rsidRDefault="00E13373" w:rsidP="00E13373">
      <w:pPr>
        <w:shd w:val="clear" w:color="auto" w:fill="FFFFFF"/>
        <w:tabs>
          <w:tab w:val="left" w:pos="567"/>
        </w:tabs>
        <w:spacing w:after="0" w:line="480" w:lineRule="auto"/>
        <w:rPr>
          <w:rFonts w:eastAsia="Times New Roman" w:cs="Times New Roman"/>
          <w:lang w:eastAsia="nl-NL"/>
        </w:rPr>
      </w:pPr>
    </w:p>
    <w:p w14:paraId="4C6E4495" w14:textId="77777777" w:rsidR="00E13373" w:rsidRDefault="00E13373" w:rsidP="00E13373">
      <w:pPr>
        <w:shd w:val="clear" w:color="auto" w:fill="FFFFFF"/>
        <w:tabs>
          <w:tab w:val="left" w:pos="567"/>
        </w:tabs>
        <w:spacing w:after="0" w:line="480" w:lineRule="auto"/>
        <w:rPr>
          <w:rFonts w:eastAsia="Times New Roman" w:cs="Times New Roman"/>
          <w:lang w:eastAsia="nl-NL"/>
        </w:rPr>
      </w:pPr>
    </w:p>
    <w:p w14:paraId="3D49E8C9" w14:textId="77777777" w:rsidR="00E13373" w:rsidRDefault="00E13373" w:rsidP="00E13373">
      <w:pPr>
        <w:shd w:val="clear" w:color="auto" w:fill="FFFFFF"/>
        <w:tabs>
          <w:tab w:val="left" w:pos="567"/>
        </w:tabs>
        <w:spacing w:after="0" w:line="480" w:lineRule="auto"/>
        <w:rPr>
          <w:rFonts w:eastAsia="Times New Roman" w:cs="Times New Roman"/>
          <w:lang w:eastAsia="nl-NL"/>
        </w:rPr>
      </w:pPr>
    </w:p>
    <w:p w14:paraId="57744CFF" w14:textId="77777777" w:rsidR="00E13373" w:rsidRDefault="00E13373" w:rsidP="00E13373">
      <w:pPr>
        <w:shd w:val="clear" w:color="auto" w:fill="FFFFFF"/>
        <w:tabs>
          <w:tab w:val="left" w:pos="567"/>
        </w:tabs>
        <w:spacing w:after="0" w:line="480" w:lineRule="auto"/>
        <w:rPr>
          <w:rFonts w:eastAsia="Times New Roman" w:cs="Times New Roman"/>
          <w:lang w:eastAsia="nl-NL"/>
        </w:rPr>
      </w:pPr>
    </w:p>
    <w:p w14:paraId="23BAB4A5" w14:textId="77777777" w:rsidR="00E13373" w:rsidRDefault="00E13373" w:rsidP="00E13373">
      <w:pPr>
        <w:shd w:val="clear" w:color="auto" w:fill="FFFFFF"/>
        <w:tabs>
          <w:tab w:val="left" w:pos="567"/>
        </w:tabs>
        <w:spacing w:after="0" w:line="480" w:lineRule="auto"/>
        <w:rPr>
          <w:rFonts w:eastAsia="Times New Roman" w:cs="Times New Roman"/>
          <w:lang w:eastAsia="nl-NL"/>
        </w:rPr>
      </w:pPr>
    </w:p>
    <w:p w14:paraId="583263CC" w14:textId="77777777" w:rsidR="006374D2" w:rsidRDefault="006374D2" w:rsidP="006374D2">
      <w:pPr>
        <w:shd w:val="clear" w:color="auto" w:fill="FFFFFF"/>
        <w:tabs>
          <w:tab w:val="left" w:pos="567"/>
        </w:tabs>
        <w:spacing w:after="0" w:line="480" w:lineRule="auto"/>
        <w:rPr>
          <w:rFonts w:eastAsia="Times New Roman" w:cs="Times New Roman"/>
          <w:lang w:eastAsia="nl-NL"/>
        </w:rPr>
      </w:pPr>
    </w:p>
    <w:p w14:paraId="3E7F536B" w14:textId="77777777" w:rsidR="006374D2" w:rsidRDefault="006374D2" w:rsidP="006374D2">
      <w:pPr>
        <w:shd w:val="clear" w:color="auto" w:fill="FFFFFF"/>
        <w:tabs>
          <w:tab w:val="left" w:pos="567"/>
        </w:tabs>
        <w:spacing w:after="0" w:line="480" w:lineRule="auto"/>
        <w:rPr>
          <w:rFonts w:eastAsia="Times New Roman" w:cs="Times New Roman"/>
          <w:lang w:eastAsia="nl-NL"/>
        </w:rPr>
      </w:pPr>
    </w:p>
    <w:p w14:paraId="3F34A87C" w14:textId="77777777" w:rsidR="006374D2" w:rsidRDefault="006374D2" w:rsidP="006374D2">
      <w:pPr>
        <w:shd w:val="clear" w:color="auto" w:fill="FFFFFF"/>
        <w:tabs>
          <w:tab w:val="left" w:pos="567"/>
        </w:tabs>
        <w:spacing w:after="0" w:line="480" w:lineRule="auto"/>
        <w:rPr>
          <w:rFonts w:eastAsia="Times New Roman" w:cs="Times New Roman"/>
          <w:lang w:eastAsia="nl-NL"/>
        </w:rPr>
      </w:pPr>
    </w:p>
    <w:p w14:paraId="7902CBFC" w14:textId="77777777" w:rsidR="006374D2" w:rsidRDefault="006374D2" w:rsidP="006374D2">
      <w:pPr>
        <w:shd w:val="clear" w:color="auto" w:fill="FFFFFF"/>
        <w:tabs>
          <w:tab w:val="left" w:pos="567"/>
        </w:tabs>
        <w:spacing w:after="0" w:line="480" w:lineRule="auto"/>
        <w:rPr>
          <w:rFonts w:eastAsia="Times New Roman" w:cs="Times New Roman"/>
          <w:lang w:eastAsia="nl-NL"/>
        </w:rPr>
      </w:pPr>
    </w:p>
    <w:p w14:paraId="0EE1A2D0" w14:textId="77777777" w:rsidR="006374D2" w:rsidRDefault="006374D2" w:rsidP="006374D2">
      <w:pPr>
        <w:shd w:val="clear" w:color="auto" w:fill="FFFFFF"/>
        <w:tabs>
          <w:tab w:val="left" w:pos="567"/>
        </w:tabs>
        <w:spacing w:after="0" w:line="480" w:lineRule="auto"/>
        <w:rPr>
          <w:rFonts w:eastAsia="Times New Roman" w:cs="Times New Roman"/>
          <w:lang w:eastAsia="nl-NL"/>
        </w:rPr>
      </w:pPr>
    </w:p>
    <w:p w14:paraId="1E001023" w14:textId="77777777" w:rsidR="006374D2" w:rsidRDefault="006374D2" w:rsidP="006374D2">
      <w:pPr>
        <w:shd w:val="clear" w:color="auto" w:fill="FFFFFF"/>
        <w:tabs>
          <w:tab w:val="left" w:pos="567"/>
        </w:tabs>
        <w:spacing w:after="0" w:line="480" w:lineRule="auto"/>
        <w:rPr>
          <w:rFonts w:eastAsia="Times New Roman" w:cs="Times New Roman"/>
          <w:lang w:eastAsia="nl-NL"/>
        </w:rPr>
      </w:pPr>
    </w:p>
    <w:p w14:paraId="2541E4E3" w14:textId="77777777" w:rsidR="006374D2" w:rsidRDefault="006374D2" w:rsidP="006374D2">
      <w:pPr>
        <w:shd w:val="clear" w:color="auto" w:fill="FFFFFF"/>
        <w:tabs>
          <w:tab w:val="left" w:pos="567"/>
        </w:tabs>
        <w:spacing w:after="0" w:line="480" w:lineRule="auto"/>
        <w:rPr>
          <w:rFonts w:eastAsia="Times New Roman" w:cs="Times New Roman"/>
          <w:lang w:eastAsia="nl-NL"/>
        </w:rPr>
      </w:pPr>
    </w:p>
    <w:p w14:paraId="72163C96" w14:textId="77777777" w:rsidR="006374D2" w:rsidRDefault="006374D2" w:rsidP="006374D2">
      <w:pPr>
        <w:shd w:val="clear" w:color="auto" w:fill="FFFFFF"/>
        <w:tabs>
          <w:tab w:val="left" w:pos="567"/>
        </w:tabs>
        <w:spacing w:after="0" w:line="480" w:lineRule="auto"/>
        <w:rPr>
          <w:rFonts w:eastAsia="Times New Roman" w:cs="Times New Roman"/>
          <w:lang w:eastAsia="nl-NL"/>
        </w:rPr>
      </w:pPr>
    </w:p>
    <w:p w14:paraId="7CBFAE38" w14:textId="77777777" w:rsidR="006374D2" w:rsidRDefault="006374D2" w:rsidP="006374D2">
      <w:pPr>
        <w:shd w:val="clear" w:color="auto" w:fill="FFFFFF"/>
        <w:tabs>
          <w:tab w:val="left" w:pos="567"/>
        </w:tabs>
        <w:spacing w:after="0" w:line="480" w:lineRule="auto"/>
        <w:rPr>
          <w:rFonts w:eastAsia="Times New Roman" w:cs="Times New Roman"/>
          <w:lang w:eastAsia="nl-NL"/>
        </w:rPr>
      </w:pPr>
    </w:p>
    <w:p w14:paraId="39BD20BF" w14:textId="5A1F45A5" w:rsidR="00E13373" w:rsidRDefault="00E13373" w:rsidP="006374D2">
      <w:pPr>
        <w:shd w:val="clear" w:color="auto" w:fill="FFFFFF"/>
        <w:tabs>
          <w:tab w:val="left" w:pos="567"/>
        </w:tabs>
        <w:spacing w:after="0" w:line="480" w:lineRule="auto"/>
        <w:rPr>
          <w:rFonts w:eastAsia="Times New Roman" w:cs="Times New Roman"/>
          <w:spacing w:val="1"/>
          <w:lang w:eastAsia="nl-NL"/>
        </w:rPr>
        <w:sectPr w:rsidR="00E13373">
          <w:pgSz w:w="12240" w:h="15840"/>
          <w:pgMar w:top="720" w:right="720" w:bottom="720" w:left="720" w:header="720" w:footer="720" w:gutter="0"/>
          <w:cols w:space="720"/>
        </w:sectPr>
      </w:pPr>
      <w:r>
        <w:rPr>
          <w:rFonts w:eastAsia="Times New Roman" w:cs="Times New Roman"/>
          <w:lang w:eastAsia="nl-NL"/>
        </w:rPr>
        <w:t>This supplemental material has been provided by the authors to give readers additional information about their work.</w:t>
      </w:r>
    </w:p>
    <w:p w14:paraId="551A9DDF" w14:textId="26F067C3" w:rsidR="00E13373" w:rsidRPr="006C4C39" w:rsidRDefault="006C4C39" w:rsidP="006C4C39">
      <w:pPr>
        <w:tabs>
          <w:tab w:val="left" w:pos="567"/>
        </w:tabs>
        <w:spacing w:after="0" w:line="480" w:lineRule="auto"/>
        <w:rPr>
          <w:rFonts w:eastAsia="Times New Roman" w:cs="Times New Roman"/>
          <w:b/>
          <w:bCs/>
          <w:spacing w:val="1"/>
          <w:lang w:eastAsia="nl-NL"/>
        </w:rPr>
      </w:pPr>
      <w:r>
        <w:rPr>
          <w:rFonts w:eastAsia="Times New Roman" w:cs="Times New Roman"/>
          <w:b/>
          <w:bCs/>
          <w:spacing w:val="1"/>
          <w:lang w:eastAsia="nl-NL"/>
        </w:rPr>
        <w:lastRenderedPageBreak/>
        <w:t>Supplementary Table 1</w:t>
      </w:r>
      <w:r>
        <w:rPr>
          <w:rFonts w:eastAsia="Times New Roman" w:cs="Times New Roman"/>
          <w:b/>
          <w:spacing w:val="1"/>
          <w:lang w:eastAsia="nl-NL"/>
        </w:rPr>
        <w:t>.</w:t>
      </w:r>
      <w:r>
        <w:rPr>
          <w:rFonts w:eastAsia="Times New Roman" w:cs="Times New Roman"/>
          <w:spacing w:val="1"/>
          <w:lang w:eastAsia="nl-NL"/>
        </w:rPr>
        <w:t xml:space="preserve"> PRISMA 2020 checklist</w:t>
      </w:r>
    </w:p>
    <w:p w14:paraId="76B3F567" w14:textId="77777777" w:rsidR="00E13373" w:rsidRDefault="00E13373" w:rsidP="00A32585">
      <w:pPr>
        <w:spacing w:after="120" w:line="360" w:lineRule="auto"/>
        <w:jc w:val="center"/>
        <w:rPr>
          <w:rFonts w:ascii="Arial" w:hAnsi="Arial" w:cs="Arial"/>
          <w:b/>
          <w:sz w:val="20"/>
          <w:szCs w:val="20"/>
        </w:rPr>
      </w:pPr>
    </w:p>
    <w:tbl>
      <w:tblPr>
        <w:tblW w:w="5000" w:type="pct"/>
        <w:tblBorders>
          <w:top w:val="nil"/>
          <w:left w:val="nil"/>
          <w:bottom w:val="nil"/>
          <w:right w:val="nil"/>
        </w:tblBorders>
        <w:tblLook w:val="0000" w:firstRow="0" w:lastRow="0" w:firstColumn="0" w:lastColumn="0" w:noHBand="0" w:noVBand="0"/>
      </w:tblPr>
      <w:tblGrid>
        <w:gridCol w:w="1367"/>
        <w:gridCol w:w="587"/>
        <w:gridCol w:w="9637"/>
        <w:gridCol w:w="1357"/>
      </w:tblGrid>
      <w:tr w:rsidR="00E13373" w:rsidRPr="004C1685" w14:paraId="6791F969" w14:textId="77777777" w:rsidTr="00E13373">
        <w:trPr>
          <w:trHeight w:val="65"/>
          <w:tblHeader/>
        </w:trPr>
        <w:tc>
          <w:tcPr>
            <w:tcW w:w="547"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6D6DD435" w14:textId="77777777" w:rsidR="00E13373" w:rsidRPr="00930A31" w:rsidRDefault="00E13373" w:rsidP="00C7625B">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193"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2972F36F" w14:textId="77777777" w:rsidR="00E13373" w:rsidRPr="00930A31" w:rsidRDefault="00E13373" w:rsidP="00C7625B">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3813"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39F1BEAB" w14:textId="77777777" w:rsidR="00E13373" w:rsidRPr="00930A31" w:rsidRDefault="00E13373" w:rsidP="00C7625B">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446"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0A2C7BB1" w14:textId="77777777" w:rsidR="00E13373" w:rsidRPr="00930A31" w:rsidRDefault="00E13373" w:rsidP="00C7625B">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E13373" w:rsidRPr="004C1685" w14:paraId="6614CC80" w14:textId="77777777" w:rsidTr="00E13373">
        <w:trPr>
          <w:trHeight w:val="24"/>
        </w:trPr>
        <w:tc>
          <w:tcPr>
            <w:tcW w:w="4554"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61A0F41" w14:textId="77777777" w:rsidR="00E13373" w:rsidRPr="00930A31" w:rsidRDefault="00E13373" w:rsidP="00C7625B">
            <w:pPr>
              <w:pStyle w:val="Default"/>
              <w:rPr>
                <w:rFonts w:ascii="Arial" w:hAnsi="Arial" w:cs="Arial"/>
                <w:sz w:val="18"/>
                <w:szCs w:val="18"/>
              </w:rPr>
            </w:pPr>
            <w:r w:rsidRPr="00930A31">
              <w:rPr>
                <w:rFonts w:ascii="Arial" w:hAnsi="Arial" w:cs="Arial"/>
                <w:b/>
                <w:bCs/>
                <w:sz w:val="18"/>
                <w:szCs w:val="18"/>
              </w:rPr>
              <w:t xml:space="preserve">TITLE </w:t>
            </w:r>
          </w:p>
        </w:tc>
        <w:tc>
          <w:tcPr>
            <w:tcW w:w="446" w:type="pct"/>
            <w:tcBorders>
              <w:top w:val="double" w:sz="5" w:space="0" w:color="000000"/>
              <w:left w:val="single" w:sz="5" w:space="0" w:color="000000"/>
              <w:bottom w:val="single" w:sz="5" w:space="0" w:color="000000"/>
              <w:right w:val="single" w:sz="5" w:space="0" w:color="000000"/>
            </w:tcBorders>
            <w:shd w:val="clear" w:color="auto" w:fill="FFFFCC"/>
          </w:tcPr>
          <w:p w14:paraId="10C80FDA" w14:textId="77777777" w:rsidR="00E13373" w:rsidRPr="00930A31" w:rsidRDefault="00E13373" w:rsidP="00C7625B">
            <w:pPr>
              <w:pStyle w:val="Default"/>
              <w:jc w:val="right"/>
              <w:rPr>
                <w:rFonts w:ascii="Arial" w:hAnsi="Arial" w:cs="Arial"/>
                <w:color w:val="auto"/>
                <w:sz w:val="18"/>
                <w:szCs w:val="18"/>
              </w:rPr>
            </w:pPr>
          </w:p>
        </w:tc>
      </w:tr>
      <w:tr w:rsidR="00E13373" w:rsidRPr="004C1685" w14:paraId="53F73890" w14:textId="77777777" w:rsidTr="00E13373">
        <w:trPr>
          <w:trHeight w:val="48"/>
        </w:trPr>
        <w:tc>
          <w:tcPr>
            <w:tcW w:w="547" w:type="pct"/>
            <w:tcBorders>
              <w:top w:val="single" w:sz="5" w:space="0" w:color="000000"/>
              <w:left w:val="single" w:sz="5" w:space="0" w:color="000000"/>
              <w:bottom w:val="double" w:sz="2" w:space="0" w:color="FFFFCC"/>
              <w:right w:val="single" w:sz="5" w:space="0" w:color="000000"/>
            </w:tcBorders>
          </w:tcPr>
          <w:p w14:paraId="46F62E14"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193" w:type="pct"/>
            <w:tcBorders>
              <w:top w:val="single" w:sz="5" w:space="0" w:color="000000"/>
              <w:left w:val="single" w:sz="5" w:space="0" w:color="000000"/>
              <w:bottom w:val="double" w:sz="2" w:space="0" w:color="FFFFCC"/>
              <w:right w:val="single" w:sz="5" w:space="0" w:color="000000"/>
            </w:tcBorders>
          </w:tcPr>
          <w:p w14:paraId="6D529E76"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w:t>
            </w:r>
          </w:p>
        </w:tc>
        <w:tc>
          <w:tcPr>
            <w:tcW w:w="3813" w:type="pct"/>
            <w:tcBorders>
              <w:top w:val="single" w:sz="5" w:space="0" w:color="000000"/>
              <w:left w:val="single" w:sz="5" w:space="0" w:color="000000"/>
              <w:bottom w:val="double" w:sz="5" w:space="0" w:color="000000"/>
              <w:right w:val="single" w:sz="5" w:space="0" w:color="000000"/>
            </w:tcBorders>
          </w:tcPr>
          <w:p w14:paraId="159615F9"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446" w:type="pct"/>
            <w:tcBorders>
              <w:top w:val="single" w:sz="5" w:space="0" w:color="000000"/>
              <w:left w:val="single" w:sz="5" w:space="0" w:color="000000"/>
              <w:bottom w:val="double" w:sz="5" w:space="0" w:color="000000"/>
              <w:right w:val="single" w:sz="5" w:space="0" w:color="000000"/>
            </w:tcBorders>
          </w:tcPr>
          <w:p w14:paraId="39D5A3BC"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E13373" w:rsidRPr="004C1685" w14:paraId="606EA8EA" w14:textId="77777777" w:rsidTr="00E13373">
        <w:trPr>
          <w:trHeight w:val="24"/>
        </w:trPr>
        <w:tc>
          <w:tcPr>
            <w:tcW w:w="4554"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E41E146" w14:textId="77777777" w:rsidR="00E13373" w:rsidRPr="00930A31" w:rsidRDefault="00E13373" w:rsidP="00C7625B">
            <w:pPr>
              <w:pStyle w:val="Default"/>
              <w:rPr>
                <w:rFonts w:ascii="Arial" w:hAnsi="Arial" w:cs="Arial"/>
                <w:sz w:val="18"/>
                <w:szCs w:val="18"/>
              </w:rPr>
            </w:pPr>
            <w:r w:rsidRPr="00930A31">
              <w:rPr>
                <w:rFonts w:ascii="Arial" w:hAnsi="Arial" w:cs="Arial"/>
                <w:b/>
                <w:bCs/>
                <w:sz w:val="18"/>
                <w:szCs w:val="18"/>
              </w:rPr>
              <w:t xml:space="preserve">ABSTRACT </w:t>
            </w:r>
          </w:p>
        </w:tc>
        <w:tc>
          <w:tcPr>
            <w:tcW w:w="446" w:type="pct"/>
            <w:tcBorders>
              <w:top w:val="double" w:sz="5" w:space="0" w:color="000000"/>
              <w:left w:val="single" w:sz="5" w:space="0" w:color="000000"/>
              <w:bottom w:val="single" w:sz="5" w:space="0" w:color="000000"/>
              <w:right w:val="single" w:sz="5" w:space="0" w:color="000000"/>
            </w:tcBorders>
            <w:shd w:val="clear" w:color="auto" w:fill="FFFFCC"/>
          </w:tcPr>
          <w:p w14:paraId="506C2906" w14:textId="77777777" w:rsidR="00E13373" w:rsidRPr="00930A31" w:rsidRDefault="00E13373" w:rsidP="00C7625B">
            <w:pPr>
              <w:pStyle w:val="Default"/>
              <w:jc w:val="right"/>
              <w:rPr>
                <w:rFonts w:ascii="Arial" w:hAnsi="Arial" w:cs="Arial"/>
                <w:color w:val="auto"/>
                <w:sz w:val="18"/>
                <w:szCs w:val="18"/>
              </w:rPr>
            </w:pPr>
          </w:p>
        </w:tc>
      </w:tr>
      <w:tr w:rsidR="00E13373" w:rsidRPr="004C1685" w14:paraId="0825FDC6" w14:textId="77777777" w:rsidTr="00E13373">
        <w:trPr>
          <w:trHeight w:val="48"/>
        </w:trPr>
        <w:tc>
          <w:tcPr>
            <w:tcW w:w="547" w:type="pct"/>
            <w:tcBorders>
              <w:top w:val="single" w:sz="5" w:space="0" w:color="000000"/>
              <w:left w:val="single" w:sz="5" w:space="0" w:color="000000"/>
              <w:bottom w:val="double" w:sz="2" w:space="0" w:color="FFFFCC"/>
              <w:right w:val="single" w:sz="5" w:space="0" w:color="000000"/>
            </w:tcBorders>
          </w:tcPr>
          <w:p w14:paraId="1052FBC4"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193" w:type="pct"/>
            <w:tcBorders>
              <w:top w:val="single" w:sz="5" w:space="0" w:color="000000"/>
              <w:left w:val="single" w:sz="5" w:space="0" w:color="000000"/>
              <w:bottom w:val="double" w:sz="2" w:space="0" w:color="FFFFCC"/>
              <w:right w:val="single" w:sz="5" w:space="0" w:color="000000"/>
            </w:tcBorders>
          </w:tcPr>
          <w:p w14:paraId="5A91511D"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w:t>
            </w:r>
          </w:p>
        </w:tc>
        <w:tc>
          <w:tcPr>
            <w:tcW w:w="3813" w:type="pct"/>
            <w:tcBorders>
              <w:top w:val="single" w:sz="5" w:space="0" w:color="000000"/>
              <w:left w:val="single" w:sz="5" w:space="0" w:color="000000"/>
              <w:bottom w:val="double" w:sz="5" w:space="0" w:color="000000"/>
              <w:right w:val="single" w:sz="5" w:space="0" w:color="000000"/>
            </w:tcBorders>
          </w:tcPr>
          <w:p w14:paraId="13E1A73F"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446" w:type="pct"/>
            <w:tcBorders>
              <w:top w:val="single" w:sz="5" w:space="0" w:color="000000"/>
              <w:left w:val="single" w:sz="5" w:space="0" w:color="000000"/>
              <w:bottom w:val="double" w:sz="5" w:space="0" w:color="000000"/>
              <w:right w:val="single" w:sz="5" w:space="0" w:color="000000"/>
            </w:tcBorders>
          </w:tcPr>
          <w:p w14:paraId="52D9C9F8" w14:textId="5E2F28F0" w:rsidR="00E13373" w:rsidRPr="00930A31" w:rsidRDefault="00FC6B67" w:rsidP="00C7625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2</w:t>
            </w:r>
          </w:p>
        </w:tc>
      </w:tr>
      <w:tr w:rsidR="00E13373" w:rsidRPr="004C1685" w14:paraId="5B78720E" w14:textId="77777777" w:rsidTr="00E13373">
        <w:trPr>
          <w:trHeight w:val="24"/>
        </w:trPr>
        <w:tc>
          <w:tcPr>
            <w:tcW w:w="4554"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4853DC4" w14:textId="77777777" w:rsidR="00E13373" w:rsidRPr="00930A31" w:rsidRDefault="00E13373" w:rsidP="00C7625B">
            <w:pPr>
              <w:pStyle w:val="Default"/>
              <w:rPr>
                <w:rFonts w:ascii="Arial" w:hAnsi="Arial" w:cs="Arial"/>
                <w:sz w:val="18"/>
                <w:szCs w:val="18"/>
              </w:rPr>
            </w:pPr>
            <w:r w:rsidRPr="00930A31">
              <w:rPr>
                <w:rFonts w:ascii="Arial" w:hAnsi="Arial" w:cs="Arial"/>
                <w:b/>
                <w:bCs/>
                <w:sz w:val="18"/>
                <w:szCs w:val="18"/>
              </w:rPr>
              <w:t xml:space="preserve">INTRODUCTION </w:t>
            </w:r>
          </w:p>
        </w:tc>
        <w:tc>
          <w:tcPr>
            <w:tcW w:w="446" w:type="pct"/>
            <w:tcBorders>
              <w:top w:val="double" w:sz="5" w:space="0" w:color="000000"/>
              <w:left w:val="single" w:sz="5" w:space="0" w:color="000000"/>
              <w:bottom w:val="single" w:sz="5" w:space="0" w:color="000000"/>
              <w:right w:val="single" w:sz="5" w:space="0" w:color="000000"/>
            </w:tcBorders>
            <w:shd w:val="clear" w:color="auto" w:fill="FFFFCC"/>
          </w:tcPr>
          <w:p w14:paraId="769F61D0" w14:textId="77777777" w:rsidR="00E13373" w:rsidRPr="00930A31" w:rsidRDefault="00E13373" w:rsidP="00C7625B">
            <w:pPr>
              <w:pStyle w:val="Default"/>
              <w:jc w:val="right"/>
              <w:rPr>
                <w:rFonts w:ascii="Arial" w:hAnsi="Arial" w:cs="Arial"/>
                <w:color w:val="auto"/>
                <w:sz w:val="18"/>
                <w:szCs w:val="18"/>
              </w:rPr>
            </w:pPr>
          </w:p>
        </w:tc>
      </w:tr>
      <w:tr w:rsidR="00E13373" w:rsidRPr="004C1685" w14:paraId="0A29021A"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36BC68EA"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193" w:type="pct"/>
            <w:tcBorders>
              <w:top w:val="single" w:sz="5" w:space="0" w:color="000000"/>
              <w:left w:val="single" w:sz="5" w:space="0" w:color="000000"/>
              <w:bottom w:val="single" w:sz="5" w:space="0" w:color="000000"/>
              <w:right w:val="single" w:sz="5" w:space="0" w:color="000000"/>
            </w:tcBorders>
          </w:tcPr>
          <w:p w14:paraId="7511AD13"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3</w:t>
            </w:r>
          </w:p>
        </w:tc>
        <w:tc>
          <w:tcPr>
            <w:tcW w:w="3813" w:type="pct"/>
            <w:tcBorders>
              <w:top w:val="single" w:sz="5" w:space="0" w:color="000000"/>
              <w:left w:val="single" w:sz="5" w:space="0" w:color="000000"/>
              <w:bottom w:val="single" w:sz="5" w:space="0" w:color="000000"/>
              <w:right w:val="single" w:sz="5" w:space="0" w:color="000000"/>
            </w:tcBorders>
          </w:tcPr>
          <w:p w14:paraId="4229AA76"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446" w:type="pct"/>
            <w:tcBorders>
              <w:top w:val="single" w:sz="5" w:space="0" w:color="000000"/>
              <w:left w:val="single" w:sz="5" w:space="0" w:color="000000"/>
              <w:bottom w:val="single" w:sz="5" w:space="0" w:color="000000"/>
              <w:right w:val="single" w:sz="5" w:space="0" w:color="000000"/>
            </w:tcBorders>
          </w:tcPr>
          <w:p w14:paraId="537D54BF"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E13373" w:rsidRPr="004C1685" w14:paraId="18A7F89F" w14:textId="77777777" w:rsidTr="00E13373">
        <w:trPr>
          <w:trHeight w:val="48"/>
        </w:trPr>
        <w:tc>
          <w:tcPr>
            <w:tcW w:w="547" w:type="pct"/>
            <w:tcBorders>
              <w:top w:val="single" w:sz="5" w:space="0" w:color="000000"/>
              <w:left w:val="single" w:sz="5" w:space="0" w:color="000000"/>
              <w:bottom w:val="double" w:sz="2" w:space="0" w:color="FFFFCC"/>
              <w:right w:val="single" w:sz="5" w:space="0" w:color="000000"/>
            </w:tcBorders>
          </w:tcPr>
          <w:p w14:paraId="62424356"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193" w:type="pct"/>
            <w:tcBorders>
              <w:top w:val="single" w:sz="5" w:space="0" w:color="000000"/>
              <w:left w:val="single" w:sz="5" w:space="0" w:color="000000"/>
              <w:bottom w:val="double" w:sz="2" w:space="0" w:color="FFFFCC"/>
              <w:right w:val="single" w:sz="5" w:space="0" w:color="000000"/>
            </w:tcBorders>
          </w:tcPr>
          <w:p w14:paraId="231E144F"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4</w:t>
            </w:r>
          </w:p>
        </w:tc>
        <w:tc>
          <w:tcPr>
            <w:tcW w:w="3813" w:type="pct"/>
            <w:tcBorders>
              <w:top w:val="single" w:sz="5" w:space="0" w:color="000000"/>
              <w:left w:val="single" w:sz="5" w:space="0" w:color="000000"/>
              <w:bottom w:val="double" w:sz="5" w:space="0" w:color="000000"/>
              <w:right w:val="single" w:sz="5" w:space="0" w:color="000000"/>
            </w:tcBorders>
          </w:tcPr>
          <w:p w14:paraId="53FDDAE9"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446" w:type="pct"/>
            <w:tcBorders>
              <w:top w:val="single" w:sz="5" w:space="0" w:color="000000"/>
              <w:left w:val="single" w:sz="5" w:space="0" w:color="000000"/>
              <w:bottom w:val="double" w:sz="5" w:space="0" w:color="000000"/>
              <w:right w:val="single" w:sz="5" w:space="0" w:color="000000"/>
            </w:tcBorders>
          </w:tcPr>
          <w:p w14:paraId="4CC41009"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E13373" w:rsidRPr="004C1685" w14:paraId="263B4ED6" w14:textId="77777777" w:rsidTr="00E13373">
        <w:trPr>
          <w:trHeight w:val="24"/>
        </w:trPr>
        <w:tc>
          <w:tcPr>
            <w:tcW w:w="4554"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F9ACF2" w14:textId="77777777" w:rsidR="00E13373" w:rsidRPr="00930A31" w:rsidRDefault="00E13373" w:rsidP="00C7625B">
            <w:pPr>
              <w:pStyle w:val="Default"/>
              <w:rPr>
                <w:rFonts w:ascii="Arial" w:hAnsi="Arial" w:cs="Arial"/>
                <w:sz w:val="18"/>
                <w:szCs w:val="18"/>
              </w:rPr>
            </w:pPr>
            <w:r w:rsidRPr="00930A31">
              <w:rPr>
                <w:rFonts w:ascii="Arial" w:hAnsi="Arial" w:cs="Arial"/>
                <w:b/>
                <w:bCs/>
                <w:sz w:val="18"/>
                <w:szCs w:val="18"/>
              </w:rPr>
              <w:t xml:space="preserve">METHODS </w:t>
            </w:r>
          </w:p>
        </w:tc>
        <w:tc>
          <w:tcPr>
            <w:tcW w:w="446" w:type="pct"/>
            <w:tcBorders>
              <w:top w:val="double" w:sz="5" w:space="0" w:color="000000"/>
              <w:left w:val="single" w:sz="5" w:space="0" w:color="000000"/>
              <w:bottom w:val="single" w:sz="5" w:space="0" w:color="000000"/>
              <w:right w:val="single" w:sz="5" w:space="0" w:color="000000"/>
            </w:tcBorders>
            <w:shd w:val="clear" w:color="auto" w:fill="FFFFCC"/>
          </w:tcPr>
          <w:p w14:paraId="4B6CC12A" w14:textId="77777777" w:rsidR="00E13373" w:rsidRPr="00930A31" w:rsidRDefault="00E13373" w:rsidP="00C7625B">
            <w:pPr>
              <w:pStyle w:val="Default"/>
              <w:jc w:val="right"/>
              <w:rPr>
                <w:rFonts w:ascii="Arial" w:hAnsi="Arial" w:cs="Arial"/>
                <w:color w:val="auto"/>
                <w:sz w:val="18"/>
                <w:szCs w:val="18"/>
              </w:rPr>
            </w:pPr>
          </w:p>
        </w:tc>
      </w:tr>
      <w:tr w:rsidR="00E13373" w:rsidRPr="004C1685" w14:paraId="20A8F03F"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4C4C34C5"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193" w:type="pct"/>
            <w:tcBorders>
              <w:top w:val="single" w:sz="5" w:space="0" w:color="000000"/>
              <w:left w:val="single" w:sz="5" w:space="0" w:color="000000"/>
              <w:bottom w:val="single" w:sz="5" w:space="0" w:color="000000"/>
              <w:right w:val="single" w:sz="5" w:space="0" w:color="000000"/>
            </w:tcBorders>
          </w:tcPr>
          <w:p w14:paraId="229138EB"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5</w:t>
            </w:r>
          </w:p>
        </w:tc>
        <w:tc>
          <w:tcPr>
            <w:tcW w:w="3813" w:type="pct"/>
            <w:tcBorders>
              <w:top w:val="single" w:sz="5" w:space="0" w:color="000000"/>
              <w:left w:val="single" w:sz="5" w:space="0" w:color="000000"/>
              <w:bottom w:val="single" w:sz="5" w:space="0" w:color="000000"/>
              <w:right w:val="single" w:sz="5" w:space="0" w:color="000000"/>
            </w:tcBorders>
          </w:tcPr>
          <w:p w14:paraId="3841508F"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446" w:type="pct"/>
            <w:tcBorders>
              <w:top w:val="single" w:sz="5" w:space="0" w:color="000000"/>
              <w:left w:val="single" w:sz="5" w:space="0" w:color="000000"/>
              <w:bottom w:val="single" w:sz="5" w:space="0" w:color="000000"/>
              <w:right w:val="single" w:sz="5" w:space="0" w:color="000000"/>
            </w:tcBorders>
          </w:tcPr>
          <w:p w14:paraId="3CBC58D6"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E13373" w:rsidRPr="004C1685" w14:paraId="70A03D22" w14:textId="77777777" w:rsidTr="00E13373">
        <w:trPr>
          <w:trHeight w:val="191"/>
        </w:trPr>
        <w:tc>
          <w:tcPr>
            <w:tcW w:w="547" w:type="pct"/>
            <w:tcBorders>
              <w:top w:val="single" w:sz="5" w:space="0" w:color="000000"/>
              <w:left w:val="single" w:sz="5" w:space="0" w:color="000000"/>
              <w:bottom w:val="single" w:sz="5" w:space="0" w:color="000000"/>
              <w:right w:val="single" w:sz="5" w:space="0" w:color="000000"/>
            </w:tcBorders>
          </w:tcPr>
          <w:p w14:paraId="0C1566F3"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193" w:type="pct"/>
            <w:tcBorders>
              <w:top w:val="single" w:sz="5" w:space="0" w:color="000000"/>
              <w:left w:val="single" w:sz="5" w:space="0" w:color="000000"/>
              <w:bottom w:val="single" w:sz="5" w:space="0" w:color="000000"/>
              <w:right w:val="single" w:sz="5" w:space="0" w:color="000000"/>
            </w:tcBorders>
          </w:tcPr>
          <w:p w14:paraId="2C1B2563"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6</w:t>
            </w:r>
          </w:p>
        </w:tc>
        <w:tc>
          <w:tcPr>
            <w:tcW w:w="3813" w:type="pct"/>
            <w:tcBorders>
              <w:top w:val="single" w:sz="5" w:space="0" w:color="000000"/>
              <w:left w:val="single" w:sz="5" w:space="0" w:color="000000"/>
              <w:bottom w:val="single" w:sz="5" w:space="0" w:color="000000"/>
              <w:right w:val="single" w:sz="5" w:space="0" w:color="000000"/>
            </w:tcBorders>
          </w:tcPr>
          <w:p w14:paraId="287607C8"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446" w:type="pct"/>
            <w:tcBorders>
              <w:top w:val="single" w:sz="5" w:space="0" w:color="000000"/>
              <w:left w:val="single" w:sz="5" w:space="0" w:color="000000"/>
              <w:bottom w:val="single" w:sz="5" w:space="0" w:color="000000"/>
              <w:right w:val="single" w:sz="5" w:space="0" w:color="000000"/>
            </w:tcBorders>
          </w:tcPr>
          <w:p w14:paraId="53153BB4" w14:textId="4F38F699"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C6B67">
              <w:rPr>
                <w:rFonts w:ascii="Arial" w:hAnsi="Arial" w:cs="Arial"/>
                <w:color w:val="auto"/>
                <w:sz w:val="18"/>
                <w:szCs w:val="18"/>
              </w:rPr>
              <w:t>5</w:t>
            </w:r>
          </w:p>
        </w:tc>
      </w:tr>
      <w:tr w:rsidR="00E13373" w:rsidRPr="004C1685" w14:paraId="1CE57465"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4E562BE6"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Search strategy</w:t>
            </w:r>
          </w:p>
        </w:tc>
        <w:tc>
          <w:tcPr>
            <w:tcW w:w="193" w:type="pct"/>
            <w:tcBorders>
              <w:top w:val="single" w:sz="5" w:space="0" w:color="000000"/>
              <w:left w:val="single" w:sz="5" w:space="0" w:color="000000"/>
              <w:bottom w:val="single" w:sz="5" w:space="0" w:color="000000"/>
              <w:right w:val="single" w:sz="5" w:space="0" w:color="000000"/>
            </w:tcBorders>
          </w:tcPr>
          <w:p w14:paraId="5ADEFBC8"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7</w:t>
            </w:r>
          </w:p>
        </w:tc>
        <w:tc>
          <w:tcPr>
            <w:tcW w:w="3813" w:type="pct"/>
            <w:tcBorders>
              <w:top w:val="single" w:sz="5" w:space="0" w:color="000000"/>
              <w:left w:val="single" w:sz="5" w:space="0" w:color="000000"/>
              <w:bottom w:val="single" w:sz="5" w:space="0" w:color="000000"/>
              <w:right w:val="single" w:sz="5" w:space="0" w:color="000000"/>
            </w:tcBorders>
          </w:tcPr>
          <w:p w14:paraId="376E10B5"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446" w:type="pct"/>
            <w:tcBorders>
              <w:top w:val="single" w:sz="5" w:space="0" w:color="000000"/>
              <w:left w:val="single" w:sz="5" w:space="0" w:color="000000"/>
              <w:bottom w:val="single" w:sz="5" w:space="0" w:color="000000"/>
              <w:right w:val="single" w:sz="5" w:space="0" w:color="000000"/>
            </w:tcBorders>
          </w:tcPr>
          <w:p w14:paraId="1483BC8F" w14:textId="110EDCA5"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C6B67">
              <w:rPr>
                <w:rFonts w:ascii="Arial" w:hAnsi="Arial" w:cs="Arial"/>
                <w:color w:val="auto"/>
                <w:sz w:val="18"/>
                <w:szCs w:val="18"/>
              </w:rPr>
              <w:t>5</w:t>
            </w:r>
          </w:p>
        </w:tc>
      </w:tr>
      <w:tr w:rsidR="00E13373" w:rsidRPr="004C1685" w14:paraId="745A9D36"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29AF143E"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Selection process</w:t>
            </w:r>
          </w:p>
        </w:tc>
        <w:tc>
          <w:tcPr>
            <w:tcW w:w="193" w:type="pct"/>
            <w:tcBorders>
              <w:top w:val="single" w:sz="5" w:space="0" w:color="000000"/>
              <w:left w:val="single" w:sz="5" w:space="0" w:color="000000"/>
              <w:bottom w:val="single" w:sz="5" w:space="0" w:color="000000"/>
              <w:right w:val="single" w:sz="5" w:space="0" w:color="000000"/>
            </w:tcBorders>
          </w:tcPr>
          <w:p w14:paraId="3CA8684A"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8</w:t>
            </w:r>
          </w:p>
        </w:tc>
        <w:tc>
          <w:tcPr>
            <w:tcW w:w="3813" w:type="pct"/>
            <w:tcBorders>
              <w:top w:val="single" w:sz="5" w:space="0" w:color="000000"/>
              <w:left w:val="single" w:sz="5" w:space="0" w:color="000000"/>
              <w:bottom w:val="single" w:sz="5" w:space="0" w:color="000000"/>
              <w:right w:val="single" w:sz="5" w:space="0" w:color="000000"/>
            </w:tcBorders>
          </w:tcPr>
          <w:p w14:paraId="23B5A997"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446" w:type="pct"/>
            <w:tcBorders>
              <w:top w:val="single" w:sz="5" w:space="0" w:color="000000"/>
              <w:left w:val="single" w:sz="5" w:space="0" w:color="000000"/>
              <w:bottom w:val="single" w:sz="5" w:space="0" w:color="000000"/>
              <w:right w:val="single" w:sz="5" w:space="0" w:color="000000"/>
            </w:tcBorders>
          </w:tcPr>
          <w:p w14:paraId="0B37BD02" w14:textId="066D55E2"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C6B67">
              <w:rPr>
                <w:rFonts w:ascii="Arial" w:hAnsi="Arial" w:cs="Arial"/>
                <w:color w:val="auto"/>
                <w:sz w:val="18"/>
                <w:szCs w:val="18"/>
              </w:rPr>
              <w:t>5</w:t>
            </w:r>
          </w:p>
        </w:tc>
      </w:tr>
      <w:tr w:rsidR="00E13373" w:rsidRPr="004C1685" w14:paraId="25995943" w14:textId="77777777" w:rsidTr="00E13373">
        <w:trPr>
          <w:trHeight w:val="152"/>
        </w:trPr>
        <w:tc>
          <w:tcPr>
            <w:tcW w:w="547" w:type="pct"/>
            <w:tcBorders>
              <w:top w:val="single" w:sz="5" w:space="0" w:color="000000"/>
              <w:left w:val="single" w:sz="5" w:space="0" w:color="000000"/>
              <w:bottom w:val="single" w:sz="5" w:space="0" w:color="000000"/>
              <w:right w:val="single" w:sz="5" w:space="0" w:color="000000"/>
            </w:tcBorders>
          </w:tcPr>
          <w:p w14:paraId="534E1641"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193" w:type="pct"/>
            <w:tcBorders>
              <w:top w:val="single" w:sz="5" w:space="0" w:color="000000"/>
              <w:left w:val="single" w:sz="5" w:space="0" w:color="000000"/>
              <w:bottom w:val="single" w:sz="5" w:space="0" w:color="000000"/>
              <w:right w:val="single" w:sz="5" w:space="0" w:color="000000"/>
            </w:tcBorders>
          </w:tcPr>
          <w:p w14:paraId="75B89C58"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9</w:t>
            </w:r>
          </w:p>
        </w:tc>
        <w:tc>
          <w:tcPr>
            <w:tcW w:w="3813" w:type="pct"/>
            <w:tcBorders>
              <w:top w:val="single" w:sz="5" w:space="0" w:color="000000"/>
              <w:left w:val="single" w:sz="5" w:space="0" w:color="000000"/>
              <w:bottom w:val="single" w:sz="5" w:space="0" w:color="000000"/>
              <w:right w:val="single" w:sz="5" w:space="0" w:color="000000"/>
            </w:tcBorders>
          </w:tcPr>
          <w:p w14:paraId="4652C8EA"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446" w:type="pct"/>
            <w:tcBorders>
              <w:top w:val="single" w:sz="5" w:space="0" w:color="000000"/>
              <w:left w:val="single" w:sz="5" w:space="0" w:color="000000"/>
              <w:bottom w:val="single" w:sz="5" w:space="0" w:color="000000"/>
              <w:right w:val="single" w:sz="5" w:space="0" w:color="000000"/>
            </w:tcBorders>
          </w:tcPr>
          <w:p w14:paraId="70F2970A"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E13373" w:rsidRPr="004C1685" w14:paraId="7B5F46B1" w14:textId="77777777" w:rsidTr="00E13373">
        <w:trPr>
          <w:trHeight w:val="48"/>
        </w:trPr>
        <w:tc>
          <w:tcPr>
            <w:tcW w:w="547" w:type="pct"/>
            <w:vMerge w:val="restart"/>
            <w:tcBorders>
              <w:top w:val="single" w:sz="5" w:space="0" w:color="000000"/>
              <w:left w:val="single" w:sz="5" w:space="0" w:color="000000"/>
              <w:right w:val="single" w:sz="5" w:space="0" w:color="000000"/>
            </w:tcBorders>
          </w:tcPr>
          <w:p w14:paraId="07023849"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193" w:type="pct"/>
            <w:tcBorders>
              <w:top w:val="single" w:sz="5" w:space="0" w:color="000000"/>
              <w:left w:val="single" w:sz="5" w:space="0" w:color="000000"/>
              <w:bottom w:val="single" w:sz="5" w:space="0" w:color="000000"/>
              <w:right w:val="single" w:sz="5" w:space="0" w:color="000000"/>
            </w:tcBorders>
          </w:tcPr>
          <w:p w14:paraId="7B35ECEE"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10a</w:t>
            </w:r>
          </w:p>
        </w:tc>
        <w:tc>
          <w:tcPr>
            <w:tcW w:w="3813" w:type="pct"/>
            <w:tcBorders>
              <w:top w:val="single" w:sz="5" w:space="0" w:color="000000"/>
              <w:left w:val="single" w:sz="5" w:space="0" w:color="000000"/>
              <w:bottom w:val="single" w:sz="5" w:space="0" w:color="000000"/>
              <w:right w:val="single" w:sz="5" w:space="0" w:color="000000"/>
            </w:tcBorders>
          </w:tcPr>
          <w:p w14:paraId="5ECF714D"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446" w:type="pct"/>
            <w:tcBorders>
              <w:top w:val="single" w:sz="5" w:space="0" w:color="000000"/>
              <w:left w:val="single" w:sz="5" w:space="0" w:color="000000"/>
              <w:bottom w:val="single" w:sz="5" w:space="0" w:color="000000"/>
              <w:right w:val="single" w:sz="5" w:space="0" w:color="000000"/>
            </w:tcBorders>
          </w:tcPr>
          <w:p w14:paraId="573A8724"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Page 5+ Table 1 to 5</w:t>
            </w:r>
          </w:p>
        </w:tc>
      </w:tr>
      <w:tr w:rsidR="00E13373" w:rsidRPr="004C1685" w14:paraId="51B50ACA" w14:textId="77777777" w:rsidTr="00E13373">
        <w:trPr>
          <w:trHeight w:val="48"/>
        </w:trPr>
        <w:tc>
          <w:tcPr>
            <w:tcW w:w="547" w:type="pct"/>
            <w:vMerge/>
            <w:tcBorders>
              <w:left w:val="single" w:sz="5" w:space="0" w:color="000000"/>
              <w:bottom w:val="single" w:sz="5" w:space="0" w:color="000000"/>
              <w:right w:val="single" w:sz="5" w:space="0" w:color="000000"/>
            </w:tcBorders>
          </w:tcPr>
          <w:p w14:paraId="1127F39B"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44B94C29"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10b</w:t>
            </w:r>
          </w:p>
        </w:tc>
        <w:tc>
          <w:tcPr>
            <w:tcW w:w="3813" w:type="pct"/>
            <w:tcBorders>
              <w:top w:val="single" w:sz="5" w:space="0" w:color="000000"/>
              <w:left w:val="single" w:sz="5" w:space="0" w:color="000000"/>
              <w:bottom w:val="single" w:sz="5" w:space="0" w:color="000000"/>
              <w:right w:val="single" w:sz="5" w:space="0" w:color="000000"/>
            </w:tcBorders>
          </w:tcPr>
          <w:p w14:paraId="13ABAC58"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446" w:type="pct"/>
            <w:tcBorders>
              <w:top w:val="single" w:sz="5" w:space="0" w:color="000000"/>
              <w:left w:val="single" w:sz="5" w:space="0" w:color="000000"/>
              <w:bottom w:val="single" w:sz="5" w:space="0" w:color="000000"/>
              <w:right w:val="single" w:sz="5" w:space="0" w:color="000000"/>
            </w:tcBorders>
          </w:tcPr>
          <w:p w14:paraId="3BFF7194"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Page 5+ Table 1 to 5</w:t>
            </w:r>
          </w:p>
        </w:tc>
      </w:tr>
      <w:tr w:rsidR="00E13373" w:rsidRPr="004C1685" w14:paraId="4D279FC2"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296BC0EC"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193" w:type="pct"/>
            <w:tcBorders>
              <w:top w:val="single" w:sz="5" w:space="0" w:color="000000"/>
              <w:left w:val="single" w:sz="5" w:space="0" w:color="000000"/>
              <w:bottom w:val="single" w:sz="5" w:space="0" w:color="000000"/>
              <w:right w:val="single" w:sz="5" w:space="0" w:color="000000"/>
            </w:tcBorders>
          </w:tcPr>
          <w:p w14:paraId="25D4F9E6"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11</w:t>
            </w:r>
          </w:p>
        </w:tc>
        <w:tc>
          <w:tcPr>
            <w:tcW w:w="3813" w:type="pct"/>
            <w:tcBorders>
              <w:top w:val="single" w:sz="5" w:space="0" w:color="000000"/>
              <w:left w:val="single" w:sz="5" w:space="0" w:color="000000"/>
              <w:bottom w:val="single" w:sz="5" w:space="0" w:color="000000"/>
              <w:right w:val="single" w:sz="5" w:space="0" w:color="000000"/>
            </w:tcBorders>
          </w:tcPr>
          <w:p w14:paraId="7683B010"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446" w:type="pct"/>
            <w:tcBorders>
              <w:top w:val="single" w:sz="5" w:space="0" w:color="000000"/>
              <w:left w:val="single" w:sz="5" w:space="0" w:color="000000"/>
              <w:bottom w:val="single" w:sz="5" w:space="0" w:color="000000"/>
              <w:right w:val="single" w:sz="5" w:space="0" w:color="000000"/>
            </w:tcBorders>
          </w:tcPr>
          <w:p w14:paraId="350648E7"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3C39539B"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0428A727"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193" w:type="pct"/>
            <w:tcBorders>
              <w:top w:val="single" w:sz="5" w:space="0" w:color="000000"/>
              <w:left w:val="single" w:sz="5" w:space="0" w:color="000000"/>
              <w:bottom w:val="single" w:sz="5" w:space="0" w:color="000000"/>
              <w:right w:val="single" w:sz="5" w:space="0" w:color="000000"/>
            </w:tcBorders>
          </w:tcPr>
          <w:p w14:paraId="26A13632"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12</w:t>
            </w:r>
          </w:p>
        </w:tc>
        <w:tc>
          <w:tcPr>
            <w:tcW w:w="3813" w:type="pct"/>
            <w:tcBorders>
              <w:top w:val="single" w:sz="5" w:space="0" w:color="000000"/>
              <w:left w:val="single" w:sz="5" w:space="0" w:color="000000"/>
              <w:bottom w:val="single" w:sz="5" w:space="0" w:color="000000"/>
              <w:right w:val="single" w:sz="5" w:space="0" w:color="000000"/>
            </w:tcBorders>
          </w:tcPr>
          <w:p w14:paraId="11A8EA64"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446" w:type="pct"/>
            <w:tcBorders>
              <w:top w:val="single" w:sz="5" w:space="0" w:color="000000"/>
              <w:left w:val="single" w:sz="5" w:space="0" w:color="000000"/>
              <w:bottom w:val="single" w:sz="5" w:space="0" w:color="000000"/>
              <w:right w:val="single" w:sz="5" w:space="0" w:color="000000"/>
            </w:tcBorders>
          </w:tcPr>
          <w:p w14:paraId="1834CA15"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27B8F78F" w14:textId="77777777" w:rsidTr="00E13373">
        <w:trPr>
          <w:trHeight w:val="48"/>
        </w:trPr>
        <w:tc>
          <w:tcPr>
            <w:tcW w:w="547" w:type="pct"/>
            <w:vMerge w:val="restart"/>
            <w:tcBorders>
              <w:top w:val="single" w:sz="5" w:space="0" w:color="000000"/>
              <w:left w:val="single" w:sz="5" w:space="0" w:color="000000"/>
              <w:right w:val="single" w:sz="5" w:space="0" w:color="000000"/>
            </w:tcBorders>
          </w:tcPr>
          <w:p w14:paraId="7E494230"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lastRenderedPageBreak/>
              <w:t>Synthesis methods</w:t>
            </w:r>
          </w:p>
        </w:tc>
        <w:tc>
          <w:tcPr>
            <w:tcW w:w="193" w:type="pct"/>
            <w:tcBorders>
              <w:top w:val="single" w:sz="5" w:space="0" w:color="000000"/>
              <w:left w:val="single" w:sz="5" w:space="0" w:color="000000"/>
              <w:bottom w:val="single" w:sz="5" w:space="0" w:color="000000"/>
              <w:right w:val="single" w:sz="5" w:space="0" w:color="000000"/>
            </w:tcBorders>
          </w:tcPr>
          <w:p w14:paraId="5B7D2652"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13a</w:t>
            </w:r>
          </w:p>
        </w:tc>
        <w:tc>
          <w:tcPr>
            <w:tcW w:w="3813" w:type="pct"/>
            <w:tcBorders>
              <w:top w:val="single" w:sz="5" w:space="0" w:color="000000"/>
              <w:left w:val="single" w:sz="5" w:space="0" w:color="000000"/>
              <w:bottom w:val="single" w:sz="5" w:space="0" w:color="000000"/>
              <w:right w:val="single" w:sz="5" w:space="0" w:color="000000"/>
            </w:tcBorders>
          </w:tcPr>
          <w:p w14:paraId="6B33ED6E"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446" w:type="pct"/>
            <w:tcBorders>
              <w:top w:val="single" w:sz="5" w:space="0" w:color="000000"/>
              <w:left w:val="single" w:sz="5" w:space="0" w:color="000000"/>
              <w:bottom w:val="single" w:sz="5" w:space="0" w:color="000000"/>
              <w:right w:val="single" w:sz="5" w:space="0" w:color="000000"/>
            </w:tcBorders>
          </w:tcPr>
          <w:p w14:paraId="42288667"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59E8CA9F" w14:textId="77777777" w:rsidTr="00E13373">
        <w:trPr>
          <w:trHeight w:val="48"/>
        </w:trPr>
        <w:tc>
          <w:tcPr>
            <w:tcW w:w="547" w:type="pct"/>
            <w:vMerge/>
            <w:tcBorders>
              <w:left w:val="single" w:sz="5" w:space="0" w:color="000000"/>
              <w:right w:val="single" w:sz="5" w:space="0" w:color="000000"/>
            </w:tcBorders>
          </w:tcPr>
          <w:p w14:paraId="7DFDF021"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11F21143"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13b</w:t>
            </w:r>
          </w:p>
        </w:tc>
        <w:tc>
          <w:tcPr>
            <w:tcW w:w="3813" w:type="pct"/>
            <w:tcBorders>
              <w:top w:val="single" w:sz="5" w:space="0" w:color="000000"/>
              <w:left w:val="single" w:sz="5" w:space="0" w:color="000000"/>
              <w:bottom w:val="single" w:sz="5" w:space="0" w:color="000000"/>
              <w:right w:val="single" w:sz="5" w:space="0" w:color="000000"/>
            </w:tcBorders>
          </w:tcPr>
          <w:p w14:paraId="0E8CE0C7"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446" w:type="pct"/>
            <w:tcBorders>
              <w:top w:val="single" w:sz="5" w:space="0" w:color="000000"/>
              <w:left w:val="single" w:sz="5" w:space="0" w:color="000000"/>
              <w:bottom w:val="single" w:sz="5" w:space="0" w:color="000000"/>
              <w:right w:val="single" w:sz="5" w:space="0" w:color="000000"/>
            </w:tcBorders>
          </w:tcPr>
          <w:p w14:paraId="4D97F6ED"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1F416BDB" w14:textId="77777777" w:rsidTr="00E13373">
        <w:trPr>
          <w:trHeight w:val="48"/>
        </w:trPr>
        <w:tc>
          <w:tcPr>
            <w:tcW w:w="547" w:type="pct"/>
            <w:vMerge/>
            <w:tcBorders>
              <w:left w:val="single" w:sz="5" w:space="0" w:color="000000"/>
              <w:right w:val="single" w:sz="5" w:space="0" w:color="000000"/>
            </w:tcBorders>
          </w:tcPr>
          <w:p w14:paraId="52B21E83"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16495EE2"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13c</w:t>
            </w:r>
          </w:p>
        </w:tc>
        <w:tc>
          <w:tcPr>
            <w:tcW w:w="3813" w:type="pct"/>
            <w:tcBorders>
              <w:top w:val="single" w:sz="5" w:space="0" w:color="000000"/>
              <w:left w:val="single" w:sz="5" w:space="0" w:color="000000"/>
              <w:bottom w:val="single" w:sz="5" w:space="0" w:color="000000"/>
              <w:right w:val="single" w:sz="5" w:space="0" w:color="000000"/>
            </w:tcBorders>
          </w:tcPr>
          <w:p w14:paraId="17C9CF08"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446" w:type="pct"/>
            <w:tcBorders>
              <w:top w:val="single" w:sz="5" w:space="0" w:color="000000"/>
              <w:left w:val="single" w:sz="5" w:space="0" w:color="000000"/>
              <w:bottom w:val="single" w:sz="5" w:space="0" w:color="000000"/>
              <w:right w:val="single" w:sz="5" w:space="0" w:color="000000"/>
            </w:tcBorders>
          </w:tcPr>
          <w:p w14:paraId="341831F6"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51503559" w14:textId="77777777" w:rsidTr="00E13373">
        <w:trPr>
          <w:trHeight w:val="48"/>
        </w:trPr>
        <w:tc>
          <w:tcPr>
            <w:tcW w:w="547" w:type="pct"/>
            <w:vMerge/>
            <w:tcBorders>
              <w:left w:val="single" w:sz="5" w:space="0" w:color="000000"/>
              <w:right w:val="single" w:sz="5" w:space="0" w:color="000000"/>
            </w:tcBorders>
          </w:tcPr>
          <w:p w14:paraId="2BD380F5"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6C070D05"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13d</w:t>
            </w:r>
          </w:p>
        </w:tc>
        <w:tc>
          <w:tcPr>
            <w:tcW w:w="3813" w:type="pct"/>
            <w:tcBorders>
              <w:top w:val="single" w:sz="5" w:space="0" w:color="000000"/>
              <w:left w:val="single" w:sz="5" w:space="0" w:color="000000"/>
              <w:bottom w:val="single" w:sz="5" w:space="0" w:color="000000"/>
              <w:right w:val="single" w:sz="5" w:space="0" w:color="000000"/>
            </w:tcBorders>
          </w:tcPr>
          <w:p w14:paraId="658B66BC"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446" w:type="pct"/>
            <w:tcBorders>
              <w:top w:val="single" w:sz="5" w:space="0" w:color="000000"/>
              <w:left w:val="single" w:sz="5" w:space="0" w:color="000000"/>
              <w:bottom w:val="single" w:sz="5" w:space="0" w:color="000000"/>
              <w:right w:val="single" w:sz="5" w:space="0" w:color="000000"/>
            </w:tcBorders>
          </w:tcPr>
          <w:p w14:paraId="2FF1261F"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7860749A" w14:textId="77777777" w:rsidTr="00E13373">
        <w:trPr>
          <w:trHeight w:val="48"/>
        </w:trPr>
        <w:tc>
          <w:tcPr>
            <w:tcW w:w="547" w:type="pct"/>
            <w:vMerge/>
            <w:tcBorders>
              <w:left w:val="single" w:sz="5" w:space="0" w:color="000000"/>
              <w:right w:val="single" w:sz="5" w:space="0" w:color="000000"/>
            </w:tcBorders>
          </w:tcPr>
          <w:p w14:paraId="0D1B791E"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720228F2"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13e</w:t>
            </w:r>
          </w:p>
        </w:tc>
        <w:tc>
          <w:tcPr>
            <w:tcW w:w="3813" w:type="pct"/>
            <w:tcBorders>
              <w:top w:val="single" w:sz="5" w:space="0" w:color="000000"/>
              <w:left w:val="single" w:sz="5" w:space="0" w:color="000000"/>
              <w:bottom w:val="single" w:sz="5" w:space="0" w:color="000000"/>
              <w:right w:val="single" w:sz="5" w:space="0" w:color="000000"/>
            </w:tcBorders>
          </w:tcPr>
          <w:p w14:paraId="57E9BCD4"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446" w:type="pct"/>
            <w:tcBorders>
              <w:top w:val="single" w:sz="5" w:space="0" w:color="000000"/>
              <w:left w:val="single" w:sz="5" w:space="0" w:color="000000"/>
              <w:bottom w:val="single" w:sz="5" w:space="0" w:color="000000"/>
              <w:right w:val="single" w:sz="5" w:space="0" w:color="000000"/>
            </w:tcBorders>
          </w:tcPr>
          <w:p w14:paraId="3CFE0707"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40FE71E9" w14:textId="77777777" w:rsidTr="00E13373">
        <w:trPr>
          <w:trHeight w:val="50"/>
        </w:trPr>
        <w:tc>
          <w:tcPr>
            <w:tcW w:w="547" w:type="pct"/>
            <w:vMerge/>
            <w:tcBorders>
              <w:left w:val="single" w:sz="5" w:space="0" w:color="000000"/>
              <w:bottom w:val="single" w:sz="5" w:space="0" w:color="000000"/>
              <w:right w:val="single" w:sz="5" w:space="0" w:color="000000"/>
            </w:tcBorders>
          </w:tcPr>
          <w:p w14:paraId="276628B7"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1534B632"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13f</w:t>
            </w:r>
          </w:p>
        </w:tc>
        <w:tc>
          <w:tcPr>
            <w:tcW w:w="3813" w:type="pct"/>
            <w:tcBorders>
              <w:top w:val="single" w:sz="5" w:space="0" w:color="000000"/>
              <w:left w:val="single" w:sz="5" w:space="0" w:color="000000"/>
              <w:bottom w:val="single" w:sz="5" w:space="0" w:color="000000"/>
              <w:right w:val="single" w:sz="5" w:space="0" w:color="000000"/>
            </w:tcBorders>
          </w:tcPr>
          <w:p w14:paraId="223E5B1B"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446" w:type="pct"/>
            <w:tcBorders>
              <w:top w:val="single" w:sz="5" w:space="0" w:color="000000"/>
              <w:left w:val="single" w:sz="5" w:space="0" w:color="000000"/>
              <w:bottom w:val="single" w:sz="5" w:space="0" w:color="000000"/>
              <w:right w:val="single" w:sz="5" w:space="0" w:color="000000"/>
            </w:tcBorders>
          </w:tcPr>
          <w:p w14:paraId="4D39E476"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55FEAB18"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7C64D8D3"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193" w:type="pct"/>
            <w:tcBorders>
              <w:top w:val="single" w:sz="5" w:space="0" w:color="000000"/>
              <w:left w:val="single" w:sz="5" w:space="0" w:color="000000"/>
              <w:bottom w:val="single" w:sz="5" w:space="0" w:color="000000"/>
              <w:right w:val="single" w:sz="5" w:space="0" w:color="000000"/>
            </w:tcBorders>
          </w:tcPr>
          <w:p w14:paraId="43DF070B"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14</w:t>
            </w:r>
          </w:p>
        </w:tc>
        <w:tc>
          <w:tcPr>
            <w:tcW w:w="3813" w:type="pct"/>
            <w:tcBorders>
              <w:top w:val="single" w:sz="5" w:space="0" w:color="000000"/>
              <w:left w:val="single" w:sz="5" w:space="0" w:color="000000"/>
              <w:bottom w:val="single" w:sz="5" w:space="0" w:color="000000"/>
              <w:right w:val="single" w:sz="5" w:space="0" w:color="000000"/>
            </w:tcBorders>
          </w:tcPr>
          <w:p w14:paraId="5E1E1C84"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446" w:type="pct"/>
            <w:tcBorders>
              <w:top w:val="single" w:sz="5" w:space="0" w:color="000000"/>
              <w:left w:val="single" w:sz="5" w:space="0" w:color="000000"/>
              <w:bottom w:val="single" w:sz="5" w:space="0" w:color="000000"/>
              <w:right w:val="single" w:sz="5" w:space="0" w:color="000000"/>
            </w:tcBorders>
          </w:tcPr>
          <w:p w14:paraId="4438E6E5"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3B38448E"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25F691A2"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193" w:type="pct"/>
            <w:tcBorders>
              <w:top w:val="single" w:sz="5" w:space="0" w:color="000000"/>
              <w:left w:val="single" w:sz="5" w:space="0" w:color="000000"/>
              <w:bottom w:val="single" w:sz="5" w:space="0" w:color="000000"/>
              <w:right w:val="single" w:sz="5" w:space="0" w:color="000000"/>
            </w:tcBorders>
          </w:tcPr>
          <w:p w14:paraId="7F3DCC7D"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15</w:t>
            </w:r>
          </w:p>
        </w:tc>
        <w:tc>
          <w:tcPr>
            <w:tcW w:w="3813" w:type="pct"/>
            <w:tcBorders>
              <w:top w:val="single" w:sz="5" w:space="0" w:color="000000"/>
              <w:left w:val="single" w:sz="5" w:space="0" w:color="000000"/>
              <w:bottom w:val="single" w:sz="5" w:space="0" w:color="000000"/>
              <w:right w:val="single" w:sz="5" w:space="0" w:color="000000"/>
            </w:tcBorders>
          </w:tcPr>
          <w:p w14:paraId="00DAD30C"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446" w:type="pct"/>
            <w:tcBorders>
              <w:top w:val="single" w:sz="5" w:space="0" w:color="000000"/>
              <w:left w:val="single" w:sz="5" w:space="0" w:color="000000"/>
              <w:bottom w:val="single" w:sz="5" w:space="0" w:color="000000"/>
              <w:right w:val="single" w:sz="5" w:space="0" w:color="000000"/>
            </w:tcBorders>
          </w:tcPr>
          <w:p w14:paraId="65DF1BBE"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7CFBE424" w14:textId="77777777" w:rsidTr="00E13373">
        <w:trPr>
          <w:trHeight w:val="24"/>
        </w:trPr>
        <w:tc>
          <w:tcPr>
            <w:tcW w:w="4554"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8AADC8A" w14:textId="77777777" w:rsidR="00E13373" w:rsidRPr="00930A31" w:rsidRDefault="00E13373" w:rsidP="00C7625B">
            <w:pPr>
              <w:pStyle w:val="Default"/>
              <w:rPr>
                <w:rFonts w:ascii="Arial" w:hAnsi="Arial" w:cs="Arial"/>
                <w:sz w:val="18"/>
                <w:szCs w:val="18"/>
              </w:rPr>
            </w:pPr>
            <w:r w:rsidRPr="00930A31">
              <w:rPr>
                <w:rFonts w:ascii="Arial" w:hAnsi="Arial" w:cs="Arial"/>
                <w:b/>
                <w:bCs/>
                <w:sz w:val="18"/>
                <w:szCs w:val="18"/>
              </w:rPr>
              <w:t xml:space="preserve">RESULTS </w:t>
            </w:r>
          </w:p>
        </w:tc>
        <w:tc>
          <w:tcPr>
            <w:tcW w:w="446" w:type="pct"/>
            <w:tcBorders>
              <w:top w:val="double" w:sz="5" w:space="0" w:color="000000"/>
              <w:left w:val="single" w:sz="5" w:space="0" w:color="000000"/>
              <w:bottom w:val="single" w:sz="5" w:space="0" w:color="000000"/>
              <w:right w:val="single" w:sz="5" w:space="0" w:color="000000"/>
            </w:tcBorders>
            <w:shd w:val="clear" w:color="auto" w:fill="FFFFCC"/>
          </w:tcPr>
          <w:p w14:paraId="4DDB9BFC" w14:textId="77777777" w:rsidR="00E13373" w:rsidRPr="00930A31" w:rsidRDefault="00E13373" w:rsidP="00C7625B">
            <w:pPr>
              <w:pStyle w:val="Default"/>
              <w:jc w:val="center"/>
              <w:rPr>
                <w:rFonts w:ascii="Arial" w:hAnsi="Arial" w:cs="Arial"/>
                <w:color w:val="auto"/>
                <w:sz w:val="18"/>
                <w:szCs w:val="18"/>
              </w:rPr>
            </w:pPr>
          </w:p>
        </w:tc>
      </w:tr>
      <w:tr w:rsidR="00E13373" w:rsidRPr="004C1685" w14:paraId="4687C0F3" w14:textId="77777777" w:rsidTr="00E13373">
        <w:trPr>
          <w:trHeight w:val="48"/>
        </w:trPr>
        <w:tc>
          <w:tcPr>
            <w:tcW w:w="547" w:type="pct"/>
            <w:vMerge w:val="restart"/>
            <w:tcBorders>
              <w:top w:val="single" w:sz="5" w:space="0" w:color="000000"/>
              <w:left w:val="single" w:sz="5" w:space="0" w:color="000000"/>
              <w:right w:val="single" w:sz="5" w:space="0" w:color="000000"/>
            </w:tcBorders>
          </w:tcPr>
          <w:p w14:paraId="666C31DC"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193" w:type="pct"/>
            <w:tcBorders>
              <w:top w:val="single" w:sz="5" w:space="0" w:color="000000"/>
              <w:left w:val="single" w:sz="5" w:space="0" w:color="000000"/>
              <w:bottom w:val="single" w:sz="5" w:space="0" w:color="000000"/>
              <w:right w:val="single" w:sz="5" w:space="0" w:color="000000"/>
            </w:tcBorders>
          </w:tcPr>
          <w:p w14:paraId="5FC1BDA1"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16a</w:t>
            </w:r>
          </w:p>
        </w:tc>
        <w:tc>
          <w:tcPr>
            <w:tcW w:w="3813" w:type="pct"/>
            <w:tcBorders>
              <w:top w:val="single" w:sz="5" w:space="0" w:color="000000"/>
              <w:left w:val="single" w:sz="5" w:space="0" w:color="000000"/>
              <w:bottom w:val="single" w:sz="5" w:space="0" w:color="000000"/>
              <w:right w:val="single" w:sz="5" w:space="0" w:color="000000"/>
            </w:tcBorders>
          </w:tcPr>
          <w:p w14:paraId="2694BB3B"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446" w:type="pct"/>
            <w:tcBorders>
              <w:top w:val="single" w:sz="5" w:space="0" w:color="000000"/>
              <w:left w:val="single" w:sz="5" w:space="0" w:color="000000"/>
              <w:bottom w:val="single" w:sz="5" w:space="0" w:color="000000"/>
              <w:right w:val="single" w:sz="5" w:space="0" w:color="000000"/>
            </w:tcBorders>
          </w:tcPr>
          <w:p w14:paraId="32DF95EF" w14:textId="4653BCB6"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C6B67">
              <w:rPr>
                <w:rFonts w:ascii="Arial" w:hAnsi="Arial" w:cs="Arial"/>
                <w:color w:val="auto"/>
                <w:sz w:val="18"/>
                <w:szCs w:val="18"/>
              </w:rPr>
              <w:t>6</w:t>
            </w:r>
          </w:p>
        </w:tc>
      </w:tr>
      <w:tr w:rsidR="00E13373" w:rsidRPr="004C1685" w14:paraId="0910F9C5" w14:textId="77777777" w:rsidTr="00E13373">
        <w:trPr>
          <w:trHeight w:val="48"/>
        </w:trPr>
        <w:tc>
          <w:tcPr>
            <w:tcW w:w="547" w:type="pct"/>
            <w:vMerge/>
            <w:tcBorders>
              <w:left w:val="single" w:sz="5" w:space="0" w:color="000000"/>
              <w:bottom w:val="single" w:sz="5" w:space="0" w:color="000000"/>
              <w:right w:val="single" w:sz="5" w:space="0" w:color="000000"/>
            </w:tcBorders>
          </w:tcPr>
          <w:p w14:paraId="6101FCEC"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2450D0FD"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16b</w:t>
            </w:r>
          </w:p>
        </w:tc>
        <w:tc>
          <w:tcPr>
            <w:tcW w:w="3813" w:type="pct"/>
            <w:tcBorders>
              <w:top w:val="single" w:sz="5" w:space="0" w:color="000000"/>
              <w:left w:val="single" w:sz="5" w:space="0" w:color="000000"/>
              <w:bottom w:val="single" w:sz="5" w:space="0" w:color="000000"/>
              <w:right w:val="single" w:sz="5" w:space="0" w:color="000000"/>
            </w:tcBorders>
          </w:tcPr>
          <w:p w14:paraId="4B6E38ED"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446" w:type="pct"/>
            <w:tcBorders>
              <w:top w:val="single" w:sz="5" w:space="0" w:color="000000"/>
              <w:left w:val="single" w:sz="5" w:space="0" w:color="000000"/>
              <w:bottom w:val="single" w:sz="5" w:space="0" w:color="000000"/>
              <w:right w:val="single" w:sz="5" w:space="0" w:color="000000"/>
            </w:tcBorders>
          </w:tcPr>
          <w:p w14:paraId="5E8AACB8"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E13373" w:rsidRPr="004C1685" w14:paraId="2C2FE394" w14:textId="77777777" w:rsidTr="00E13373">
        <w:trPr>
          <w:trHeight w:val="103"/>
        </w:trPr>
        <w:tc>
          <w:tcPr>
            <w:tcW w:w="547" w:type="pct"/>
            <w:tcBorders>
              <w:top w:val="single" w:sz="5" w:space="0" w:color="000000"/>
              <w:left w:val="single" w:sz="5" w:space="0" w:color="000000"/>
              <w:bottom w:val="single" w:sz="5" w:space="0" w:color="000000"/>
              <w:right w:val="single" w:sz="5" w:space="0" w:color="000000"/>
            </w:tcBorders>
          </w:tcPr>
          <w:p w14:paraId="6B4AB5C2"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193" w:type="pct"/>
            <w:tcBorders>
              <w:top w:val="single" w:sz="5" w:space="0" w:color="000000"/>
              <w:left w:val="single" w:sz="5" w:space="0" w:color="000000"/>
              <w:bottom w:val="single" w:sz="5" w:space="0" w:color="000000"/>
              <w:right w:val="single" w:sz="5" w:space="0" w:color="000000"/>
            </w:tcBorders>
          </w:tcPr>
          <w:p w14:paraId="2C2BC059"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17</w:t>
            </w:r>
          </w:p>
        </w:tc>
        <w:tc>
          <w:tcPr>
            <w:tcW w:w="3813" w:type="pct"/>
            <w:tcBorders>
              <w:top w:val="single" w:sz="5" w:space="0" w:color="000000"/>
              <w:left w:val="single" w:sz="5" w:space="0" w:color="000000"/>
              <w:bottom w:val="single" w:sz="5" w:space="0" w:color="000000"/>
              <w:right w:val="single" w:sz="5" w:space="0" w:color="000000"/>
            </w:tcBorders>
          </w:tcPr>
          <w:p w14:paraId="257EED53"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446" w:type="pct"/>
            <w:tcBorders>
              <w:top w:val="single" w:sz="5" w:space="0" w:color="000000"/>
              <w:left w:val="single" w:sz="5" w:space="0" w:color="000000"/>
              <w:bottom w:val="single" w:sz="5" w:space="0" w:color="000000"/>
              <w:right w:val="single" w:sz="5" w:space="0" w:color="000000"/>
            </w:tcBorders>
          </w:tcPr>
          <w:p w14:paraId="11635E93" w14:textId="1B80CC6E"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C6B67">
              <w:rPr>
                <w:rFonts w:ascii="Arial" w:hAnsi="Arial" w:cs="Arial"/>
                <w:color w:val="auto"/>
                <w:sz w:val="18"/>
                <w:szCs w:val="18"/>
              </w:rPr>
              <w:t>6</w:t>
            </w:r>
          </w:p>
        </w:tc>
      </w:tr>
      <w:tr w:rsidR="00E13373" w:rsidRPr="004C1685" w14:paraId="1723CA04"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443A64C1"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193" w:type="pct"/>
            <w:tcBorders>
              <w:top w:val="single" w:sz="5" w:space="0" w:color="000000"/>
              <w:left w:val="single" w:sz="5" w:space="0" w:color="000000"/>
              <w:bottom w:val="single" w:sz="5" w:space="0" w:color="000000"/>
              <w:right w:val="single" w:sz="5" w:space="0" w:color="000000"/>
            </w:tcBorders>
          </w:tcPr>
          <w:p w14:paraId="0F381E9A"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18</w:t>
            </w:r>
          </w:p>
        </w:tc>
        <w:tc>
          <w:tcPr>
            <w:tcW w:w="3813" w:type="pct"/>
            <w:tcBorders>
              <w:top w:val="single" w:sz="5" w:space="0" w:color="000000"/>
              <w:left w:val="single" w:sz="5" w:space="0" w:color="000000"/>
              <w:bottom w:val="single" w:sz="5" w:space="0" w:color="000000"/>
              <w:right w:val="single" w:sz="5" w:space="0" w:color="000000"/>
            </w:tcBorders>
          </w:tcPr>
          <w:p w14:paraId="76FAAF4B"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446" w:type="pct"/>
            <w:tcBorders>
              <w:top w:val="single" w:sz="5" w:space="0" w:color="000000"/>
              <w:left w:val="single" w:sz="5" w:space="0" w:color="000000"/>
              <w:bottom w:val="single" w:sz="5" w:space="0" w:color="000000"/>
              <w:right w:val="single" w:sz="5" w:space="0" w:color="000000"/>
            </w:tcBorders>
          </w:tcPr>
          <w:p w14:paraId="0A23B6AD"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16F2E154"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5309B3A6"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193" w:type="pct"/>
            <w:tcBorders>
              <w:top w:val="single" w:sz="5" w:space="0" w:color="000000"/>
              <w:left w:val="single" w:sz="5" w:space="0" w:color="000000"/>
              <w:bottom w:val="single" w:sz="5" w:space="0" w:color="000000"/>
              <w:right w:val="single" w:sz="5" w:space="0" w:color="000000"/>
            </w:tcBorders>
          </w:tcPr>
          <w:p w14:paraId="363DC9FC"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19</w:t>
            </w:r>
          </w:p>
        </w:tc>
        <w:tc>
          <w:tcPr>
            <w:tcW w:w="3813" w:type="pct"/>
            <w:tcBorders>
              <w:top w:val="single" w:sz="5" w:space="0" w:color="000000"/>
              <w:left w:val="single" w:sz="5" w:space="0" w:color="000000"/>
              <w:bottom w:val="single" w:sz="5" w:space="0" w:color="000000"/>
              <w:right w:val="single" w:sz="5" w:space="0" w:color="000000"/>
            </w:tcBorders>
          </w:tcPr>
          <w:p w14:paraId="7B7AAAD9"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446" w:type="pct"/>
            <w:tcBorders>
              <w:top w:val="single" w:sz="5" w:space="0" w:color="000000"/>
              <w:left w:val="single" w:sz="5" w:space="0" w:color="000000"/>
              <w:bottom w:val="single" w:sz="5" w:space="0" w:color="000000"/>
              <w:right w:val="single" w:sz="5" w:space="0" w:color="000000"/>
            </w:tcBorders>
          </w:tcPr>
          <w:p w14:paraId="2BF95306"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Table 1 to 5</w:t>
            </w:r>
          </w:p>
        </w:tc>
      </w:tr>
      <w:tr w:rsidR="00E13373" w:rsidRPr="004C1685" w14:paraId="38340DA3" w14:textId="77777777" w:rsidTr="00E13373">
        <w:trPr>
          <w:trHeight w:val="48"/>
        </w:trPr>
        <w:tc>
          <w:tcPr>
            <w:tcW w:w="547" w:type="pct"/>
            <w:vMerge w:val="restart"/>
            <w:tcBorders>
              <w:top w:val="single" w:sz="5" w:space="0" w:color="000000"/>
              <w:left w:val="single" w:sz="5" w:space="0" w:color="000000"/>
              <w:right w:val="single" w:sz="5" w:space="0" w:color="000000"/>
            </w:tcBorders>
          </w:tcPr>
          <w:p w14:paraId="7EBB0650"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193" w:type="pct"/>
            <w:tcBorders>
              <w:top w:val="single" w:sz="5" w:space="0" w:color="000000"/>
              <w:left w:val="single" w:sz="5" w:space="0" w:color="000000"/>
              <w:bottom w:val="single" w:sz="5" w:space="0" w:color="000000"/>
              <w:right w:val="single" w:sz="5" w:space="0" w:color="000000"/>
            </w:tcBorders>
          </w:tcPr>
          <w:p w14:paraId="67EE311B"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20a</w:t>
            </w:r>
          </w:p>
        </w:tc>
        <w:tc>
          <w:tcPr>
            <w:tcW w:w="3813" w:type="pct"/>
            <w:tcBorders>
              <w:top w:val="single" w:sz="5" w:space="0" w:color="000000"/>
              <w:left w:val="single" w:sz="5" w:space="0" w:color="000000"/>
              <w:bottom w:val="single" w:sz="5" w:space="0" w:color="000000"/>
              <w:right w:val="single" w:sz="5" w:space="0" w:color="000000"/>
            </w:tcBorders>
          </w:tcPr>
          <w:p w14:paraId="37DED75D"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446" w:type="pct"/>
            <w:tcBorders>
              <w:top w:val="single" w:sz="5" w:space="0" w:color="000000"/>
              <w:left w:val="single" w:sz="5" w:space="0" w:color="000000"/>
              <w:bottom w:val="single" w:sz="5" w:space="0" w:color="000000"/>
              <w:right w:val="single" w:sz="5" w:space="0" w:color="000000"/>
            </w:tcBorders>
          </w:tcPr>
          <w:p w14:paraId="7AF8DC9B"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43F7E2B6" w14:textId="77777777" w:rsidTr="00E13373">
        <w:trPr>
          <w:trHeight w:val="203"/>
        </w:trPr>
        <w:tc>
          <w:tcPr>
            <w:tcW w:w="547" w:type="pct"/>
            <w:vMerge/>
            <w:tcBorders>
              <w:left w:val="single" w:sz="5" w:space="0" w:color="000000"/>
              <w:right w:val="single" w:sz="5" w:space="0" w:color="000000"/>
            </w:tcBorders>
          </w:tcPr>
          <w:p w14:paraId="3FFBEC46"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3EA40CE6"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20b</w:t>
            </w:r>
          </w:p>
        </w:tc>
        <w:tc>
          <w:tcPr>
            <w:tcW w:w="3813" w:type="pct"/>
            <w:tcBorders>
              <w:top w:val="single" w:sz="5" w:space="0" w:color="000000"/>
              <w:left w:val="single" w:sz="5" w:space="0" w:color="000000"/>
              <w:bottom w:val="single" w:sz="5" w:space="0" w:color="000000"/>
              <w:right w:val="single" w:sz="5" w:space="0" w:color="000000"/>
            </w:tcBorders>
          </w:tcPr>
          <w:p w14:paraId="368FBABB"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446" w:type="pct"/>
            <w:tcBorders>
              <w:top w:val="single" w:sz="5" w:space="0" w:color="000000"/>
              <w:left w:val="single" w:sz="5" w:space="0" w:color="000000"/>
              <w:bottom w:val="single" w:sz="5" w:space="0" w:color="000000"/>
              <w:right w:val="single" w:sz="5" w:space="0" w:color="000000"/>
            </w:tcBorders>
          </w:tcPr>
          <w:p w14:paraId="42FB7658"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3AA1CE01" w14:textId="77777777" w:rsidTr="00E13373">
        <w:trPr>
          <w:trHeight w:val="48"/>
        </w:trPr>
        <w:tc>
          <w:tcPr>
            <w:tcW w:w="547" w:type="pct"/>
            <w:vMerge/>
            <w:tcBorders>
              <w:left w:val="single" w:sz="5" w:space="0" w:color="000000"/>
              <w:right w:val="single" w:sz="5" w:space="0" w:color="000000"/>
            </w:tcBorders>
          </w:tcPr>
          <w:p w14:paraId="17C14AAB"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6D5A40D5"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20c</w:t>
            </w:r>
          </w:p>
        </w:tc>
        <w:tc>
          <w:tcPr>
            <w:tcW w:w="3813" w:type="pct"/>
            <w:tcBorders>
              <w:top w:val="single" w:sz="5" w:space="0" w:color="000000"/>
              <w:left w:val="single" w:sz="5" w:space="0" w:color="000000"/>
              <w:bottom w:val="single" w:sz="5" w:space="0" w:color="000000"/>
              <w:right w:val="single" w:sz="5" w:space="0" w:color="000000"/>
            </w:tcBorders>
          </w:tcPr>
          <w:p w14:paraId="3A762CDB"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446" w:type="pct"/>
            <w:tcBorders>
              <w:top w:val="single" w:sz="5" w:space="0" w:color="000000"/>
              <w:left w:val="single" w:sz="5" w:space="0" w:color="000000"/>
              <w:bottom w:val="single" w:sz="5" w:space="0" w:color="000000"/>
              <w:right w:val="single" w:sz="5" w:space="0" w:color="000000"/>
            </w:tcBorders>
          </w:tcPr>
          <w:p w14:paraId="62A3A29A"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409F3752" w14:textId="77777777" w:rsidTr="00E13373">
        <w:trPr>
          <w:trHeight w:val="48"/>
        </w:trPr>
        <w:tc>
          <w:tcPr>
            <w:tcW w:w="547" w:type="pct"/>
            <w:vMerge/>
            <w:tcBorders>
              <w:left w:val="single" w:sz="5" w:space="0" w:color="000000"/>
              <w:bottom w:val="single" w:sz="5" w:space="0" w:color="000000"/>
              <w:right w:val="single" w:sz="5" w:space="0" w:color="000000"/>
            </w:tcBorders>
          </w:tcPr>
          <w:p w14:paraId="6C68D0F4"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0C25239E"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20d</w:t>
            </w:r>
          </w:p>
        </w:tc>
        <w:tc>
          <w:tcPr>
            <w:tcW w:w="3813" w:type="pct"/>
            <w:tcBorders>
              <w:top w:val="single" w:sz="5" w:space="0" w:color="000000"/>
              <w:left w:val="single" w:sz="5" w:space="0" w:color="000000"/>
              <w:bottom w:val="single" w:sz="5" w:space="0" w:color="000000"/>
              <w:right w:val="single" w:sz="5" w:space="0" w:color="000000"/>
            </w:tcBorders>
          </w:tcPr>
          <w:p w14:paraId="07D42B5C"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446" w:type="pct"/>
            <w:tcBorders>
              <w:top w:val="single" w:sz="5" w:space="0" w:color="000000"/>
              <w:left w:val="single" w:sz="5" w:space="0" w:color="000000"/>
              <w:bottom w:val="single" w:sz="5" w:space="0" w:color="000000"/>
              <w:right w:val="single" w:sz="5" w:space="0" w:color="000000"/>
            </w:tcBorders>
          </w:tcPr>
          <w:p w14:paraId="71901C6B"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0440C5B3"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371A27C5"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lastRenderedPageBreak/>
              <w:t>Reporting biases</w:t>
            </w:r>
          </w:p>
        </w:tc>
        <w:tc>
          <w:tcPr>
            <w:tcW w:w="193" w:type="pct"/>
            <w:tcBorders>
              <w:top w:val="single" w:sz="5" w:space="0" w:color="000000"/>
              <w:left w:val="single" w:sz="5" w:space="0" w:color="000000"/>
              <w:bottom w:val="single" w:sz="5" w:space="0" w:color="000000"/>
              <w:right w:val="single" w:sz="5" w:space="0" w:color="000000"/>
            </w:tcBorders>
          </w:tcPr>
          <w:p w14:paraId="01748863"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21</w:t>
            </w:r>
          </w:p>
        </w:tc>
        <w:tc>
          <w:tcPr>
            <w:tcW w:w="3813" w:type="pct"/>
            <w:tcBorders>
              <w:top w:val="single" w:sz="5" w:space="0" w:color="000000"/>
              <w:left w:val="single" w:sz="5" w:space="0" w:color="000000"/>
              <w:bottom w:val="single" w:sz="5" w:space="0" w:color="000000"/>
              <w:right w:val="single" w:sz="5" w:space="0" w:color="000000"/>
            </w:tcBorders>
          </w:tcPr>
          <w:p w14:paraId="6EA0ECF1"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446" w:type="pct"/>
            <w:tcBorders>
              <w:top w:val="single" w:sz="5" w:space="0" w:color="000000"/>
              <w:left w:val="single" w:sz="5" w:space="0" w:color="000000"/>
              <w:bottom w:val="single" w:sz="5" w:space="0" w:color="000000"/>
              <w:right w:val="single" w:sz="5" w:space="0" w:color="000000"/>
            </w:tcBorders>
          </w:tcPr>
          <w:p w14:paraId="2EAED57C"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5EFD92E1"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43ED1ABA"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193" w:type="pct"/>
            <w:tcBorders>
              <w:top w:val="single" w:sz="5" w:space="0" w:color="000000"/>
              <w:left w:val="single" w:sz="5" w:space="0" w:color="000000"/>
              <w:bottom w:val="single" w:sz="5" w:space="0" w:color="000000"/>
              <w:right w:val="single" w:sz="5" w:space="0" w:color="000000"/>
            </w:tcBorders>
          </w:tcPr>
          <w:p w14:paraId="7A271BF9"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22</w:t>
            </w:r>
          </w:p>
        </w:tc>
        <w:tc>
          <w:tcPr>
            <w:tcW w:w="3813" w:type="pct"/>
            <w:tcBorders>
              <w:top w:val="single" w:sz="5" w:space="0" w:color="000000"/>
              <w:left w:val="single" w:sz="5" w:space="0" w:color="000000"/>
              <w:bottom w:val="single" w:sz="5" w:space="0" w:color="000000"/>
              <w:right w:val="single" w:sz="5" w:space="0" w:color="000000"/>
            </w:tcBorders>
          </w:tcPr>
          <w:p w14:paraId="49690775"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446" w:type="pct"/>
            <w:tcBorders>
              <w:top w:val="single" w:sz="5" w:space="0" w:color="000000"/>
              <w:left w:val="single" w:sz="5" w:space="0" w:color="000000"/>
              <w:bottom w:val="single" w:sz="5" w:space="0" w:color="000000"/>
              <w:right w:val="single" w:sz="5" w:space="0" w:color="000000"/>
            </w:tcBorders>
          </w:tcPr>
          <w:p w14:paraId="5D4FF1D6"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1BC5F5AF" w14:textId="77777777" w:rsidTr="00E13373">
        <w:trPr>
          <w:trHeight w:val="24"/>
        </w:trPr>
        <w:tc>
          <w:tcPr>
            <w:tcW w:w="4554"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F8B068" w14:textId="77777777" w:rsidR="00E13373" w:rsidRPr="00930A31" w:rsidRDefault="00E13373" w:rsidP="00C7625B">
            <w:pPr>
              <w:pStyle w:val="Default"/>
              <w:rPr>
                <w:rFonts w:ascii="Arial" w:hAnsi="Arial" w:cs="Arial"/>
                <w:sz w:val="18"/>
                <w:szCs w:val="18"/>
              </w:rPr>
            </w:pPr>
            <w:r w:rsidRPr="00930A31">
              <w:rPr>
                <w:rFonts w:ascii="Arial" w:hAnsi="Arial" w:cs="Arial"/>
                <w:b/>
                <w:bCs/>
                <w:sz w:val="18"/>
                <w:szCs w:val="18"/>
              </w:rPr>
              <w:t xml:space="preserve">DISCUSSION </w:t>
            </w:r>
          </w:p>
        </w:tc>
        <w:tc>
          <w:tcPr>
            <w:tcW w:w="446" w:type="pct"/>
            <w:tcBorders>
              <w:top w:val="double" w:sz="5" w:space="0" w:color="000000"/>
              <w:left w:val="single" w:sz="5" w:space="0" w:color="000000"/>
              <w:bottom w:val="single" w:sz="5" w:space="0" w:color="000000"/>
              <w:right w:val="single" w:sz="5" w:space="0" w:color="000000"/>
            </w:tcBorders>
            <w:shd w:val="clear" w:color="auto" w:fill="FFFFCC"/>
          </w:tcPr>
          <w:p w14:paraId="1F946A7D" w14:textId="77777777" w:rsidR="00E13373" w:rsidRPr="00930A31" w:rsidRDefault="00E13373" w:rsidP="00C7625B">
            <w:pPr>
              <w:pStyle w:val="Default"/>
              <w:jc w:val="center"/>
              <w:rPr>
                <w:rFonts w:ascii="Arial" w:hAnsi="Arial" w:cs="Arial"/>
                <w:color w:val="auto"/>
                <w:sz w:val="18"/>
                <w:szCs w:val="18"/>
              </w:rPr>
            </w:pPr>
          </w:p>
        </w:tc>
      </w:tr>
      <w:tr w:rsidR="00E13373" w:rsidRPr="004C1685" w14:paraId="675D70AB" w14:textId="77777777" w:rsidTr="00E13373">
        <w:trPr>
          <w:trHeight w:val="48"/>
        </w:trPr>
        <w:tc>
          <w:tcPr>
            <w:tcW w:w="547" w:type="pct"/>
            <w:vMerge w:val="restart"/>
            <w:tcBorders>
              <w:top w:val="single" w:sz="5" w:space="0" w:color="000000"/>
              <w:left w:val="single" w:sz="5" w:space="0" w:color="000000"/>
              <w:right w:val="single" w:sz="5" w:space="0" w:color="000000"/>
            </w:tcBorders>
          </w:tcPr>
          <w:p w14:paraId="146EFDDD"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193" w:type="pct"/>
            <w:tcBorders>
              <w:top w:val="single" w:sz="5" w:space="0" w:color="000000"/>
              <w:left w:val="single" w:sz="5" w:space="0" w:color="000000"/>
              <w:bottom w:val="single" w:sz="5" w:space="0" w:color="000000"/>
              <w:right w:val="single" w:sz="5" w:space="0" w:color="000000"/>
            </w:tcBorders>
          </w:tcPr>
          <w:p w14:paraId="010DBF1C"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23a</w:t>
            </w:r>
          </w:p>
        </w:tc>
        <w:tc>
          <w:tcPr>
            <w:tcW w:w="3813" w:type="pct"/>
            <w:tcBorders>
              <w:top w:val="single" w:sz="5" w:space="0" w:color="000000"/>
              <w:left w:val="single" w:sz="5" w:space="0" w:color="000000"/>
              <w:bottom w:val="single" w:sz="5" w:space="0" w:color="000000"/>
              <w:right w:val="single" w:sz="5" w:space="0" w:color="000000"/>
            </w:tcBorders>
          </w:tcPr>
          <w:p w14:paraId="07695504"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446" w:type="pct"/>
            <w:tcBorders>
              <w:top w:val="single" w:sz="5" w:space="0" w:color="000000"/>
              <w:left w:val="single" w:sz="5" w:space="0" w:color="000000"/>
              <w:bottom w:val="single" w:sz="5" w:space="0" w:color="000000"/>
              <w:right w:val="single" w:sz="5" w:space="0" w:color="000000"/>
            </w:tcBorders>
          </w:tcPr>
          <w:p w14:paraId="6EEF24A3" w14:textId="2A4F1841"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C6B67">
              <w:rPr>
                <w:rFonts w:ascii="Arial" w:hAnsi="Arial" w:cs="Arial"/>
                <w:color w:val="auto"/>
                <w:sz w:val="18"/>
                <w:szCs w:val="18"/>
              </w:rPr>
              <w:t>16</w:t>
            </w:r>
          </w:p>
        </w:tc>
      </w:tr>
      <w:tr w:rsidR="00E13373" w:rsidRPr="004C1685" w14:paraId="29BA5B29" w14:textId="77777777" w:rsidTr="00E13373">
        <w:trPr>
          <w:trHeight w:val="48"/>
        </w:trPr>
        <w:tc>
          <w:tcPr>
            <w:tcW w:w="547" w:type="pct"/>
            <w:vMerge/>
            <w:tcBorders>
              <w:left w:val="single" w:sz="5" w:space="0" w:color="000000"/>
              <w:right w:val="single" w:sz="5" w:space="0" w:color="000000"/>
            </w:tcBorders>
          </w:tcPr>
          <w:p w14:paraId="06B8447D"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66282641"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23b</w:t>
            </w:r>
          </w:p>
        </w:tc>
        <w:tc>
          <w:tcPr>
            <w:tcW w:w="3813" w:type="pct"/>
            <w:tcBorders>
              <w:top w:val="single" w:sz="5" w:space="0" w:color="000000"/>
              <w:left w:val="single" w:sz="5" w:space="0" w:color="000000"/>
              <w:bottom w:val="single" w:sz="5" w:space="0" w:color="000000"/>
              <w:right w:val="single" w:sz="5" w:space="0" w:color="000000"/>
            </w:tcBorders>
          </w:tcPr>
          <w:p w14:paraId="2D508A52"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446" w:type="pct"/>
            <w:tcBorders>
              <w:top w:val="single" w:sz="5" w:space="0" w:color="000000"/>
              <w:left w:val="single" w:sz="5" w:space="0" w:color="000000"/>
              <w:bottom w:val="single" w:sz="5" w:space="0" w:color="000000"/>
              <w:right w:val="single" w:sz="5" w:space="0" w:color="000000"/>
            </w:tcBorders>
          </w:tcPr>
          <w:p w14:paraId="05D72530" w14:textId="4949C6AC"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C6B67">
              <w:rPr>
                <w:rFonts w:ascii="Arial" w:hAnsi="Arial" w:cs="Arial"/>
                <w:color w:val="auto"/>
                <w:sz w:val="18"/>
                <w:szCs w:val="18"/>
              </w:rPr>
              <w:t>17</w:t>
            </w:r>
          </w:p>
        </w:tc>
      </w:tr>
      <w:tr w:rsidR="00E13373" w:rsidRPr="004C1685" w14:paraId="5F40EBD9" w14:textId="77777777" w:rsidTr="00E13373">
        <w:trPr>
          <w:trHeight w:val="48"/>
        </w:trPr>
        <w:tc>
          <w:tcPr>
            <w:tcW w:w="547" w:type="pct"/>
            <w:vMerge/>
            <w:tcBorders>
              <w:left w:val="single" w:sz="5" w:space="0" w:color="000000"/>
              <w:right w:val="single" w:sz="5" w:space="0" w:color="000000"/>
            </w:tcBorders>
          </w:tcPr>
          <w:p w14:paraId="6D47FAA0"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4" w:space="0" w:color="auto"/>
              <w:right w:val="single" w:sz="5" w:space="0" w:color="000000"/>
            </w:tcBorders>
          </w:tcPr>
          <w:p w14:paraId="7D66B7F2"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23c</w:t>
            </w:r>
          </w:p>
        </w:tc>
        <w:tc>
          <w:tcPr>
            <w:tcW w:w="3813" w:type="pct"/>
            <w:tcBorders>
              <w:top w:val="single" w:sz="5" w:space="0" w:color="000000"/>
              <w:left w:val="single" w:sz="5" w:space="0" w:color="000000"/>
              <w:bottom w:val="single" w:sz="5" w:space="0" w:color="000000"/>
              <w:right w:val="single" w:sz="5" w:space="0" w:color="000000"/>
            </w:tcBorders>
          </w:tcPr>
          <w:p w14:paraId="68ABA770"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446" w:type="pct"/>
            <w:tcBorders>
              <w:top w:val="single" w:sz="5" w:space="0" w:color="000000"/>
              <w:left w:val="single" w:sz="5" w:space="0" w:color="000000"/>
              <w:bottom w:val="single" w:sz="5" w:space="0" w:color="000000"/>
              <w:right w:val="single" w:sz="5" w:space="0" w:color="000000"/>
            </w:tcBorders>
          </w:tcPr>
          <w:p w14:paraId="1C435C84" w14:textId="0FBBF715"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C6B67">
              <w:rPr>
                <w:rFonts w:ascii="Arial" w:hAnsi="Arial" w:cs="Arial"/>
                <w:color w:val="auto"/>
                <w:sz w:val="18"/>
                <w:szCs w:val="18"/>
              </w:rPr>
              <w:t>17</w:t>
            </w:r>
          </w:p>
        </w:tc>
      </w:tr>
      <w:tr w:rsidR="00E13373" w:rsidRPr="004C1685" w14:paraId="20BC6953" w14:textId="77777777" w:rsidTr="00E13373">
        <w:trPr>
          <w:trHeight w:val="48"/>
        </w:trPr>
        <w:tc>
          <w:tcPr>
            <w:tcW w:w="547" w:type="pct"/>
            <w:vMerge/>
            <w:tcBorders>
              <w:left w:val="single" w:sz="5" w:space="0" w:color="000000"/>
              <w:bottom w:val="single" w:sz="4" w:space="0" w:color="auto"/>
              <w:right w:val="single" w:sz="5" w:space="0" w:color="000000"/>
            </w:tcBorders>
          </w:tcPr>
          <w:p w14:paraId="58A4D100"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4" w:space="0" w:color="auto"/>
              <w:left w:val="single" w:sz="5" w:space="0" w:color="000000"/>
              <w:bottom w:val="single" w:sz="4" w:space="0" w:color="auto"/>
              <w:right w:val="single" w:sz="4" w:space="0" w:color="auto"/>
            </w:tcBorders>
          </w:tcPr>
          <w:p w14:paraId="45F2DFCA"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23d</w:t>
            </w:r>
          </w:p>
        </w:tc>
        <w:tc>
          <w:tcPr>
            <w:tcW w:w="3813" w:type="pct"/>
            <w:tcBorders>
              <w:top w:val="single" w:sz="5" w:space="0" w:color="000000"/>
              <w:left w:val="single" w:sz="4" w:space="0" w:color="auto"/>
              <w:bottom w:val="double" w:sz="5" w:space="0" w:color="000000"/>
              <w:right w:val="single" w:sz="5" w:space="0" w:color="000000"/>
            </w:tcBorders>
          </w:tcPr>
          <w:p w14:paraId="11802CB7"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446" w:type="pct"/>
            <w:tcBorders>
              <w:top w:val="single" w:sz="5" w:space="0" w:color="000000"/>
              <w:left w:val="single" w:sz="5" w:space="0" w:color="000000"/>
              <w:bottom w:val="double" w:sz="5" w:space="0" w:color="000000"/>
              <w:right w:val="single" w:sz="5" w:space="0" w:color="000000"/>
            </w:tcBorders>
          </w:tcPr>
          <w:p w14:paraId="7D402445" w14:textId="286DA004"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C6B67">
              <w:rPr>
                <w:rFonts w:ascii="Arial" w:hAnsi="Arial" w:cs="Arial"/>
                <w:color w:val="auto"/>
                <w:sz w:val="18"/>
                <w:szCs w:val="18"/>
              </w:rPr>
              <w:t>17-18</w:t>
            </w:r>
          </w:p>
        </w:tc>
      </w:tr>
      <w:tr w:rsidR="00E13373" w:rsidRPr="004C1685" w14:paraId="6C0E8090" w14:textId="77777777" w:rsidTr="00E13373">
        <w:trPr>
          <w:trHeight w:val="24"/>
        </w:trPr>
        <w:tc>
          <w:tcPr>
            <w:tcW w:w="4554"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7214B2C" w14:textId="77777777" w:rsidR="00E13373" w:rsidRPr="00930A31" w:rsidRDefault="00E13373" w:rsidP="00C7625B">
            <w:pPr>
              <w:pStyle w:val="Default"/>
              <w:rPr>
                <w:rFonts w:ascii="Arial" w:hAnsi="Arial" w:cs="Arial"/>
                <w:sz w:val="18"/>
                <w:szCs w:val="18"/>
              </w:rPr>
            </w:pPr>
            <w:r w:rsidRPr="00930A31">
              <w:rPr>
                <w:rFonts w:ascii="Arial" w:hAnsi="Arial" w:cs="Arial"/>
                <w:b/>
                <w:bCs/>
                <w:sz w:val="18"/>
                <w:szCs w:val="18"/>
              </w:rPr>
              <w:t>OTHER INFORMATION</w:t>
            </w:r>
          </w:p>
        </w:tc>
        <w:tc>
          <w:tcPr>
            <w:tcW w:w="446" w:type="pct"/>
            <w:tcBorders>
              <w:top w:val="double" w:sz="5" w:space="0" w:color="000000"/>
              <w:left w:val="single" w:sz="5" w:space="0" w:color="000000"/>
              <w:bottom w:val="single" w:sz="5" w:space="0" w:color="000000"/>
              <w:right w:val="single" w:sz="5" w:space="0" w:color="000000"/>
            </w:tcBorders>
            <w:shd w:val="clear" w:color="auto" w:fill="FFFFCC"/>
          </w:tcPr>
          <w:p w14:paraId="534DD5C3" w14:textId="77777777" w:rsidR="00E13373" w:rsidRPr="00930A31" w:rsidRDefault="00E13373" w:rsidP="00C7625B">
            <w:pPr>
              <w:pStyle w:val="Default"/>
              <w:jc w:val="center"/>
              <w:rPr>
                <w:rFonts w:ascii="Arial" w:hAnsi="Arial" w:cs="Arial"/>
                <w:color w:val="auto"/>
                <w:sz w:val="18"/>
                <w:szCs w:val="18"/>
              </w:rPr>
            </w:pPr>
          </w:p>
        </w:tc>
      </w:tr>
      <w:tr w:rsidR="00E13373" w:rsidRPr="004C1685" w14:paraId="7D42697A" w14:textId="77777777" w:rsidTr="00E13373">
        <w:trPr>
          <w:trHeight w:val="48"/>
        </w:trPr>
        <w:tc>
          <w:tcPr>
            <w:tcW w:w="547" w:type="pct"/>
            <w:vMerge w:val="restart"/>
            <w:tcBorders>
              <w:top w:val="single" w:sz="5" w:space="0" w:color="000000"/>
              <w:left w:val="single" w:sz="5" w:space="0" w:color="000000"/>
              <w:right w:val="single" w:sz="5" w:space="0" w:color="000000"/>
            </w:tcBorders>
          </w:tcPr>
          <w:p w14:paraId="036715A5"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193" w:type="pct"/>
            <w:tcBorders>
              <w:top w:val="single" w:sz="5" w:space="0" w:color="000000"/>
              <w:left w:val="single" w:sz="5" w:space="0" w:color="000000"/>
              <w:bottom w:val="single" w:sz="5" w:space="0" w:color="000000"/>
              <w:right w:val="single" w:sz="5" w:space="0" w:color="000000"/>
            </w:tcBorders>
          </w:tcPr>
          <w:p w14:paraId="24B5FBD6"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24a</w:t>
            </w:r>
          </w:p>
        </w:tc>
        <w:tc>
          <w:tcPr>
            <w:tcW w:w="3813" w:type="pct"/>
            <w:tcBorders>
              <w:top w:val="single" w:sz="5" w:space="0" w:color="000000"/>
              <w:left w:val="single" w:sz="5" w:space="0" w:color="000000"/>
              <w:bottom w:val="single" w:sz="5" w:space="0" w:color="000000"/>
              <w:right w:val="single" w:sz="5" w:space="0" w:color="000000"/>
            </w:tcBorders>
          </w:tcPr>
          <w:p w14:paraId="748B109D"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446" w:type="pct"/>
            <w:tcBorders>
              <w:top w:val="single" w:sz="5" w:space="0" w:color="000000"/>
              <w:left w:val="single" w:sz="5" w:space="0" w:color="000000"/>
              <w:bottom w:val="single" w:sz="5" w:space="0" w:color="000000"/>
              <w:right w:val="single" w:sz="5" w:space="0" w:color="000000"/>
            </w:tcBorders>
          </w:tcPr>
          <w:p w14:paraId="16094901"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35952CA7" w14:textId="77777777" w:rsidTr="00E13373">
        <w:trPr>
          <w:trHeight w:val="57"/>
        </w:trPr>
        <w:tc>
          <w:tcPr>
            <w:tcW w:w="547" w:type="pct"/>
            <w:vMerge/>
            <w:tcBorders>
              <w:left w:val="single" w:sz="5" w:space="0" w:color="000000"/>
              <w:right w:val="single" w:sz="5" w:space="0" w:color="000000"/>
            </w:tcBorders>
          </w:tcPr>
          <w:p w14:paraId="77D55D69"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4F6D7B28"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24b</w:t>
            </w:r>
          </w:p>
        </w:tc>
        <w:tc>
          <w:tcPr>
            <w:tcW w:w="3813" w:type="pct"/>
            <w:tcBorders>
              <w:top w:val="single" w:sz="5" w:space="0" w:color="000000"/>
              <w:left w:val="single" w:sz="5" w:space="0" w:color="000000"/>
              <w:bottom w:val="single" w:sz="5" w:space="0" w:color="000000"/>
              <w:right w:val="single" w:sz="5" w:space="0" w:color="000000"/>
            </w:tcBorders>
          </w:tcPr>
          <w:p w14:paraId="361A8AAB"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446" w:type="pct"/>
            <w:tcBorders>
              <w:top w:val="single" w:sz="5" w:space="0" w:color="000000"/>
              <w:left w:val="single" w:sz="5" w:space="0" w:color="000000"/>
              <w:bottom w:val="single" w:sz="5" w:space="0" w:color="000000"/>
              <w:right w:val="single" w:sz="5" w:space="0" w:color="000000"/>
            </w:tcBorders>
          </w:tcPr>
          <w:p w14:paraId="3346937F"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471551D1" w14:textId="77777777" w:rsidTr="00E13373">
        <w:trPr>
          <w:trHeight w:val="48"/>
        </w:trPr>
        <w:tc>
          <w:tcPr>
            <w:tcW w:w="547" w:type="pct"/>
            <w:vMerge/>
            <w:tcBorders>
              <w:left w:val="single" w:sz="5" w:space="0" w:color="000000"/>
              <w:bottom w:val="single" w:sz="5" w:space="0" w:color="000000"/>
              <w:right w:val="single" w:sz="5" w:space="0" w:color="000000"/>
            </w:tcBorders>
          </w:tcPr>
          <w:p w14:paraId="36DEE161" w14:textId="77777777" w:rsidR="00E13373" w:rsidRPr="00930A31" w:rsidRDefault="00E13373" w:rsidP="00C7625B">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1F79107F"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24c</w:t>
            </w:r>
          </w:p>
        </w:tc>
        <w:tc>
          <w:tcPr>
            <w:tcW w:w="3813" w:type="pct"/>
            <w:tcBorders>
              <w:top w:val="single" w:sz="5" w:space="0" w:color="000000"/>
              <w:left w:val="single" w:sz="5" w:space="0" w:color="000000"/>
              <w:bottom w:val="single" w:sz="5" w:space="0" w:color="000000"/>
              <w:right w:val="single" w:sz="5" w:space="0" w:color="000000"/>
            </w:tcBorders>
          </w:tcPr>
          <w:p w14:paraId="027A8BD7"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446" w:type="pct"/>
            <w:tcBorders>
              <w:top w:val="single" w:sz="5" w:space="0" w:color="000000"/>
              <w:left w:val="single" w:sz="5" w:space="0" w:color="000000"/>
              <w:bottom w:val="single" w:sz="5" w:space="0" w:color="000000"/>
              <w:right w:val="single" w:sz="5" w:space="0" w:color="000000"/>
            </w:tcBorders>
          </w:tcPr>
          <w:p w14:paraId="32537752"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N/A</w:t>
            </w:r>
          </w:p>
        </w:tc>
      </w:tr>
      <w:tr w:rsidR="00E13373" w:rsidRPr="004C1685" w14:paraId="26A46157"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17F0A548"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Support</w:t>
            </w:r>
          </w:p>
        </w:tc>
        <w:tc>
          <w:tcPr>
            <w:tcW w:w="193" w:type="pct"/>
            <w:tcBorders>
              <w:top w:val="single" w:sz="5" w:space="0" w:color="000000"/>
              <w:left w:val="single" w:sz="5" w:space="0" w:color="000000"/>
              <w:bottom w:val="single" w:sz="5" w:space="0" w:color="000000"/>
              <w:right w:val="single" w:sz="5" w:space="0" w:color="000000"/>
            </w:tcBorders>
          </w:tcPr>
          <w:p w14:paraId="06017348"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25</w:t>
            </w:r>
          </w:p>
        </w:tc>
        <w:tc>
          <w:tcPr>
            <w:tcW w:w="3813" w:type="pct"/>
            <w:tcBorders>
              <w:top w:val="single" w:sz="5" w:space="0" w:color="000000"/>
              <w:left w:val="single" w:sz="5" w:space="0" w:color="000000"/>
              <w:bottom w:val="single" w:sz="5" w:space="0" w:color="000000"/>
              <w:right w:val="single" w:sz="5" w:space="0" w:color="000000"/>
            </w:tcBorders>
          </w:tcPr>
          <w:p w14:paraId="00B04682"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446" w:type="pct"/>
            <w:tcBorders>
              <w:top w:val="single" w:sz="5" w:space="0" w:color="000000"/>
              <w:left w:val="single" w:sz="5" w:space="0" w:color="000000"/>
              <w:bottom w:val="single" w:sz="5" w:space="0" w:color="000000"/>
              <w:right w:val="single" w:sz="5" w:space="0" w:color="000000"/>
            </w:tcBorders>
          </w:tcPr>
          <w:p w14:paraId="058DA94B"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None</w:t>
            </w:r>
          </w:p>
        </w:tc>
      </w:tr>
      <w:tr w:rsidR="00E13373" w:rsidRPr="004C1685" w14:paraId="7585E659" w14:textId="77777777" w:rsidTr="00E13373">
        <w:trPr>
          <w:trHeight w:val="48"/>
        </w:trPr>
        <w:tc>
          <w:tcPr>
            <w:tcW w:w="547" w:type="pct"/>
            <w:tcBorders>
              <w:top w:val="single" w:sz="5" w:space="0" w:color="000000"/>
              <w:left w:val="single" w:sz="5" w:space="0" w:color="000000"/>
              <w:bottom w:val="single" w:sz="5" w:space="0" w:color="000000"/>
              <w:right w:val="single" w:sz="5" w:space="0" w:color="000000"/>
            </w:tcBorders>
          </w:tcPr>
          <w:p w14:paraId="0B370355"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193" w:type="pct"/>
            <w:tcBorders>
              <w:top w:val="single" w:sz="5" w:space="0" w:color="000000"/>
              <w:left w:val="single" w:sz="5" w:space="0" w:color="000000"/>
              <w:bottom w:val="single" w:sz="5" w:space="0" w:color="000000"/>
              <w:right w:val="single" w:sz="5" w:space="0" w:color="000000"/>
            </w:tcBorders>
          </w:tcPr>
          <w:p w14:paraId="58879B52"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26</w:t>
            </w:r>
          </w:p>
        </w:tc>
        <w:tc>
          <w:tcPr>
            <w:tcW w:w="3813" w:type="pct"/>
            <w:tcBorders>
              <w:top w:val="single" w:sz="5" w:space="0" w:color="000000"/>
              <w:left w:val="single" w:sz="5" w:space="0" w:color="000000"/>
              <w:bottom w:val="single" w:sz="5" w:space="0" w:color="000000"/>
              <w:right w:val="single" w:sz="5" w:space="0" w:color="000000"/>
            </w:tcBorders>
          </w:tcPr>
          <w:p w14:paraId="655E8D43"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446" w:type="pct"/>
            <w:tcBorders>
              <w:top w:val="single" w:sz="5" w:space="0" w:color="000000"/>
              <w:left w:val="single" w:sz="5" w:space="0" w:color="000000"/>
              <w:bottom w:val="single" w:sz="5" w:space="0" w:color="000000"/>
              <w:right w:val="single" w:sz="5" w:space="0" w:color="000000"/>
            </w:tcBorders>
          </w:tcPr>
          <w:p w14:paraId="775E3E38"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None</w:t>
            </w:r>
          </w:p>
        </w:tc>
      </w:tr>
      <w:tr w:rsidR="00E13373" w:rsidRPr="004C1685" w14:paraId="2D4B6D6D" w14:textId="77777777" w:rsidTr="00E13373">
        <w:trPr>
          <w:trHeight w:val="219"/>
        </w:trPr>
        <w:tc>
          <w:tcPr>
            <w:tcW w:w="547" w:type="pct"/>
            <w:tcBorders>
              <w:top w:val="single" w:sz="5" w:space="0" w:color="000000"/>
              <w:left w:val="single" w:sz="5" w:space="0" w:color="000000"/>
              <w:bottom w:val="double" w:sz="5" w:space="0" w:color="000000"/>
              <w:right w:val="single" w:sz="5" w:space="0" w:color="000000"/>
            </w:tcBorders>
          </w:tcPr>
          <w:p w14:paraId="2CE2D5DA"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193" w:type="pct"/>
            <w:tcBorders>
              <w:top w:val="single" w:sz="5" w:space="0" w:color="000000"/>
              <w:left w:val="single" w:sz="5" w:space="0" w:color="000000"/>
              <w:bottom w:val="double" w:sz="5" w:space="0" w:color="000000"/>
              <w:right w:val="single" w:sz="5" w:space="0" w:color="000000"/>
            </w:tcBorders>
          </w:tcPr>
          <w:p w14:paraId="1532C6DE" w14:textId="77777777" w:rsidR="00E13373" w:rsidRPr="00930A31" w:rsidRDefault="00E13373" w:rsidP="00C7625B">
            <w:pPr>
              <w:pStyle w:val="Default"/>
              <w:spacing w:before="40" w:after="40"/>
              <w:jc w:val="right"/>
              <w:rPr>
                <w:rFonts w:ascii="Arial" w:hAnsi="Arial" w:cs="Arial"/>
                <w:sz w:val="18"/>
                <w:szCs w:val="18"/>
              </w:rPr>
            </w:pPr>
            <w:r w:rsidRPr="00930A31">
              <w:rPr>
                <w:rFonts w:ascii="Arial" w:hAnsi="Arial" w:cs="Arial"/>
                <w:sz w:val="18"/>
                <w:szCs w:val="18"/>
              </w:rPr>
              <w:t>27</w:t>
            </w:r>
          </w:p>
        </w:tc>
        <w:tc>
          <w:tcPr>
            <w:tcW w:w="3813" w:type="pct"/>
            <w:tcBorders>
              <w:top w:val="single" w:sz="5" w:space="0" w:color="000000"/>
              <w:left w:val="single" w:sz="5" w:space="0" w:color="000000"/>
              <w:bottom w:val="double" w:sz="5" w:space="0" w:color="000000"/>
              <w:right w:val="single" w:sz="5" w:space="0" w:color="000000"/>
            </w:tcBorders>
          </w:tcPr>
          <w:p w14:paraId="5803EEBD" w14:textId="77777777" w:rsidR="00E13373" w:rsidRPr="00930A31" w:rsidRDefault="00E13373" w:rsidP="00C7625B">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446" w:type="pct"/>
            <w:tcBorders>
              <w:top w:val="single" w:sz="5" w:space="0" w:color="000000"/>
              <w:left w:val="single" w:sz="5" w:space="0" w:color="000000"/>
              <w:bottom w:val="double" w:sz="5" w:space="0" w:color="000000"/>
              <w:right w:val="single" w:sz="5" w:space="0" w:color="000000"/>
            </w:tcBorders>
          </w:tcPr>
          <w:p w14:paraId="29EABC6D" w14:textId="77777777" w:rsidR="00E13373" w:rsidRPr="00930A31" w:rsidRDefault="00E13373" w:rsidP="00C7625B">
            <w:pPr>
              <w:pStyle w:val="Default"/>
              <w:spacing w:before="40" w:after="40"/>
              <w:rPr>
                <w:rFonts w:ascii="Arial" w:hAnsi="Arial" w:cs="Arial"/>
                <w:color w:val="auto"/>
                <w:sz w:val="18"/>
                <w:szCs w:val="18"/>
              </w:rPr>
            </w:pPr>
            <w:r>
              <w:rPr>
                <w:rFonts w:ascii="Arial" w:hAnsi="Arial" w:cs="Arial"/>
                <w:color w:val="auto"/>
                <w:sz w:val="18"/>
                <w:szCs w:val="18"/>
              </w:rPr>
              <w:t>By contacting the corresponding author</w:t>
            </w:r>
          </w:p>
        </w:tc>
      </w:tr>
    </w:tbl>
    <w:p w14:paraId="074793B4" w14:textId="77777777" w:rsidR="00E13373" w:rsidRDefault="00E13373" w:rsidP="00A32585">
      <w:pPr>
        <w:spacing w:after="120" w:line="360" w:lineRule="auto"/>
        <w:jc w:val="center"/>
        <w:rPr>
          <w:rFonts w:ascii="Arial" w:hAnsi="Arial" w:cs="Arial"/>
          <w:b/>
          <w:sz w:val="20"/>
          <w:szCs w:val="20"/>
        </w:rPr>
      </w:pPr>
    </w:p>
    <w:p w14:paraId="15F0534F" w14:textId="77777777" w:rsidR="00E13373" w:rsidRDefault="00E13373" w:rsidP="00A32585">
      <w:pPr>
        <w:spacing w:after="120" w:line="360" w:lineRule="auto"/>
        <w:jc w:val="center"/>
        <w:rPr>
          <w:rFonts w:ascii="Arial" w:hAnsi="Arial" w:cs="Arial"/>
          <w:b/>
          <w:sz w:val="20"/>
          <w:szCs w:val="20"/>
        </w:rPr>
      </w:pPr>
    </w:p>
    <w:p w14:paraId="2CE1CC78" w14:textId="77777777" w:rsidR="00E13373" w:rsidRDefault="00E13373" w:rsidP="00A32585">
      <w:pPr>
        <w:spacing w:after="120" w:line="360" w:lineRule="auto"/>
        <w:jc w:val="center"/>
        <w:rPr>
          <w:rFonts w:ascii="Arial" w:hAnsi="Arial" w:cs="Arial"/>
          <w:b/>
          <w:sz w:val="20"/>
          <w:szCs w:val="20"/>
        </w:rPr>
      </w:pPr>
    </w:p>
    <w:p w14:paraId="7CFE75B8" w14:textId="77777777" w:rsidR="00E13373" w:rsidRDefault="00E13373" w:rsidP="00A32585">
      <w:pPr>
        <w:spacing w:after="120" w:line="360" w:lineRule="auto"/>
        <w:jc w:val="center"/>
        <w:rPr>
          <w:rFonts w:ascii="Arial" w:hAnsi="Arial" w:cs="Arial"/>
          <w:b/>
          <w:sz w:val="20"/>
          <w:szCs w:val="20"/>
        </w:rPr>
      </w:pPr>
    </w:p>
    <w:p w14:paraId="4820D322" w14:textId="77777777" w:rsidR="00E13373" w:rsidRDefault="00E13373" w:rsidP="00A32585">
      <w:pPr>
        <w:spacing w:after="120" w:line="360" w:lineRule="auto"/>
        <w:jc w:val="center"/>
        <w:rPr>
          <w:rFonts w:ascii="Arial" w:hAnsi="Arial" w:cs="Arial"/>
          <w:b/>
          <w:sz w:val="20"/>
          <w:szCs w:val="20"/>
        </w:rPr>
      </w:pPr>
    </w:p>
    <w:p w14:paraId="6584B94C" w14:textId="77777777" w:rsidR="00E13373" w:rsidRDefault="00E13373" w:rsidP="00A32585">
      <w:pPr>
        <w:spacing w:after="120" w:line="360" w:lineRule="auto"/>
        <w:jc w:val="center"/>
        <w:rPr>
          <w:rFonts w:ascii="Arial" w:hAnsi="Arial" w:cs="Arial"/>
          <w:b/>
          <w:sz w:val="20"/>
          <w:szCs w:val="20"/>
        </w:rPr>
      </w:pPr>
    </w:p>
    <w:p w14:paraId="48BE09AB" w14:textId="2A0FE1D8" w:rsidR="00E13373" w:rsidRPr="006374D2" w:rsidRDefault="006374D2" w:rsidP="006374D2">
      <w:pPr>
        <w:tabs>
          <w:tab w:val="left" w:pos="567"/>
        </w:tabs>
        <w:spacing w:after="0" w:line="480" w:lineRule="auto"/>
        <w:rPr>
          <w:rFonts w:eastAsia="Times New Roman" w:cs="Times New Roman"/>
          <w:spacing w:val="1"/>
          <w:lang w:eastAsia="nl-NL"/>
        </w:rPr>
      </w:pPr>
      <w:r>
        <w:rPr>
          <w:rFonts w:eastAsia="Times New Roman" w:cs="Times New Roman"/>
          <w:b/>
          <w:bCs/>
          <w:spacing w:val="1"/>
          <w:lang w:eastAsia="nl-NL"/>
        </w:rPr>
        <w:lastRenderedPageBreak/>
        <w:t>Supplementary Table 2</w:t>
      </w:r>
      <w:r>
        <w:rPr>
          <w:rFonts w:eastAsia="Times New Roman" w:cs="Times New Roman"/>
          <w:b/>
          <w:spacing w:val="1"/>
          <w:lang w:eastAsia="nl-NL"/>
        </w:rPr>
        <w:t>.</w:t>
      </w:r>
      <w:r>
        <w:rPr>
          <w:rFonts w:eastAsia="Times New Roman" w:cs="Times New Roman"/>
          <w:spacing w:val="1"/>
          <w:lang w:eastAsia="nl-NL"/>
        </w:rPr>
        <w:t xml:space="preserve"> Search strategies for online databases</w:t>
      </w:r>
    </w:p>
    <w:p w14:paraId="735BF6ED" w14:textId="77777777" w:rsidR="00A32585" w:rsidRPr="00A32585" w:rsidRDefault="00A32585" w:rsidP="00A32585">
      <w:pPr>
        <w:spacing w:after="120" w:line="360" w:lineRule="auto"/>
        <w:jc w:val="center"/>
        <w:rPr>
          <w:rFonts w:ascii="Arial" w:hAnsi="Arial" w:cs="Arial"/>
          <w:b/>
          <w:sz w:val="18"/>
          <w:szCs w:val="18"/>
        </w:rPr>
      </w:pPr>
    </w:p>
    <w:p w14:paraId="13418D7B" w14:textId="77777777" w:rsidR="00B05196" w:rsidRPr="00A32585" w:rsidRDefault="00B05196" w:rsidP="00B05196">
      <w:pPr>
        <w:spacing w:after="120" w:line="360" w:lineRule="auto"/>
        <w:rPr>
          <w:rFonts w:ascii="Arial" w:hAnsi="Arial" w:cs="Arial"/>
          <w:b/>
          <w:sz w:val="16"/>
          <w:szCs w:val="16"/>
        </w:rPr>
      </w:pPr>
      <w:r w:rsidRPr="00A32585">
        <w:rPr>
          <w:rFonts w:ascii="Arial" w:hAnsi="Arial" w:cs="Arial"/>
          <w:b/>
          <w:sz w:val="16"/>
          <w:szCs w:val="16"/>
        </w:rPr>
        <w:t>Pubmed:453, Scopus:631, WOS: 607, total=1690, dup remove= 1250,</w:t>
      </w:r>
    </w:p>
    <w:p w14:paraId="64A680EC" w14:textId="54DD61FA" w:rsidR="008C73AC" w:rsidRPr="00A32585" w:rsidRDefault="00B05196" w:rsidP="00B05196">
      <w:pPr>
        <w:spacing w:after="120" w:line="360" w:lineRule="auto"/>
        <w:rPr>
          <w:rFonts w:ascii="Arial" w:hAnsi="Arial" w:cs="Arial"/>
          <w:b/>
          <w:sz w:val="16"/>
          <w:szCs w:val="16"/>
        </w:rPr>
      </w:pPr>
      <w:r w:rsidRPr="00A32585">
        <w:rPr>
          <w:rFonts w:ascii="Arial" w:hAnsi="Arial" w:cs="Arial"/>
          <w:b/>
          <w:sz w:val="16"/>
          <w:szCs w:val="16"/>
        </w:rPr>
        <w:t>Cochrane:10</w:t>
      </w:r>
    </w:p>
    <w:tbl>
      <w:tblPr>
        <w:tblW w:w="5000" w:type="pct"/>
        <w:tblLook w:val="0000" w:firstRow="0" w:lastRow="0" w:firstColumn="0" w:lastColumn="0" w:noHBand="0" w:noVBand="0"/>
      </w:tblPr>
      <w:tblGrid>
        <w:gridCol w:w="2730"/>
        <w:gridCol w:w="10220"/>
      </w:tblGrid>
      <w:tr w:rsidR="00284E16" w:rsidRPr="00284E16" w14:paraId="7E5D016D" w14:textId="77777777" w:rsidTr="006C4C39">
        <w:tc>
          <w:tcPr>
            <w:tcW w:w="1054" w:type="pct"/>
            <w:tcBorders>
              <w:top w:val="single" w:sz="4" w:space="0" w:color="000000"/>
              <w:left w:val="single" w:sz="4" w:space="0" w:color="000000"/>
              <w:bottom w:val="single" w:sz="4" w:space="0" w:color="000000"/>
            </w:tcBorders>
            <w:shd w:val="clear" w:color="auto" w:fill="auto"/>
          </w:tcPr>
          <w:p w14:paraId="64882C52" w14:textId="50AF58F5" w:rsidR="00284E16" w:rsidRPr="00284E16" w:rsidRDefault="00A32585" w:rsidP="00284E16">
            <w:pPr>
              <w:rPr>
                <w:rFonts w:ascii="Arial" w:hAnsi="Arial" w:cs="Arial"/>
                <w:sz w:val="20"/>
                <w:szCs w:val="20"/>
              </w:rPr>
            </w:pPr>
            <w:r>
              <w:rPr>
                <w:rFonts w:ascii="Arial" w:hAnsi="Arial" w:cs="Arial"/>
                <w:sz w:val="20"/>
                <w:szCs w:val="20"/>
              </w:rPr>
              <w:t>Database</w:t>
            </w:r>
          </w:p>
        </w:tc>
        <w:tc>
          <w:tcPr>
            <w:tcW w:w="3946" w:type="pct"/>
            <w:tcBorders>
              <w:top w:val="single" w:sz="4" w:space="0" w:color="000000"/>
              <w:left w:val="single" w:sz="4" w:space="0" w:color="000000"/>
              <w:bottom w:val="single" w:sz="4" w:space="0" w:color="000000"/>
              <w:right w:val="single" w:sz="4" w:space="0" w:color="000000"/>
            </w:tcBorders>
            <w:shd w:val="clear" w:color="auto" w:fill="auto"/>
          </w:tcPr>
          <w:p w14:paraId="57193D99" w14:textId="77777777" w:rsidR="00284E16" w:rsidRPr="00284E16" w:rsidRDefault="00284E16" w:rsidP="00284E16">
            <w:pPr>
              <w:rPr>
                <w:rFonts w:ascii="Arial" w:hAnsi="Arial" w:cs="Arial"/>
                <w:sz w:val="20"/>
                <w:szCs w:val="20"/>
              </w:rPr>
            </w:pPr>
            <w:r w:rsidRPr="00284E16">
              <w:rPr>
                <w:rFonts w:ascii="Arial" w:hAnsi="Arial" w:cs="Arial"/>
                <w:sz w:val="20"/>
                <w:szCs w:val="20"/>
              </w:rPr>
              <w:t>Search strategy</w:t>
            </w:r>
          </w:p>
        </w:tc>
      </w:tr>
      <w:tr w:rsidR="00284E16" w:rsidRPr="00284E16" w14:paraId="0F844B9D" w14:textId="77777777" w:rsidTr="006C4C39">
        <w:tc>
          <w:tcPr>
            <w:tcW w:w="1054" w:type="pct"/>
            <w:tcBorders>
              <w:top w:val="single" w:sz="4" w:space="0" w:color="000000"/>
              <w:left w:val="single" w:sz="4" w:space="0" w:color="000000"/>
              <w:bottom w:val="single" w:sz="4" w:space="0" w:color="000000"/>
            </w:tcBorders>
            <w:shd w:val="clear" w:color="auto" w:fill="auto"/>
          </w:tcPr>
          <w:p w14:paraId="510CB38C" w14:textId="77777777" w:rsidR="00284E16" w:rsidRPr="00284E16" w:rsidRDefault="00284E16" w:rsidP="00284E16">
            <w:pPr>
              <w:rPr>
                <w:rFonts w:ascii="Arial" w:hAnsi="Arial" w:cs="Arial"/>
                <w:sz w:val="20"/>
                <w:szCs w:val="20"/>
              </w:rPr>
            </w:pPr>
            <w:r w:rsidRPr="00284E16">
              <w:rPr>
                <w:rFonts w:ascii="Arial" w:hAnsi="Arial" w:cs="Arial"/>
                <w:sz w:val="20"/>
                <w:szCs w:val="20"/>
              </w:rPr>
              <w:t>Medline (PUBMED)</w:t>
            </w:r>
          </w:p>
        </w:tc>
        <w:tc>
          <w:tcPr>
            <w:tcW w:w="3946" w:type="pct"/>
            <w:tcBorders>
              <w:top w:val="single" w:sz="4" w:space="0" w:color="000000"/>
              <w:left w:val="single" w:sz="4" w:space="0" w:color="000000"/>
              <w:bottom w:val="single" w:sz="4" w:space="0" w:color="000000"/>
              <w:right w:val="single" w:sz="4" w:space="0" w:color="000000"/>
            </w:tcBorders>
            <w:shd w:val="clear" w:color="auto" w:fill="auto"/>
          </w:tcPr>
          <w:p w14:paraId="6F50F2EC" w14:textId="77777777" w:rsidR="00284E16" w:rsidRPr="00284E16" w:rsidRDefault="00284E16" w:rsidP="00284E16">
            <w:pPr>
              <w:rPr>
                <w:rFonts w:ascii="Arial" w:hAnsi="Arial" w:cs="Arial"/>
                <w:sz w:val="20"/>
                <w:szCs w:val="20"/>
              </w:rPr>
            </w:pPr>
            <w:r w:rsidRPr="00284E16">
              <w:rPr>
                <w:rFonts w:ascii="Arial" w:hAnsi="Arial" w:cs="Arial"/>
                <w:sz w:val="20"/>
                <w:szCs w:val="20"/>
              </w:rPr>
              <w:t>(((("Human T-lymphotropic virus 1"[Mesh]) OR (Human T-lymphotropic virus 1[Title/Abstract])) OR (Human T lymphotropic virus 1[Title/Abstract])) OR (HTLV*[Title/Abstract])) AND ((((("Vaccines"[Mesh]) OR (vaccines[Title/Abstract])) OR (vaccin*[Title/Abstract]))))</w:t>
            </w:r>
          </w:p>
        </w:tc>
      </w:tr>
      <w:tr w:rsidR="00284E16" w:rsidRPr="00284E16" w14:paraId="3F0DD2B7" w14:textId="77777777" w:rsidTr="006C4C39">
        <w:tc>
          <w:tcPr>
            <w:tcW w:w="1054" w:type="pct"/>
            <w:tcBorders>
              <w:top w:val="single" w:sz="4" w:space="0" w:color="000000"/>
              <w:left w:val="single" w:sz="4" w:space="0" w:color="000000"/>
              <w:bottom w:val="single" w:sz="4" w:space="0" w:color="000000"/>
            </w:tcBorders>
            <w:shd w:val="clear" w:color="auto" w:fill="auto"/>
          </w:tcPr>
          <w:p w14:paraId="61556D85" w14:textId="77777777" w:rsidR="00284E16" w:rsidRPr="00284E16" w:rsidRDefault="00284E16" w:rsidP="00284E16">
            <w:pPr>
              <w:rPr>
                <w:rFonts w:ascii="Arial" w:hAnsi="Arial" w:cs="Arial"/>
                <w:sz w:val="20"/>
                <w:szCs w:val="20"/>
              </w:rPr>
            </w:pPr>
            <w:r w:rsidRPr="00284E16">
              <w:rPr>
                <w:rFonts w:ascii="Arial" w:hAnsi="Arial" w:cs="Arial"/>
                <w:sz w:val="20"/>
                <w:szCs w:val="20"/>
              </w:rPr>
              <w:t>Web of Science</w:t>
            </w:r>
          </w:p>
        </w:tc>
        <w:tc>
          <w:tcPr>
            <w:tcW w:w="3946" w:type="pct"/>
            <w:tcBorders>
              <w:top w:val="single" w:sz="4" w:space="0" w:color="000000"/>
              <w:left w:val="single" w:sz="4" w:space="0" w:color="000000"/>
              <w:bottom w:val="single" w:sz="4" w:space="0" w:color="000000"/>
              <w:right w:val="single" w:sz="4" w:space="0" w:color="000000"/>
            </w:tcBorders>
            <w:shd w:val="clear" w:color="auto" w:fill="auto"/>
          </w:tcPr>
          <w:p w14:paraId="25577CF5" w14:textId="60009776" w:rsidR="00284E16" w:rsidRPr="00284E16" w:rsidRDefault="00284E16" w:rsidP="00284E16">
            <w:pPr>
              <w:rPr>
                <w:rFonts w:ascii="Arial" w:hAnsi="Arial" w:cs="Arial"/>
                <w:sz w:val="20"/>
                <w:szCs w:val="20"/>
              </w:rPr>
            </w:pPr>
            <w:r w:rsidRPr="00284E16">
              <w:rPr>
                <w:rFonts w:ascii="Arial" w:hAnsi="Arial" w:cs="Arial"/>
                <w:b/>
                <w:bCs/>
                <w:sz w:val="20"/>
                <w:szCs w:val="20"/>
              </w:rPr>
              <w:t>(TOPIC:</w:t>
            </w:r>
            <w:r w:rsidRPr="00284E16">
              <w:rPr>
                <w:rFonts w:ascii="Arial" w:hAnsi="Arial" w:cs="Arial"/>
                <w:sz w:val="20"/>
                <w:szCs w:val="20"/>
              </w:rPr>
              <w:t>(Human T-lymphotropic virus 1)</w:t>
            </w:r>
            <w:r w:rsidR="00A32585">
              <w:rPr>
                <w:rFonts w:ascii="Arial" w:hAnsi="Arial" w:cs="Arial"/>
                <w:sz w:val="20"/>
                <w:szCs w:val="20"/>
              </w:rPr>
              <w:t xml:space="preserve"> </w:t>
            </w:r>
            <w:r w:rsidRPr="00284E16">
              <w:rPr>
                <w:rFonts w:ascii="Arial" w:hAnsi="Arial" w:cs="Arial"/>
                <w:i/>
                <w:iCs/>
                <w:sz w:val="20"/>
                <w:szCs w:val="20"/>
              </w:rPr>
              <w:t>OR</w:t>
            </w:r>
            <w:r w:rsidR="00A32585">
              <w:rPr>
                <w:rFonts w:ascii="Arial" w:hAnsi="Arial" w:cs="Arial"/>
                <w:i/>
                <w:iCs/>
                <w:sz w:val="20"/>
                <w:szCs w:val="20"/>
              </w:rPr>
              <w:t xml:space="preserve"> </w:t>
            </w:r>
            <w:r w:rsidRPr="00284E16">
              <w:rPr>
                <w:rFonts w:ascii="Arial" w:hAnsi="Arial" w:cs="Arial"/>
                <w:b/>
                <w:bCs/>
                <w:sz w:val="20"/>
                <w:szCs w:val="20"/>
              </w:rPr>
              <w:t>TOPIC:</w:t>
            </w:r>
            <w:r w:rsidRPr="00284E16">
              <w:rPr>
                <w:rFonts w:ascii="Arial" w:hAnsi="Arial" w:cs="Arial"/>
                <w:sz w:val="20"/>
                <w:szCs w:val="20"/>
              </w:rPr>
              <w:t>(HTLV</w:t>
            </w:r>
            <w:r w:rsidR="00A32585" w:rsidRPr="00284E16">
              <w:rPr>
                <w:rFonts w:ascii="Arial" w:hAnsi="Arial" w:cs="Arial"/>
                <w:sz w:val="20"/>
                <w:szCs w:val="20"/>
              </w:rPr>
              <w:t>*)</w:t>
            </w:r>
            <w:r w:rsidR="00A32585">
              <w:rPr>
                <w:rFonts w:ascii="Arial" w:hAnsi="Arial" w:cs="Arial"/>
                <w:i/>
                <w:iCs/>
                <w:sz w:val="20"/>
                <w:szCs w:val="20"/>
              </w:rPr>
              <w:t xml:space="preserve"> OR TOPIC</w:t>
            </w:r>
            <w:r w:rsidRPr="00284E16">
              <w:rPr>
                <w:rFonts w:ascii="Arial" w:hAnsi="Arial" w:cs="Arial"/>
                <w:b/>
                <w:bCs/>
                <w:sz w:val="20"/>
                <w:szCs w:val="20"/>
              </w:rPr>
              <w:t>:</w:t>
            </w:r>
            <w:r w:rsidRPr="00284E16">
              <w:rPr>
                <w:rFonts w:ascii="Arial" w:hAnsi="Arial" w:cs="Arial"/>
                <w:sz w:val="20"/>
                <w:szCs w:val="20"/>
              </w:rPr>
              <w:t xml:space="preserve">(Human T lymphotropic virus 1) </w:t>
            </w:r>
            <w:r w:rsidRPr="00284E16">
              <w:rPr>
                <w:rFonts w:ascii="Arial" w:hAnsi="Arial" w:cs="Arial"/>
                <w:i/>
                <w:iCs/>
                <w:sz w:val="20"/>
                <w:szCs w:val="20"/>
              </w:rPr>
              <w:t>Indexes=SCI-EXPANDED, SSCI Timespan=All years</w:t>
            </w:r>
          </w:p>
          <w:p w14:paraId="28617D3A" w14:textId="20C28F6D" w:rsidR="00284E16" w:rsidRPr="00284E16" w:rsidRDefault="00284E16" w:rsidP="00284E16">
            <w:pPr>
              <w:rPr>
                <w:rFonts w:ascii="Arial" w:hAnsi="Arial" w:cs="Arial"/>
                <w:sz w:val="20"/>
                <w:szCs w:val="20"/>
              </w:rPr>
            </w:pPr>
            <w:r w:rsidRPr="00284E16">
              <w:rPr>
                <w:rFonts w:ascii="Arial" w:hAnsi="Arial" w:cs="Arial"/>
                <w:sz w:val="20"/>
                <w:szCs w:val="20"/>
              </w:rPr>
              <w:t xml:space="preserve">AND </w:t>
            </w:r>
            <w:r w:rsidRPr="00284E16">
              <w:rPr>
                <w:rFonts w:ascii="Arial" w:hAnsi="Arial" w:cs="Arial"/>
                <w:b/>
                <w:bCs/>
                <w:sz w:val="20"/>
                <w:szCs w:val="20"/>
              </w:rPr>
              <w:t>TOPIC:</w:t>
            </w:r>
            <w:r w:rsidRPr="00284E16">
              <w:rPr>
                <w:rFonts w:ascii="Arial" w:hAnsi="Arial" w:cs="Arial"/>
                <w:sz w:val="20"/>
                <w:szCs w:val="20"/>
              </w:rPr>
              <w:t>(</w:t>
            </w:r>
            <w:r w:rsidR="00A32585" w:rsidRPr="00284E16">
              <w:rPr>
                <w:rFonts w:ascii="Arial" w:hAnsi="Arial" w:cs="Arial"/>
                <w:sz w:val="20"/>
                <w:szCs w:val="20"/>
              </w:rPr>
              <w:t>vaccines)</w:t>
            </w:r>
            <w:r w:rsidR="00A32585" w:rsidRPr="00284E16">
              <w:rPr>
                <w:rFonts w:ascii="Arial" w:hAnsi="Arial" w:cs="Arial"/>
                <w:i/>
                <w:iCs/>
                <w:sz w:val="20"/>
                <w:szCs w:val="20"/>
              </w:rPr>
              <w:t xml:space="preserve"> OR</w:t>
            </w:r>
            <w:r w:rsidR="00A32585">
              <w:rPr>
                <w:rFonts w:ascii="Arial" w:hAnsi="Arial" w:cs="Arial"/>
                <w:i/>
                <w:iCs/>
                <w:sz w:val="20"/>
                <w:szCs w:val="20"/>
              </w:rPr>
              <w:t xml:space="preserve"> </w:t>
            </w:r>
            <w:r w:rsidRPr="00284E16">
              <w:rPr>
                <w:rFonts w:ascii="Arial" w:hAnsi="Arial" w:cs="Arial"/>
                <w:b/>
                <w:bCs/>
                <w:sz w:val="20"/>
                <w:szCs w:val="20"/>
              </w:rPr>
              <w:t>TOPIC:</w:t>
            </w:r>
            <w:r w:rsidRPr="00284E16">
              <w:rPr>
                <w:rFonts w:ascii="Arial" w:hAnsi="Arial" w:cs="Arial"/>
                <w:sz w:val="20"/>
                <w:szCs w:val="20"/>
              </w:rPr>
              <w:t xml:space="preserve">(vaccin*) </w:t>
            </w:r>
            <w:r w:rsidRPr="00284E16">
              <w:rPr>
                <w:rFonts w:ascii="Arial" w:hAnsi="Arial" w:cs="Arial"/>
                <w:i/>
                <w:iCs/>
                <w:sz w:val="20"/>
                <w:szCs w:val="20"/>
              </w:rPr>
              <w:t xml:space="preserve">Indexes=SCI-EXPANDED, SSCI Timespan=All </w:t>
            </w:r>
            <w:r w:rsidR="00A32585" w:rsidRPr="00284E16">
              <w:rPr>
                <w:rFonts w:ascii="Arial" w:hAnsi="Arial" w:cs="Arial"/>
                <w:i/>
                <w:iCs/>
                <w:sz w:val="20"/>
                <w:szCs w:val="20"/>
              </w:rPr>
              <w:t>years )</w:t>
            </w:r>
          </w:p>
        </w:tc>
      </w:tr>
      <w:tr w:rsidR="00284E16" w:rsidRPr="00284E16" w14:paraId="37FD3D54" w14:textId="77777777" w:rsidTr="006C4C39">
        <w:tc>
          <w:tcPr>
            <w:tcW w:w="1054" w:type="pct"/>
            <w:tcBorders>
              <w:top w:val="single" w:sz="4" w:space="0" w:color="000000"/>
              <w:left w:val="single" w:sz="4" w:space="0" w:color="000000"/>
              <w:bottom w:val="single" w:sz="4" w:space="0" w:color="000000"/>
            </w:tcBorders>
            <w:shd w:val="clear" w:color="auto" w:fill="auto"/>
          </w:tcPr>
          <w:p w14:paraId="10599C9C" w14:textId="77777777" w:rsidR="00284E16" w:rsidRPr="00284E16" w:rsidRDefault="00284E16" w:rsidP="00284E16">
            <w:pPr>
              <w:rPr>
                <w:rFonts w:ascii="Arial" w:hAnsi="Arial" w:cs="Arial"/>
                <w:sz w:val="20"/>
                <w:szCs w:val="20"/>
              </w:rPr>
            </w:pPr>
            <w:r w:rsidRPr="00284E16">
              <w:rPr>
                <w:rFonts w:ascii="Arial" w:hAnsi="Arial" w:cs="Arial"/>
                <w:sz w:val="20"/>
                <w:szCs w:val="20"/>
              </w:rPr>
              <w:t>Scopus</w:t>
            </w:r>
          </w:p>
        </w:tc>
        <w:tc>
          <w:tcPr>
            <w:tcW w:w="3946" w:type="pct"/>
            <w:tcBorders>
              <w:top w:val="single" w:sz="4" w:space="0" w:color="000000"/>
              <w:left w:val="single" w:sz="4" w:space="0" w:color="000000"/>
              <w:bottom w:val="single" w:sz="4" w:space="0" w:color="000000"/>
              <w:right w:val="single" w:sz="4" w:space="0" w:color="000000"/>
            </w:tcBorders>
            <w:shd w:val="clear" w:color="auto" w:fill="auto"/>
          </w:tcPr>
          <w:p w14:paraId="58D9D640" w14:textId="77777777" w:rsidR="00284E16" w:rsidRPr="00284E16" w:rsidRDefault="00284E16" w:rsidP="00284E16">
            <w:pPr>
              <w:rPr>
                <w:rFonts w:ascii="Arial" w:hAnsi="Arial" w:cs="Arial"/>
                <w:sz w:val="20"/>
                <w:szCs w:val="20"/>
              </w:rPr>
            </w:pPr>
            <w:r w:rsidRPr="00284E16">
              <w:rPr>
                <w:rFonts w:ascii="Arial" w:hAnsi="Arial" w:cs="Arial"/>
                <w:sz w:val="20"/>
                <w:szCs w:val="20"/>
              </w:rPr>
              <w:t>( ( TITLE-ABS-KEY ( vaccines )  OR  TITLE-ABS-KEY ( vaccin* ) ) )  AND  ( ( TITLE-ABS-KEY ( human  AND  t-lymphotropic  AND  virus  1 )  OR  TITLE-ABS-KEY ( htlv* )  OR  TITLE-ABS-KEY ( human  AND  t  AND  lymphotropic  AND  virus  1 ) ) )</w:t>
            </w:r>
          </w:p>
        </w:tc>
      </w:tr>
      <w:tr w:rsidR="00284E16" w:rsidRPr="00284E16" w14:paraId="1181A594" w14:textId="77777777" w:rsidTr="006C4C39">
        <w:tc>
          <w:tcPr>
            <w:tcW w:w="1054" w:type="pct"/>
            <w:tcBorders>
              <w:top w:val="single" w:sz="4" w:space="0" w:color="000000"/>
              <w:left w:val="single" w:sz="4" w:space="0" w:color="000000"/>
              <w:bottom w:val="single" w:sz="4" w:space="0" w:color="000000"/>
            </w:tcBorders>
            <w:shd w:val="clear" w:color="auto" w:fill="auto"/>
          </w:tcPr>
          <w:p w14:paraId="09267E76" w14:textId="77777777" w:rsidR="00284E16" w:rsidRPr="00284E16" w:rsidRDefault="00284E16" w:rsidP="00284E16">
            <w:pPr>
              <w:rPr>
                <w:rFonts w:ascii="Arial" w:hAnsi="Arial" w:cs="Arial"/>
                <w:sz w:val="20"/>
                <w:szCs w:val="20"/>
              </w:rPr>
            </w:pPr>
            <w:r w:rsidRPr="00284E16">
              <w:rPr>
                <w:rFonts w:ascii="Arial" w:hAnsi="Arial" w:cs="Arial"/>
                <w:sz w:val="20"/>
                <w:szCs w:val="20"/>
              </w:rPr>
              <w:t>Cochrane library</w:t>
            </w:r>
          </w:p>
        </w:tc>
        <w:tc>
          <w:tcPr>
            <w:tcW w:w="3946" w:type="pct"/>
            <w:tcBorders>
              <w:top w:val="single" w:sz="4" w:space="0" w:color="000000"/>
              <w:left w:val="single" w:sz="4" w:space="0" w:color="000000"/>
              <w:bottom w:val="single" w:sz="4" w:space="0" w:color="000000"/>
              <w:right w:val="single" w:sz="4" w:space="0" w:color="000000"/>
            </w:tcBorders>
            <w:shd w:val="clear" w:color="auto" w:fill="auto"/>
          </w:tcPr>
          <w:p w14:paraId="24CE1829" w14:textId="77777777" w:rsidR="00284E16" w:rsidRPr="00284E16" w:rsidRDefault="00284E16" w:rsidP="00284E16">
            <w:pPr>
              <w:rPr>
                <w:rFonts w:ascii="Arial" w:hAnsi="Arial" w:cs="Arial"/>
                <w:sz w:val="20"/>
                <w:szCs w:val="20"/>
              </w:rPr>
            </w:pPr>
            <w:r w:rsidRPr="00284E16">
              <w:rPr>
                <w:rFonts w:ascii="Arial" w:hAnsi="Arial" w:cs="Arial"/>
                <w:sz w:val="20"/>
                <w:szCs w:val="20"/>
              </w:rPr>
              <w:t>((Human T-lymphotropic virus 1):ti,ab,kw OR (HTLV*):ti,ab,kw (Word variations have been searched) AND (vaccines):ti,ab,kw OR (vaccin*):ti,ab,kw)</w:t>
            </w:r>
          </w:p>
        </w:tc>
      </w:tr>
    </w:tbl>
    <w:p w14:paraId="23D13CBD" w14:textId="77777777" w:rsidR="008C73AC" w:rsidRPr="00625A85" w:rsidRDefault="008C73AC" w:rsidP="008C73AC">
      <w:pPr>
        <w:rPr>
          <w:rFonts w:ascii="Arial" w:hAnsi="Arial" w:cs="Arial"/>
          <w:sz w:val="20"/>
          <w:szCs w:val="20"/>
        </w:rPr>
      </w:pPr>
    </w:p>
    <w:p w14:paraId="2D13DBBA" w14:textId="77777777" w:rsidR="008C73AC" w:rsidRDefault="008C73AC" w:rsidP="008C73AC">
      <w:pPr>
        <w:rPr>
          <w:rFonts w:ascii="Arial" w:hAnsi="Arial" w:cs="Arial"/>
          <w:sz w:val="20"/>
          <w:szCs w:val="20"/>
        </w:rPr>
      </w:pPr>
    </w:p>
    <w:p w14:paraId="1C4F7745" w14:textId="77777777" w:rsidR="006C4C39" w:rsidRDefault="006C4C39" w:rsidP="008C73AC">
      <w:pPr>
        <w:rPr>
          <w:rFonts w:ascii="Arial" w:hAnsi="Arial" w:cs="Arial"/>
          <w:sz w:val="20"/>
          <w:szCs w:val="20"/>
        </w:rPr>
      </w:pPr>
    </w:p>
    <w:p w14:paraId="0E581EDC" w14:textId="77777777" w:rsidR="006C4C39" w:rsidRDefault="006C4C39" w:rsidP="008C73AC">
      <w:pPr>
        <w:rPr>
          <w:rFonts w:ascii="Arial" w:hAnsi="Arial" w:cs="Arial"/>
          <w:sz w:val="20"/>
          <w:szCs w:val="20"/>
        </w:rPr>
      </w:pPr>
    </w:p>
    <w:p w14:paraId="743A156F" w14:textId="77777777" w:rsidR="006C4C39" w:rsidRPr="00625A85" w:rsidRDefault="006C4C39" w:rsidP="008C73AC">
      <w:pPr>
        <w:rPr>
          <w:rFonts w:ascii="Arial" w:hAnsi="Arial" w:cs="Arial"/>
          <w:sz w:val="20"/>
          <w:szCs w:val="20"/>
        </w:rPr>
      </w:pPr>
    </w:p>
    <w:p w14:paraId="6DE149D5" w14:textId="579D6B20" w:rsidR="008C73AC" w:rsidRDefault="008C73AC" w:rsidP="008C73AC"/>
    <w:p w14:paraId="64D4B420" w14:textId="77777777" w:rsidR="006374D2" w:rsidRDefault="006374D2" w:rsidP="008C73AC"/>
    <w:p w14:paraId="14DB57BD" w14:textId="77777777" w:rsidR="006374D2" w:rsidRDefault="006374D2" w:rsidP="008C73AC"/>
    <w:p w14:paraId="60919F42" w14:textId="77777777" w:rsidR="006374D2" w:rsidRDefault="006374D2" w:rsidP="006374D2">
      <w:pPr>
        <w:tabs>
          <w:tab w:val="left" w:pos="567"/>
        </w:tabs>
        <w:spacing w:after="0" w:line="480" w:lineRule="auto"/>
        <w:rPr>
          <w:rFonts w:eastAsia="Times New Roman" w:cs="Times New Roman"/>
          <w:spacing w:val="1"/>
          <w:lang w:eastAsia="nl-NL"/>
        </w:rPr>
      </w:pPr>
      <w:r>
        <w:rPr>
          <w:rFonts w:eastAsia="Times New Roman" w:cs="Times New Roman"/>
          <w:b/>
          <w:bCs/>
          <w:spacing w:val="1"/>
          <w:lang w:eastAsia="nl-NL"/>
        </w:rPr>
        <w:lastRenderedPageBreak/>
        <w:t>Supplementary Table 3</w:t>
      </w:r>
      <w:r>
        <w:rPr>
          <w:rFonts w:eastAsia="Times New Roman" w:cs="Times New Roman"/>
          <w:b/>
          <w:spacing w:val="1"/>
          <w:lang w:eastAsia="nl-NL"/>
        </w:rPr>
        <w:t xml:space="preserve">. </w:t>
      </w:r>
      <w:r>
        <w:rPr>
          <w:rFonts w:cs="Times New Roman"/>
        </w:rPr>
        <w:t>Full characteristics of the included studies.</w:t>
      </w:r>
    </w:p>
    <w:p w14:paraId="491E8413" w14:textId="77777777" w:rsidR="006374D2" w:rsidRDefault="006374D2" w:rsidP="008C73AC"/>
    <w:p w14:paraId="322847E2" w14:textId="77777777" w:rsidR="006374D2" w:rsidRDefault="006374D2" w:rsidP="008C73AC"/>
    <w:tbl>
      <w:tblPr>
        <w:tblStyle w:val="TableGrid"/>
        <w:tblW w:w="0" w:type="auto"/>
        <w:tblLook w:val="04A0" w:firstRow="1" w:lastRow="0" w:firstColumn="1" w:lastColumn="0" w:noHBand="0" w:noVBand="1"/>
      </w:tblPr>
      <w:tblGrid>
        <w:gridCol w:w="567"/>
        <w:gridCol w:w="371"/>
        <w:gridCol w:w="581"/>
        <w:gridCol w:w="427"/>
        <w:gridCol w:w="608"/>
        <w:gridCol w:w="662"/>
        <w:gridCol w:w="685"/>
        <w:gridCol w:w="1226"/>
        <w:gridCol w:w="727"/>
        <w:gridCol w:w="1910"/>
        <w:gridCol w:w="792"/>
        <w:gridCol w:w="704"/>
        <w:gridCol w:w="1226"/>
        <w:gridCol w:w="1015"/>
        <w:gridCol w:w="1449"/>
      </w:tblGrid>
      <w:tr w:rsidR="006374D2" w:rsidRPr="006374D2" w14:paraId="4170AE14" w14:textId="77777777" w:rsidTr="006374D2">
        <w:trPr>
          <w:trHeight w:val="1399"/>
        </w:trPr>
        <w:tc>
          <w:tcPr>
            <w:tcW w:w="0" w:type="auto"/>
            <w:shd w:val="clear" w:color="auto" w:fill="DEEAF6" w:themeFill="accent5" w:themeFillTint="33"/>
            <w:hideMark/>
          </w:tcPr>
          <w:p w14:paraId="539D3FA8"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Author</w:t>
            </w:r>
          </w:p>
        </w:tc>
        <w:tc>
          <w:tcPr>
            <w:tcW w:w="0" w:type="auto"/>
            <w:shd w:val="clear" w:color="auto" w:fill="DEEAF6" w:themeFill="accent5" w:themeFillTint="33"/>
            <w:hideMark/>
          </w:tcPr>
          <w:p w14:paraId="529FEDC4"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Year</w:t>
            </w:r>
          </w:p>
        </w:tc>
        <w:tc>
          <w:tcPr>
            <w:tcW w:w="0" w:type="auto"/>
            <w:shd w:val="clear" w:color="auto" w:fill="DEEAF6" w:themeFill="accent5" w:themeFillTint="33"/>
            <w:hideMark/>
          </w:tcPr>
          <w:p w14:paraId="5C715AF5"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 xml:space="preserve">Country </w:t>
            </w:r>
          </w:p>
        </w:tc>
        <w:tc>
          <w:tcPr>
            <w:tcW w:w="0" w:type="auto"/>
            <w:shd w:val="clear" w:color="auto" w:fill="DEEAF6" w:themeFill="accent5" w:themeFillTint="33"/>
            <w:hideMark/>
          </w:tcPr>
          <w:p w14:paraId="03BB5248"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Type of study</w:t>
            </w:r>
          </w:p>
        </w:tc>
        <w:tc>
          <w:tcPr>
            <w:tcW w:w="0" w:type="auto"/>
            <w:shd w:val="clear" w:color="auto" w:fill="DEEAF6" w:themeFill="accent5" w:themeFillTint="33"/>
            <w:hideMark/>
          </w:tcPr>
          <w:p w14:paraId="44504F80"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Number of participants</w:t>
            </w:r>
          </w:p>
        </w:tc>
        <w:tc>
          <w:tcPr>
            <w:tcW w:w="0" w:type="auto"/>
            <w:shd w:val="clear" w:color="auto" w:fill="DEEAF6" w:themeFill="accent5" w:themeFillTint="33"/>
            <w:hideMark/>
          </w:tcPr>
          <w:p w14:paraId="5806B5F1"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Host</w:t>
            </w:r>
          </w:p>
        </w:tc>
        <w:tc>
          <w:tcPr>
            <w:tcW w:w="0" w:type="auto"/>
            <w:shd w:val="clear" w:color="auto" w:fill="DEEAF6" w:themeFill="accent5" w:themeFillTint="33"/>
            <w:hideMark/>
          </w:tcPr>
          <w:p w14:paraId="147ED397"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Vaccine type</w:t>
            </w:r>
          </w:p>
        </w:tc>
        <w:tc>
          <w:tcPr>
            <w:tcW w:w="0" w:type="auto"/>
            <w:shd w:val="clear" w:color="auto" w:fill="DEEAF6" w:themeFill="accent5" w:themeFillTint="33"/>
            <w:hideMark/>
          </w:tcPr>
          <w:p w14:paraId="6088170E"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vaccine construct</w:t>
            </w:r>
          </w:p>
        </w:tc>
        <w:tc>
          <w:tcPr>
            <w:tcW w:w="0" w:type="auto"/>
            <w:shd w:val="clear" w:color="auto" w:fill="DEEAF6" w:themeFill="accent5" w:themeFillTint="33"/>
            <w:hideMark/>
          </w:tcPr>
          <w:p w14:paraId="5FE94DB3"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Vaccine dose</w:t>
            </w:r>
          </w:p>
        </w:tc>
        <w:tc>
          <w:tcPr>
            <w:tcW w:w="0" w:type="auto"/>
            <w:shd w:val="clear" w:color="auto" w:fill="DEEAF6" w:themeFill="accent5" w:themeFillTint="33"/>
            <w:hideMark/>
          </w:tcPr>
          <w:p w14:paraId="1456AF29"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 xml:space="preserve">Vector </w:t>
            </w:r>
          </w:p>
        </w:tc>
        <w:tc>
          <w:tcPr>
            <w:tcW w:w="0" w:type="auto"/>
            <w:shd w:val="clear" w:color="auto" w:fill="DEEAF6" w:themeFill="accent5" w:themeFillTint="33"/>
            <w:hideMark/>
          </w:tcPr>
          <w:p w14:paraId="5C8A7748"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Route</w:t>
            </w:r>
          </w:p>
        </w:tc>
        <w:tc>
          <w:tcPr>
            <w:tcW w:w="0" w:type="auto"/>
            <w:shd w:val="clear" w:color="auto" w:fill="DEEAF6" w:themeFill="accent5" w:themeFillTint="33"/>
            <w:hideMark/>
          </w:tcPr>
          <w:p w14:paraId="470EF89F"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Prescribed number</w:t>
            </w:r>
          </w:p>
        </w:tc>
        <w:tc>
          <w:tcPr>
            <w:tcW w:w="0" w:type="auto"/>
            <w:shd w:val="clear" w:color="auto" w:fill="DEEAF6" w:themeFill="accent5" w:themeFillTint="33"/>
            <w:hideMark/>
          </w:tcPr>
          <w:p w14:paraId="2464C215"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Adjuvant</w:t>
            </w:r>
          </w:p>
        </w:tc>
        <w:tc>
          <w:tcPr>
            <w:tcW w:w="0" w:type="auto"/>
            <w:shd w:val="clear" w:color="auto" w:fill="DEEAF6" w:themeFill="accent5" w:themeFillTint="33"/>
            <w:hideMark/>
          </w:tcPr>
          <w:p w14:paraId="48765CB2"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Laboratory method</w:t>
            </w:r>
          </w:p>
        </w:tc>
        <w:tc>
          <w:tcPr>
            <w:tcW w:w="0" w:type="auto"/>
            <w:shd w:val="clear" w:color="auto" w:fill="DEEAF6" w:themeFill="accent5" w:themeFillTint="33"/>
            <w:hideMark/>
          </w:tcPr>
          <w:p w14:paraId="7FCEF3EC" w14:textId="77777777" w:rsidR="006374D2" w:rsidRPr="006374D2" w:rsidRDefault="006374D2" w:rsidP="006374D2">
            <w:pPr>
              <w:rPr>
                <w:rFonts w:asciiTheme="minorBidi" w:hAnsiTheme="minorBidi"/>
                <w:b/>
                <w:bCs/>
                <w:sz w:val="12"/>
                <w:szCs w:val="12"/>
              </w:rPr>
            </w:pPr>
            <w:r w:rsidRPr="006374D2">
              <w:rPr>
                <w:rFonts w:asciiTheme="minorBidi" w:hAnsiTheme="minorBidi"/>
                <w:b/>
                <w:bCs/>
                <w:sz w:val="12"/>
                <w:szCs w:val="12"/>
              </w:rPr>
              <w:t>Main findings</w:t>
            </w:r>
          </w:p>
        </w:tc>
      </w:tr>
      <w:tr w:rsidR="006374D2" w:rsidRPr="006374D2" w14:paraId="24C986B7" w14:textId="77777777" w:rsidTr="006374D2">
        <w:trPr>
          <w:trHeight w:val="3375"/>
        </w:trPr>
        <w:tc>
          <w:tcPr>
            <w:tcW w:w="0" w:type="auto"/>
            <w:hideMark/>
          </w:tcPr>
          <w:p w14:paraId="1AD30D2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Ando, S.</w:t>
            </w:r>
          </w:p>
        </w:tc>
        <w:tc>
          <w:tcPr>
            <w:tcW w:w="0" w:type="auto"/>
            <w:hideMark/>
          </w:tcPr>
          <w:p w14:paraId="2DAC93D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2017</w:t>
            </w:r>
          </w:p>
        </w:tc>
        <w:tc>
          <w:tcPr>
            <w:tcW w:w="0" w:type="auto"/>
            <w:hideMark/>
          </w:tcPr>
          <w:p w14:paraId="50B096E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219A79D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3E41A12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6CFF96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Three- to six-week-old female rats (F344/N Jcl-rnu/+)</w:t>
            </w:r>
          </w:p>
        </w:tc>
        <w:tc>
          <w:tcPr>
            <w:tcW w:w="0" w:type="auto"/>
            <w:hideMark/>
          </w:tcPr>
          <w:p w14:paraId="23A0EDD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Epitope–Pulsed Dendritic Cell </w:t>
            </w:r>
          </w:p>
        </w:tc>
        <w:tc>
          <w:tcPr>
            <w:tcW w:w="0" w:type="auto"/>
            <w:hideMark/>
          </w:tcPr>
          <w:p w14:paraId="6FD22FB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HTLV-1 Tax(180-188)-specific CTL epitope-pulsed dendritic cell therapy</w:t>
            </w:r>
          </w:p>
        </w:tc>
        <w:tc>
          <w:tcPr>
            <w:tcW w:w="0" w:type="auto"/>
            <w:hideMark/>
          </w:tcPr>
          <w:p w14:paraId="6D7C958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10^6 cells</w:t>
            </w:r>
          </w:p>
        </w:tc>
        <w:tc>
          <w:tcPr>
            <w:tcW w:w="0" w:type="auto"/>
            <w:hideMark/>
          </w:tcPr>
          <w:p w14:paraId="5F81628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01AE23C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SC</w:t>
            </w:r>
          </w:p>
        </w:tc>
        <w:tc>
          <w:tcPr>
            <w:tcW w:w="0" w:type="auto"/>
            <w:hideMark/>
          </w:tcPr>
          <w:p w14:paraId="109F1C0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once a week for 3 wk</w:t>
            </w:r>
            <w:r w:rsidRPr="006374D2">
              <w:rPr>
                <w:rFonts w:asciiTheme="minorBidi" w:hAnsiTheme="minorBidi"/>
                <w:sz w:val="12"/>
                <w:szCs w:val="12"/>
              </w:rPr>
              <w:br/>
              <w:t>into rats</w:t>
            </w:r>
          </w:p>
        </w:tc>
        <w:tc>
          <w:tcPr>
            <w:tcW w:w="0" w:type="auto"/>
            <w:hideMark/>
          </w:tcPr>
          <w:p w14:paraId="4302FBC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6481095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PCR, ELISA, Flow cytometry, </w:t>
            </w:r>
          </w:p>
        </w:tc>
        <w:tc>
          <w:tcPr>
            <w:tcW w:w="0" w:type="auto"/>
            <w:hideMark/>
          </w:tcPr>
          <w:p w14:paraId="454FE32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monocyte-derived DCs capacity to stimulate CMV-specific autologous CTLs in vitro, peptide-pulsed DC immunotherapy will be useful to induce functional HTLV-1–specific CTLs and decrease PVL in infected individuals with high PVL and impaired HTLV-1–specific CTL responses, therby reducing the risk of the development of ATL.</w:t>
            </w:r>
          </w:p>
        </w:tc>
      </w:tr>
      <w:tr w:rsidR="006374D2" w:rsidRPr="006374D2" w14:paraId="6E794F3A" w14:textId="77777777" w:rsidTr="006374D2">
        <w:trPr>
          <w:trHeight w:val="2955"/>
        </w:trPr>
        <w:tc>
          <w:tcPr>
            <w:tcW w:w="0" w:type="auto"/>
            <w:hideMark/>
          </w:tcPr>
          <w:p w14:paraId="6241DB8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Arp, J.</w:t>
            </w:r>
          </w:p>
        </w:tc>
        <w:tc>
          <w:tcPr>
            <w:tcW w:w="0" w:type="auto"/>
            <w:hideMark/>
          </w:tcPr>
          <w:p w14:paraId="138F4A4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1993</w:t>
            </w:r>
          </w:p>
        </w:tc>
        <w:tc>
          <w:tcPr>
            <w:tcW w:w="0" w:type="auto"/>
            <w:hideMark/>
          </w:tcPr>
          <w:p w14:paraId="7B21017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USA</w:t>
            </w:r>
          </w:p>
        </w:tc>
        <w:tc>
          <w:tcPr>
            <w:tcW w:w="0" w:type="auto"/>
            <w:hideMark/>
          </w:tcPr>
          <w:p w14:paraId="3C415E1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32C34C9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095DBAC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BALB/c (Charles River), C57BL/6 (CharlesRiver) and CFW/D (Ball &amp; McCarter, 1979)</w:t>
            </w:r>
          </w:p>
        </w:tc>
        <w:tc>
          <w:tcPr>
            <w:tcW w:w="0" w:type="auto"/>
            <w:hideMark/>
          </w:tcPr>
          <w:p w14:paraId="6BD27B0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recombinant baculovirus vector</w:t>
            </w:r>
          </w:p>
        </w:tc>
        <w:tc>
          <w:tcPr>
            <w:tcW w:w="0" w:type="auto"/>
            <w:hideMark/>
          </w:tcPr>
          <w:p w14:paraId="04C640C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envelope protein inclusion bodies (env-I.B.) in the presence or absence of an adjuvant</w:t>
            </w:r>
          </w:p>
        </w:tc>
        <w:tc>
          <w:tcPr>
            <w:tcW w:w="0" w:type="auto"/>
            <w:hideMark/>
          </w:tcPr>
          <w:p w14:paraId="44B0546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10 µg </w:t>
            </w:r>
          </w:p>
        </w:tc>
        <w:tc>
          <w:tcPr>
            <w:tcW w:w="0" w:type="auto"/>
            <w:hideMark/>
          </w:tcPr>
          <w:p w14:paraId="3BA3F20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baculovirus</w:t>
            </w:r>
          </w:p>
        </w:tc>
        <w:tc>
          <w:tcPr>
            <w:tcW w:w="0" w:type="auto"/>
            <w:hideMark/>
          </w:tcPr>
          <w:p w14:paraId="1B87D56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IP</w:t>
            </w:r>
          </w:p>
        </w:tc>
        <w:tc>
          <w:tcPr>
            <w:tcW w:w="0" w:type="auto"/>
            <w:hideMark/>
          </w:tcPr>
          <w:p w14:paraId="4511828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10 µg of env-I.B at 6 and 8 weeks of age then boosed 2 and 4 weeks later</w:t>
            </w:r>
          </w:p>
        </w:tc>
        <w:tc>
          <w:tcPr>
            <w:tcW w:w="0" w:type="auto"/>
            <w:hideMark/>
          </w:tcPr>
          <w:p w14:paraId="4BC8D61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 with/without an adjuvant formulated from a mycobacterial cell wall extract (MCWE; Bioniche/Vetrepharm) </w:t>
            </w:r>
          </w:p>
        </w:tc>
        <w:tc>
          <w:tcPr>
            <w:tcW w:w="0" w:type="auto"/>
            <w:hideMark/>
          </w:tcPr>
          <w:p w14:paraId="72CA563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Western blotting, radioimmunoprecipitation, peptide ELISA and a syncytium inhibition assay</w:t>
            </w:r>
          </w:p>
        </w:tc>
        <w:tc>
          <w:tcPr>
            <w:tcW w:w="0" w:type="auto"/>
            <w:hideMark/>
          </w:tcPr>
          <w:p w14:paraId="575B8E9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Antibodies against the HTLV-I env protein in the presence or absence of an adjuvant, neutralizing Ab in admission of high doses of mycobacterial cell wall extract, enhanced Ab response to the HTLV-I envelope glycoprotein following priming with recombinant vaccinia virus (Rvv) constructs expressing either the entire native HTLV-I envelope (gp46 and gp21) or just gp46, Increased titres of neutralizing Ab following priming with </w:t>
            </w:r>
            <w:r w:rsidRPr="006374D2">
              <w:rPr>
                <w:rFonts w:asciiTheme="minorBidi" w:hAnsiTheme="minorBidi"/>
                <w:sz w:val="12"/>
                <w:szCs w:val="12"/>
              </w:rPr>
              <w:lastRenderedPageBreak/>
              <w:t>the Rvv expressing gp46 only</w:t>
            </w:r>
          </w:p>
        </w:tc>
      </w:tr>
      <w:tr w:rsidR="006374D2" w:rsidRPr="006374D2" w14:paraId="17E60ACF" w14:textId="77777777" w:rsidTr="006374D2">
        <w:trPr>
          <w:trHeight w:val="4275"/>
        </w:trPr>
        <w:tc>
          <w:tcPr>
            <w:tcW w:w="0" w:type="auto"/>
            <w:hideMark/>
          </w:tcPr>
          <w:p w14:paraId="3EE15C4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Baba, E.</w:t>
            </w:r>
          </w:p>
        </w:tc>
        <w:tc>
          <w:tcPr>
            <w:tcW w:w="0" w:type="auto"/>
            <w:hideMark/>
          </w:tcPr>
          <w:p w14:paraId="669D10F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1995</w:t>
            </w:r>
          </w:p>
        </w:tc>
        <w:tc>
          <w:tcPr>
            <w:tcW w:w="0" w:type="auto"/>
            <w:hideMark/>
          </w:tcPr>
          <w:p w14:paraId="329FB38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33B75B4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1C35515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12 (rabbits: 9 complete vaccine/3 just adjuvant)</w:t>
            </w:r>
            <w:r w:rsidRPr="006374D2">
              <w:rPr>
                <w:rFonts w:asciiTheme="minorBidi" w:hAnsiTheme="minorBidi"/>
                <w:sz w:val="12"/>
                <w:szCs w:val="12"/>
              </w:rPr>
              <w:br/>
              <w:t>15 (rat:  10 complete vaccine/5 just adjuvant)</w:t>
            </w:r>
          </w:p>
        </w:tc>
        <w:tc>
          <w:tcPr>
            <w:tcW w:w="0" w:type="auto"/>
            <w:hideMark/>
          </w:tcPr>
          <w:p w14:paraId="447F3AD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Female New Zealand White rabbits and inbred female WWQdj, Fisher 433 (F433)/Qdj rats, Inbred female BN/Sea, </w:t>
            </w:r>
            <w:r w:rsidRPr="006374D2">
              <w:rPr>
                <w:rFonts w:asciiTheme="minorBidi" w:hAnsiTheme="minorBidi"/>
                <w:sz w:val="12"/>
                <w:szCs w:val="12"/>
              </w:rPr>
              <w:br/>
              <w:t xml:space="preserve">LewisiSea rats, d ACI/Jcl rats </w:t>
            </w:r>
          </w:p>
        </w:tc>
        <w:tc>
          <w:tcPr>
            <w:tcW w:w="0" w:type="auto"/>
            <w:hideMark/>
          </w:tcPr>
          <w:p w14:paraId="6000628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peptide-based vaccines</w:t>
            </w:r>
          </w:p>
        </w:tc>
        <w:tc>
          <w:tcPr>
            <w:tcW w:w="0" w:type="auto"/>
            <w:hideMark/>
          </w:tcPr>
          <w:p w14:paraId="09D1BA6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 vaccines: T and B cell epitope-based peptide vaccine  constructed from the conjugation of gp46 (aa 181-210) and (181-203) with a branched polylysine oligomer</w:t>
            </w:r>
          </w:p>
        </w:tc>
        <w:tc>
          <w:tcPr>
            <w:tcW w:w="0" w:type="auto"/>
            <w:hideMark/>
          </w:tcPr>
          <w:p w14:paraId="4DE7D81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500 µg (rabbit)</w:t>
            </w:r>
            <w:r w:rsidRPr="006374D2">
              <w:rPr>
                <w:rFonts w:asciiTheme="minorBidi" w:hAnsiTheme="minorBidi"/>
                <w:sz w:val="12"/>
                <w:szCs w:val="12"/>
              </w:rPr>
              <w:br/>
              <w:t>100 µg (rat)</w:t>
            </w:r>
          </w:p>
        </w:tc>
        <w:tc>
          <w:tcPr>
            <w:tcW w:w="0" w:type="auto"/>
            <w:hideMark/>
          </w:tcPr>
          <w:p w14:paraId="525963F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A5DA9E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IM/SC</w:t>
            </w:r>
          </w:p>
        </w:tc>
        <w:tc>
          <w:tcPr>
            <w:tcW w:w="0" w:type="auto"/>
            <w:hideMark/>
          </w:tcPr>
          <w:p w14:paraId="064B668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9 New Zealand White rabbits were immunized 500 µg of pKA- or OVA-conjugated peptide (MAP181-203, MAP181- 210, 181-2030VA) emulsified with CFA on day 0 and then with IFA on days 14 and 28.</w:t>
            </w:r>
            <w:r w:rsidRPr="006374D2">
              <w:rPr>
                <w:rFonts w:asciiTheme="minorBidi" w:hAnsiTheme="minorBidi"/>
                <w:sz w:val="12"/>
                <w:szCs w:val="12"/>
              </w:rPr>
              <w:br/>
              <w:t>5 different inbred strains of rats similarly immunized either i.m. or S.C. with 100 pg of pKA-conjugated peptide (MAP181-203,MA</w:t>
            </w:r>
            <w:r w:rsidRPr="006374D2">
              <w:rPr>
                <w:rFonts w:asciiTheme="minorBidi" w:hAnsiTheme="minorBidi"/>
                <w:sz w:val="12"/>
                <w:szCs w:val="12"/>
              </w:rPr>
              <w:lastRenderedPageBreak/>
              <w:t>P181-210) emulsified with CFA on day 0 and then with IFA on days 14 and 28. Control rabbits and rats were immunized with the same amounts of CFA and IFA only.</w:t>
            </w:r>
          </w:p>
        </w:tc>
        <w:tc>
          <w:tcPr>
            <w:tcW w:w="0" w:type="auto"/>
            <w:hideMark/>
          </w:tcPr>
          <w:p w14:paraId="15A8DC3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 xml:space="preserve">peptides with a branched polylysine oligomer (pKA) </w:t>
            </w:r>
          </w:p>
        </w:tc>
        <w:tc>
          <w:tcPr>
            <w:tcW w:w="0" w:type="auto"/>
            <w:hideMark/>
          </w:tcPr>
          <w:p w14:paraId="0A1563B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western blotting, ELISA, PCR, IF</w:t>
            </w:r>
          </w:p>
        </w:tc>
        <w:tc>
          <w:tcPr>
            <w:tcW w:w="0" w:type="auto"/>
            <w:hideMark/>
          </w:tcPr>
          <w:p w14:paraId="719FBB6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 neutralizing Ab production in rabbits ( X4 -8 and X8-64 titers in response to MAPl 81-203 and MAPl 81 -21 0, respectively), neutralizing Abs (X40 to X320) in five different strains of rats in response to MAP1 81-210</w:t>
            </w:r>
          </w:p>
        </w:tc>
      </w:tr>
      <w:tr w:rsidR="006374D2" w:rsidRPr="006374D2" w14:paraId="4DA77B8C" w14:textId="77777777" w:rsidTr="006374D2">
        <w:trPr>
          <w:trHeight w:val="3465"/>
        </w:trPr>
        <w:tc>
          <w:tcPr>
            <w:tcW w:w="0" w:type="auto"/>
            <w:hideMark/>
          </w:tcPr>
          <w:p w14:paraId="6F39625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Frangione-Beebe, M.</w:t>
            </w:r>
          </w:p>
        </w:tc>
        <w:tc>
          <w:tcPr>
            <w:tcW w:w="0" w:type="auto"/>
            <w:hideMark/>
          </w:tcPr>
          <w:p w14:paraId="077DA35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2001</w:t>
            </w:r>
          </w:p>
        </w:tc>
        <w:tc>
          <w:tcPr>
            <w:tcW w:w="0" w:type="auto"/>
            <w:hideMark/>
          </w:tcPr>
          <w:p w14:paraId="79EFA88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USA</w:t>
            </w:r>
          </w:p>
        </w:tc>
        <w:tc>
          <w:tcPr>
            <w:tcW w:w="0" w:type="auto"/>
            <w:hideMark/>
          </w:tcPr>
          <w:p w14:paraId="7A221DA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09D8C0B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6</w:t>
            </w:r>
          </w:p>
        </w:tc>
        <w:tc>
          <w:tcPr>
            <w:tcW w:w="0" w:type="auto"/>
            <w:hideMark/>
          </w:tcPr>
          <w:p w14:paraId="5B665B7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female New Zealand white rabbits (12 weeks)</w:t>
            </w:r>
          </w:p>
        </w:tc>
        <w:tc>
          <w:tcPr>
            <w:tcW w:w="0" w:type="auto"/>
            <w:hideMark/>
          </w:tcPr>
          <w:p w14:paraId="00CEB68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encapsulated or free peptide vaccine</w:t>
            </w:r>
          </w:p>
        </w:tc>
        <w:tc>
          <w:tcPr>
            <w:tcW w:w="0" w:type="auto"/>
            <w:hideMark/>
          </w:tcPr>
          <w:p w14:paraId="153DF10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vaccine (MVFMF2) comprising HTLV-1-gp46 (aa 175–218) linked by GPSL turn to MVF (aa 288–302)</w:t>
            </w:r>
          </w:p>
        </w:tc>
        <w:tc>
          <w:tcPr>
            <w:tcW w:w="0" w:type="auto"/>
            <w:hideMark/>
          </w:tcPr>
          <w:p w14:paraId="0455518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Two rabbits: 18 mg of microspheres containing 1mg of peptide, and 3.7 mg of microspheres containing 100 microg of adjuvant (nor-MDP)</w:t>
            </w:r>
            <w:r w:rsidRPr="006374D2">
              <w:rPr>
                <w:rFonts w:asciiTheme="minorBidi" w:hAnsiTheme="minorBidi"/>
                <w:sz w:val="12"/>
                <w:szCs w:val="12"/>
              </w:rPr>
              <w:br/>
              <w:t xml:space="preserve">Two additional rabbits: 18 mg microspheres containing 1 mg of peptide and no adjuvant. Microspheres containing peptide or adjuvant were </w:t>
            </w:r>
            <w:r w:rsidRPr="006374D2">
              <w:rPr>
                <w:rFonts w:asciiTheme="minorBidi" w:hAnsiTheme="minorBidi"/>
                <w:sz w:val="12"/>
                <w:szCs w:val="12"/>
              </w:rPr>
              <w:lastRenderedPageBreak/>
              <w:t xml:space="preserve">suspended in 1 ml of 4:1 squalene-arlacel A (Sigma) and injected intramuscularly  </w:t>
            </w:r>
            <w:r w:rsidRPr="006374D2">
              <w:rPr>
                <w:rFonts w:asciiTheme="minorBidi" w:hAnsiTheme="minorBidi"/>
                <w:sz w:val="12"/>
                <w:szCs w:val="12"/>
              </w:rPr>
              <w:br/>
              <w:t xml:space="preserve">remaining two rabbits: 1 mg of free peptide (1.3 mg/mL in PBS) and 100 mg of nor-MDP emulsied 50:50 in 4:1 squalene: arlacel A + boosting with 500 mg of peptide and 100 mg of nor-MDP at 10 weeks. </w:t>
            </w:r>
          </w:p>
        </w:tc>
        <w:tc>
          <w:tcPr>
            <w:tcW w:w="0" w:type="auto"/>
            <w:hideMark/>
          </w:tcPr>
          <w:p w14:paraId="5826345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NA</w:t>
            </w:r>
          </w:p>
        </w:tc>
        <w:tc>
          <w:tcPr>
            <w:tcW w:w="0" w:type="auto"/>
            <w:hideMark/>
          </w:tcPr>
          <w:p w14:paraId="4CB228C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IM</w:t>
            </w:r>
          </w:p>
        </w:tc>
        <w:tc>
          <w:tcPr>
            <w:tcW w:w="0" w:type="auto"/>
            <w:hideMark/>
          </w:tcPr>
          <w:p w14:paraId="69D373E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4 rabbits once in 12 weeks </w:t>
            </w:r>
            <w:r w:rsidRPr="006374D2">
              <w:rPr>
                <w:rFonts w:asciiTheme="minorBidi" w:hAnsiTheme="minorBidi"/>
                <w:sz w:val="12"/>
                <w:szCs w:val="12"/>
              </w:rPr>
              <w:br/>
              <w:t xml:space="preserve">2 rabbits in 10 and 12 weeks </w:t>
            </w:r>
          </w:p>
        </w:tc>
        <w:tc>
          <w:tcPr>
            <w:tcW w:w="0" w:type="auto"/>
            <w:hideMark/>
          </w:tcPr>
          <w:p w14:paraId="7011FFF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with or without N-acetyl-glucosamine- 3yl-acetyl-l-alanyl-d-isoglutamine (nor-MDP) adjuvant</w:t>
            </w:r>
          </w:p>
        </w:tc>
        <w:tc>
          <w:tcPr>
            <w:tcW w:w="0" w:type="auto"/>
            <w:hideMark/>
          </w:tcPr>
          <w:p w14:paraId="7D95968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ELISA, HPLC, Gun scanning electron microscope, </w:t>
            </w:r>
          </w:p>
        </w:tc>
        <w:tc>
          <w:tcPr>
            <w:tcW w:w="0" w:type="auto"/>
            <w:hideMark/>
          </w:tcPr>
          <w:p w14:paraId="6EBC6CD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sustained antibody response over a period of 5 months, without requiring a booster immunization or adjuvant in response to encapsulation of MVFMF2,</w:t>
            </w:r>
            <w:r w:rsidRPr="006374D2">
              <w:rPr>
                <w:rFonts w:asciiTheme="minorBidi" w:hAnsiTheme="minorBidi"/>
                <w:sz w:val="12"/>
                <w:szCs w:val="12"/>
              </w:rPr>
              <w:br/>
              <w:t>elevated immune response invoked by the encapsulated peptide without requiring booster and adjuvant, Raised Ab level against both free and encapsulated MVFMF2</w:t>
            </w:r>
          </w:p>
        </w:tc>
      </w:tr>
      <w:tr w:rsidR="006374D2" w:rsidRPr="006374D2" w14:paraId="246F1E2B" w14:textId="77777777" w:rsidTr="006374D2">
        <w:trPr>
          <w:trHeight w:val="3675"/>
        </w:trPr>
        <w:tc>
          <w:tcPr>
            <w:tcW w:w="0" w:type="auto"/>
            <w:hideMark/>
          </w:tcPr>
          <w:p w14:paraId="2D3B79C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Grange, M. P.</w:t>
            </w:r>
          </w:p>
        </w:tc>
        <w:tc>
          <w:tcPr>
            <w:tcW w:w="0" w:type="auto"/>
            <w:hideMark/>
          </w:tcPr>
          <w:p w14:paraId="5DBCCCC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1997</w:t>
            </w:r>
          </w:p>
        </w:tc>
        <w:tc>
          <w:tcPr>
            <w:tcW w:w="0" w:type="auto"/>
            <w:hideMark/>
          </w:tcPr>
          <w:p w14:paraId="2F0881D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France</w:t>
            </w:r>
          </w:p>
        </w:tc>
        <w:tc>
          <w:tcPr>
            <w:tcW w:w="0" w:type="auto"/>
            <w:hideMark/>
          </w:tcPr>
          <w:p w14:paraId="746A4B5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2CD8CC2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18</w:t>
            </w:r>
          </w:p>
        </w:tc>
        <w:tc>
          <w:tcPr>
            <w:tcW w:w="0" w:type="auto"/>
            <w:hideMark/>
          </w:tcPr>
          <w:p w14:paraId="141BD62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6 to 8 week old male BALB/c mice</w:t>
            </w:r>
          </w:p>
        </w:tc>
        <w:tc>
          <w:tcPr>
            <w:tcW w:w="0" w:type="auto"/>
            <w:hideMark/>
          </w:tcPr>
          <w:p w14:paraId="0AF3203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genetic and protein inoculation (gp62 Baculovirus recombinant protein + vector)</w:t>
            </w:r>
          </w:p>
        </w:tc>
        <w:tc>
          <w:tcPr>
            <w:tcW w:w="0" w:type="auto"/>
            <w:hideMark/>
          </w:tcPr>
          <w:p w14:paraId="2C27782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complete HTLV-I envelope</w:t>
            </w:r>
          </w:p>
        </w:tc>
        <w:tc>
          <w:tcPr>
            <w:tcW w:w="0" w:type="auto"/>
            <w:hideMark/>
          </w:tcPr>
          <w:p w14:paraId="013872E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10 microg for protein</w:t>
            </w:r>
          </w:p>
        </w:tc>
        <w:tc>
          <w:tcPr>
            <w:tcW w:w="0" w:type="auto"/>
            <w:hideMark/>
          </w:tcPr>
          <w:p w14:paraId="6D9C53B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7 mice: CMVenvLTR plasmid</w:t>
            </w:r>
            <w:r w:rsidRPr="006374D2">
              <w:rPr>
                <w:rFonts w:asciiTheme="minorBidi" w:hAnsiTheme="minorBidi"/>
                <w:sz w:val="12"/>
                <w:szCs w:val="12"/>
              </w:rPr>
              <w:br/>
              <w:t>7 mice: CMVenv plasmid</w:t>
            </w:r>
            <w:r w:rsidRPr="006374D2">
              <w:rPr>
                <w:rFonts w:asciiTheme="minorBidi" w:hAnsiTheme="minorBidi"/>
                <w:sz w:val="12"/>
                <w:szCs w:val="12"/>
              </w:rPr>
              <w:br/>
              <w:t>4 mice: negative control plasmid (pcDNA3)</w:t>
            </w:r>
          </w:p>
        </w:tc>
        <w:tc>
          <w:tcPr>
            <w:tcW w:w="0" w:type="auto"/>
            <w:hideMark/>
          </w:tcPr>
          <w:p w14:paraId="2143965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IM (vector)/IP(protein)</w:t>
            </w:r>
          </w:p>
        </w:tc>
        <w:tc>
          <w:tcPr>
            <w:tcW w:w="0" w:type="auto"/>
            <w:hideMark/>
          </w:tcPr>
          <w:p w14:paraId="38EBD30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[*different protocls were used]</w:t>
            </w:r>
            <w:r w:rsidRPr="006374D2">
              <w:rPr>
                <w:rFonts w:asciiTheme="minorBidi" w:hAnsiTheme="minorBidi"/>
                <w:sz w:val="12"/>
                <w:szCs w:val="12"/>
              </w:rPr>
              <w:br/>
              <w:t xml:space="preserve">Mice were immunized IP with 10 µg of gp62 Baculovirus recombinant protein in complete Freund's adjuvant followed by three boosting doses of 10 microg of recombinant protein </w:t>
            </w:r>
            <w:r w:rsidRPr="006374D2">
              <w:rPr>
                <w:rFonts w:asciiTheme="minorBidi" w:hAnsiTheme="minorBidi"/>
                <w:sz w:val="12"/>
                <w:szCs w:val="12"/>
              </w:rPr>
              <w:lastRenderedPageBreak/>
              <w:t>in incomplete Freund's adjuvant at 2-week intervals. Two mice of each DNA-primed group were immunized with protein at 14 weeks post-DNA inoculation. For comparative studies, two naive mice were immunized with protein with the same protocol</w:t>
            </w:r>
          </w:p>
        </w:tc>
        <w:tc>
          <w:tcPr>
            <w:tcW w:w="0" w:type="auto"/>
            <w:hideMark/>
          </w:tcPr>
          <w:p w14:paraId="4A0BE00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Freund's adjuvant</w:t>
            </w:r>
          </w:p>
        </w:tc>
        <w:tc>
          <w:tcPr>
            <w:tcW w:w="0" w:type="auto"/>
            <w:hideMark/>
          </w:tcPr>
          <w:p w14:paraId="449E4BA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ELISA, IFA, syncytium formation assay, CTLL assay</w:t>
            </w:r>
          </w:p>
        </w:tc>
        <w:tc>
          <w:tcPr>
            <w:tcW w:w="0" w:type="auto"/>
            <w:hideMark/>
          </w:tcPr>
          <w:p w14:paraId="07C8263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high antibody response in response to protein boosts in mice primed with DNA expressing HTLV-I envelop proteins, high neutralizing antibody titers, memory B-cell clone stimulation via single inoculation of DNA expressing HTLV-I env gene, specific cellular helper cell response in mice.</w:t>
            </w:r>
          </w:p>
        </w:tc>
      </w:tr>
      <w:tr w:rsidR="006374D2" w:rsidRPr="006374D2" w14:paraId="3CA3A353" w14:textId="77777777" w:rsidTr="006374D2">
        <w:trPr>
          <w:trHeight w:val="3615"/>
        </w:trPr>
        <w:tc>
          <w:tcPr>
            <w:tcW w:w="0" w:type="auto"/>
            <w:hideMark/>
          </w:tcPr>
          <w:p w14:paraId="55E519B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Hanabuchi, S.</w:t>
            </w:r>
          </w:p>
        </w:tc>
        <w:tc>
          <w:tcPr>
            <w:tcW w:w="0" w:type="auto"/>
            <w:hideMark/>
          </w:tcPr>
          <w:p w14:paraId="5118168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2001</w:t>
            </w:r>
          </w:p>
        </w:tc>
        <w:tc>
          <w:tcPr>
            <w:tcW w:w="0" w:type="auto"/>
            <w:hideMark/>
          </w:tcPr>
          <w:p w14:paraId="2425612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490E12A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3BED7A1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 (vaccinated)</w:t>
            </w:r>
            <w:r w:rsidRPr="006374D2">
              <w:rPr>
                <w:rFonts w:asciiTheme="minorBidi" w:hAnsiTheme="minorBidi"/>
                <w:sz w:val="12"/>
                <w:szCs w:val="12"/>
              </w:rPr>
              <w:br/>
              <w:t>2 (control)</w:t>
            </w:r>
          </w:p>
        </w:tc>
        <w:tc>
          <w:tcPr>
            <w:tcW w:w="0" w:type="auto"/>
            <w:hideMark/>
          </w:tcPr>
          <w:p w14:paraId="20708DE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Four-week-old female F344/N Jcl-rnu/rnu (nu/nu or athymic) rats and F344/N Jcl-rnu/+ (nu/+) rats</w:t>
            </w:r>
          </w:p>
        </w:tc>
        <w:tc>
          <w:tcPr>
            <w:tcW w:w="0" w:type="auto"/>
            <w:hideMark/>
          </w:tcPr>
          <w:p w14:paraId="1900CBC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peptide-based vaccine</w:t>
            </w:r>
          </w:p>
        </w:tc>
        <w:tc>
          <w:tcPr>
            <w:tcW w:w="0" w:type="auto"/>
            <w:hideMark/>
          </w:tcPr>
          <w:p w14:paraId="4E97857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synthetic oligopeptides corresponding to the Tax-epitope(180-188)</w:t>
            </w:r>
          </w:p>
        </w:tc>
        <w:tc>
          <w:tcPr>
            <w:tcW w:w="0" w:type="auto"/>
            <w:hideMark/>
          </w:tcPr>
          <w:p w14:paraId="25E7E1B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100  microg Tax 180–188 peptide alone, 10 nmol of ISS-ODN alone, 100  microg Tax 180–188 peptide mixed with 10 nmol of ISS ODN (Tax 180–188/ISS-ODN), or 100  microg Influenza A matrix 58–66 peptide mixed with 10 </w:t>
            </w:r>
            <w:r w:rsidRPr="006374D2">
              <w:rPr>
                <w:rFonts w:asciiTheme="minorBidi" w:hAnsiTheme="minorBidi"/>
                <w:sz w:val="12"/>
                <w:szCs w:val="12"/>
              </w:rPr>
              <w:lastRenderedPageBreak/>
              <w:t>nmol of ISS-ODN (Influenza A matrix 58–66/ISS-ODN)</w:t>
            </w:r>
          </w:p>
        </w:tc>
        <w:tc>
          <w:tcPr>
            <w:tcW w:w="0" w:type="auto"/>
            <w:hideMark/>
          </w:tcPr>
          <w:p w14:paraId="4BCB589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NA</w:t>
            </w:r>
          </w:p>
        </w:tc>
        <w:tc>
          <w:tcPr>
            <w:tcW w:w="0" w:type="auto"/>
            <w:hideMark/>
          </w:tcPr>
          <w:p w14:paraId="53125F4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ID/IP</w:t>
            </w:r>
          </w:p>
        </w:tc>
        <w:tc>
          <w:tcPr>
            <w:tcW w:w="0" w:type="auto"/>
            <w:hideMark/>
          </w:tcPr>
          <w:p w14:paraId="02DE69D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twice with a 2-week interval</w:t>
            </w:r>
            <w:r w:rsidRPr="006374D2">
              <w:rPr>
                <w:rFonts w:asciiTheme="minorBidi" w:hAnsiTheme="minorBidi"/>
                <w:sz w:val="12"/>
                <w:szCs w:val="12"/>
              </w:rPr>
              <w:br/>
              <w:t>Two weeks after the last immunization, 107 freshly isolated T-cell enriched splenocytes from vaccinated rats were intraperitoneally inoculated into 4-week old nu/nu rats, which were simultan</w:t>
            </w:r>
            <w:r w:rsidRPr="006374D2">
              <w:rPr>
                <w:rFonts w:asciiTheme="minorBidi" w:hAnsiTheme="minorBidi"/>
                <w:sz w:val="12"/>
                <w:szCs w:val="12"/>
              </w:rPr>
              <w:lastRenderedPageBreak/>
              <w:t>eously inoculated subcutaneously with 2×10*7 FPM1-V1AX cells</w:t>
            </w:r>
          </w:p>
        </w:tc>
        <w:tc>
          <w:tcPr>
            <w:tcW w:w="0" w:type="auto"/>
            <w:hideMark/>
          </w:tcPr>
          <w:p w14:paraId="298EE2F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immune–stimulatory DNA sequences–oligodeoxynucleotides (ISS-ODNs)</w:t>
            </w:r>
          </w:p>
        </w:tc>
        <w:tc>
          <w:tcPr>
            <w:tcW w:w="0" w:type="auto"/>
            <w:hideMark/>
          </w:tcPr>
          <w:p w14:paraId="69A5648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cold inhibition assay/Cr-release assay/peptide mapping</w:t>
            </w:r>
          </w:p>
        </w:tc>
        <w:tc>
          <w:tcPr>
            <w:tcW w:w="0" w:type="auto"/>
            <w:hideMark/>
          </w:tcPr>
          <w:p w14:paraId="090FC27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development prevention of FPM1-V1AX cell induced lymphomas in athymic rats in response to adoptive transfer of the Tax 180–188-specific CTL line or freshly prepared T cells from rats vaccinated with the Tax 180–188 oligopeptide in comparison with control groups, </w:t>
            </w:r>
            <w:r w:rsidRPr="006374D2">
              <w:rPr>
                <w:rFonts w:asciiTheme="minorBidi" w:hAnsiTheme="minorBidi"/>
                <w:sz w:val="12"/>
                <w:szCs w:val="12"/>
              </w:rPr>
              <w:br/>
              <w:t xml:space="preserve">equivalent inhibitory effects on the growth of HTLV-I-infected tumors in both CD4+ and CD8+ T cells, Tax 180–188 as a dominant epitope recognized by the HTLV-I Tax-specific CTL line </w:t>
            </w:r>
          </w:p>
        </w:tc>
      </w:tr>
      <w:tr w:rsidR="006374D2" w:rsidRPr="006374D2" w14:paraId="79510C0F" w14:textId="77777777" w:rsidTr="006374D2">
        <w:trPr>
          <w:trHeight w:val="2970"/>
        </w:trPr>
        <w:tc>
          <w:tcPr>
            <w:tcW w:w="0" w:type="auto"/>
            <w:hideMark/>
          </w:tcPr>
          <w:p w14:paraId="6CBD700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Ibuki, K.</w:t>
            </w:r>
          </w:p>
        </w:tc>
        <w:tc>
          <w:tcPr>
            <w:tcW w:w="0" w:type="auto"/>
            <w:hideMark/>
          </w:tcPr>
          <w:p w14:paraId="3A80BF2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1997</w:t>
            </w:r>
          </w:p>
        </w:tc>
        <w:tc>
          <w:tcPr>
            <w:tcW w:w="0" w:type="auto"/>
            <w:hideMark/>
          </w:tcPr>
          <w:p w14:paraId="7832DF0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52A262B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3AB2AED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5</w:t>
            </w:r>
          </w:p>
        </w:tc>
        <w:tc>
          <w:tcPr>
            <w:tcW w:w="0" w:type="auto"/>
            <w:hideMark/>
          </w:tcPr>
          <w:p w14:paraId="73E9970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cynomolgus monkeys (Macaca fascicularis)</w:t>
            </w:r>
          </w:p>
        </w:tc>
        <w:tc>
          <w:tcPr>
            <w:tcW w:w="0" w:type="auto"/>
            <w:hideMark/>
          </w:tcPr>
          <w:p w14:paraId="635431E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rVV</w:t>
            </w:r>
          </w:p>
        </w:tc>
        <w:tc>
          <w:tcPr>
            <w:tcW w:w="0" w:type="auto"/>
            <w:hideMark/>
          </w:tcPr>
          <w:p w14:paraId="300C1C1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HTLV-I envelope (Env) gp46</w:t>
            </w:r>
          </w:p>
        </w:tc>
        <w:tc>
          <w:tcPr>
            <w:tcW w:w="0" w:type="auto"/>
            <w:hideMark/>
          </w:tcPr>
          <w:p w14:paraId="5B9EE47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Two monkeys: 3.10*8 p.f.u. of WR-SFB5env</w:t>
            </w:r>
            <w:r w:rsidRPr="006374D2">
              <w:rPr>
                <w:rFonts w:asciiTheme="minorBidi" w:hAnsiTheme="minorBidi"/>
                <w:sz w:val="12"/>
                <w:szCs w:val="12"/>
              </w:rPr>
              <w:br/>
              <w:t>three monkeys: 3.10*8 p.f.u. of HA− VV</w:t>
            </w:r>
          </w:p>
        </w:tc>
        <w:tc>
          <w:tcPr>
            <w:tcW w:w="0" w:type="auto"/>
            <w:hideMark/>
          </w:tcPr>
          <w:p w14:paraId="79AF8CF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 plasmid pSFB5, which contains the A-type inclusion body (ATI) promoter of cowpox virus and five units of synthetic VV 7±5 kDa early promoter</w:t>
            </w:r>
          </w:p>
        </w:tc>
        <w:tc>
          <w:tcPr>
            <w:tcW w:w="0" w:type="auto"/>
            <w:hideMark/>
          </w:tcPr>
          <w:p w14:paraId="5EBF8A2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ID</w:t>
            </w:r>
          </w:p>
        </w:tc>
        <w:tc>
          <w:tcPr>
            <w:tcW w:w="0" w:type="auto"/>
            <w:hideMark/>
          </w:tcPr>
          <w:p w14:paraId="752359B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w:t>
            </w:r>
          </w:p>
        </w:tc>
        <w:tc>
          <w:tcPr>
            <w:tcW w:w="0" w:type="auto"/>
            <w:hideMark/>
          </w:tcPr>
          <w:p w14:paraId="6835F57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Freund’s complete adjuvant</w:t>
            </w:r>
          </w:p>
        </w:tc>
        <w:tc>
          <w:tcPr>
            <w:tcW w:w="0" w:type="auto"/>
            <w:hideMark/>
          </w:tcPr>
          <w:p w14:paraId="79166F0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western blot, PCR,  particle agglutination, IFA</w:t>
            </w:r>
          </w:p>
        </w:tc>
        <w:tc>
          <w:tcPr>
            <w:tcW w:w="0" w:type="auto"/>
            <w:hideMark/>
          </w:tcPr>
          <w:p w14:paraId="6CAE647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Neither HTLV-I antigen nor HTLV-I proviruses were detected/ Single immunization with WR-SFB5env elicited long-lived anti-Env antibodies as well as Env-specific CTL activity/ Gp46 expression alone was sufficient for protection</w:t>
            </w:r>
          </w:p>
        </w:tc>
      </w:tr>
      <w:tr w:rsidR="006374D2" w:rsidRPr="006374D2" w14:paraId="78CB44C1" w14:textId="77777777" w:rsidTr="006374D2">
        <w:trPr>
          <w:trHeight w:val="1399"/>
        </w:trPr>
        <w:tc>
          <w:tcPr>
            <w:tcW w:w="0" w:type="auto"/>
            <w:hideMark/>
          </w:tcPr>
          <w:p w14:paraId="35488BC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Kuo, C. W.</w:t>
            </w:r>
          </w:p>
        </w:tc>
        <w:tc>
          <w:tcPr>
            <w:tcW w:w="0" w:type="auto"/>
            <w:hideMark/>
          </w:tcPr>
          <w:p w14:paraId="3B26C2D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2011</w:t>
            </w:r>
          </w:p>
        </w:tc>
        <w:tc>
          <w:tcPr>
            <w:tcW w:w="0" w:type="auto"/>
            <w:hideMark/>
          </w:tcPr>
          <w:p w14:paraId="590D3D0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Scotland</w:t>
            </w:r>
          </w:p>
        </w:tc>
        <w:tc>
          <w:tcPr>
            <w:tcW w:w="0" w:type="auto"/>
            <w:hideMark/>
          </w:tcPr>
          <w:p w14:paraId="6BEBBCC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DB5890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85621D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B5C0DB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 recombinant glycoprotein </w:t>
            </w:r>
          </w:p>
        </w:tc>
        <w:tc>
          <w:tcPr>
            <w:tcW w:w="0" w:type="auto"/>
            <w:hideMark/>
          </w:tcPr>
          <w:p w14:paraId="0587079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gp46</w:t>
            </w:r>
          </w:p>
        </w:tc>
        <w:tc>
          <w:tcPr>
            <w:tcW w:w="0" w:type="auto"/>
            <w:hideMark/>
          </w:tcPr>
          <w:p w14:paraId="2839F03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soluble recombinant surface glycoprotein (gp46, SU) fused to the Fc region of human IgG (sRgp46-Fc)</w:t>
            </w:r>
          </w:p>
        </w:tc>
        <w:tc>
          <w:tcPr>
            <w:tcW w:w="0" w:type="auto"/>
            <w:hideMark/>
          </w:tcPr>
          <w:p w14:paraId="51C20E3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 pHTE-1, pMtgp46-Fc</w:t>
            </w:r>
          </w:p>
        </w:tc>
        <w:tc>
          <w:tcPr>
            <w:tcW w:w="0" w:type="auto"/>
            <w:hideMark/>
          </w:tcPr>
          <w:p w14:paraId="1CA8BE8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10A1493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16834BA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5F9283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ELISA, Western blot, Syncytium interference assay, Flow cytometry, </w:t>
            </w:r>
          </w:p>
        </w:tc>
        <w:tc>
          <w:tcPr>
            <w:tcW w:w="0" w:type="auto"/>
            <w:hideMark/>
          </w:tcPr>
          <w:p w14:paraId="0289BAA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High titer Ab responses/ Many of these mAbs recognize envelope displayed on the surface of HTLV-1–infected</w:t>
            </w:r>
            <w:r w:rsidRPr="006374D2">
              <w:rPr>
                <w:rFonts w:asciiTheme="minorBidi" w:hAnsiTheme="minorBidi"/>
                <w:sz w:val="12"/>
                <w:szCs w:val="12"/>
              </w:rPr>
              <w:br/>
              <w:t>cells / mAbs robustly antagonize envelope-mediated membrane fusion and neutralize pseudovirus</w:t>
            </w:r>
            <w:r w:rsidRPr="006374D2">
              <w:rPr>
                <w:rFonts w:asciiTheme="minorBidi" w:hAnsiTheme="minorBidi"/>
                <w:sz w:val="12"/>
                <w:szCs w:val="12"/>
              </w:rPr>
              <w:br/>
              <w:t>infectivity/ Potent neutralizing mAbs recognize the N-terminal receptor-binding domain / Both neutralizing and poorly</w:t>
            </w:r>
            <w:r w:rsidRPr="006374D2">
              <w:rPr>
                <w:rFonts w:asciiTheme="minorBidi" w:hAnsiTheme="minorBidi"/>
                <w:sz w:val="12"/>
                <w:szCs w:val="12"/>
              </w:rPr>
              <w:br/>
              <w:t xml:space="preserve">neutralizing Abs strongly stimulate </w:t>
            </w:r>
            <w:r w:rsidRPr="006374D2">
              <w:rPr>
                <w:rFonts w:asciiTheme="minorBidi" w:hAnsiTheme="minorBidi"/>
                <w:sz w:val="12"/>
                <w:szCs w:val="12"/>
              </w:rPr>
              <w:lastRenderedPageBreak/>
              <w:t>neutrophil-mediated cytotoxic responses to HTLV-1–infected cells.</w:t>
            </w:r>
          </w:p>
        </w:tc>
      </w:tr>
      <w:tr w:rsidR="006374D2" w:rsidRPr="006374D2" w14:paraId="0266D181" w14:textId="77777777" w:rsidTr="006374D2">
        <w:trPr>
          <w:trHeight w:val="2010"/>
        </w:trPr>
        <w:tc>
          <w:tcPr>
            <w:tcW w:w="0" w:type="auto"/>
            <w:hideMark/>
          </w:tcPr>
          <w:p w14:paraId="29198C0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Nakamura, Hideo</w:t>
            </w:r>
          </w:p>
        </w:tc>
        <w:tc>
          <w:tcPr>
            <w:tcW w:w="0" w:type="auto"/>
            <w:hideMark/>
          </w:tcPr>
          <w:p w14:paraId="541D2F3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1987</w:t>
            </w:r>
          </w:p>
        </w:tc>
        <w:tc>
          <w:tcPr>
            <w:tcW w:w="0" w:type="auto"/>
            <w:hideMark/>
          </w:tcPr>
          <w:p w14:paraId="7EA9794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469E248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3BED495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10</w:t>
            </w:r>
          </w:p>
        </w:tc>
        <w:tc>
          <w:tcPr>
            <w:tcW w:w="0" w:type="auto"/>
            <w:hideMark/>
          </w:tcPr>
          <w:p w14:paraId="192405D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Cynomolgus monkeys (Macaca fascicularis)</w:t>
            </w:r>
          </w:p>
        </w:tc>
        <w:tc>
          <w:tcPr>
            <w:tcW w:w="0" w:type="auto"/>
            <w:hideMark/>
          </w:tcPr>
          <w:p w14:paraId="1601FF6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hyprid protein</w:t>
            </w:r>
          </w:p>
        </w:tc>
        <w:tc>
          <w:tcPr>
            <w:tcW w:w="0" w:type="auto"/>
            <w:hideMark/>
          </w:tcPr>
          <w:p w14:paraId="65AEC4A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env gene products of HTLV-I produced in E.coli</w:t>
            </w:r>
          </w:p>
        </w:tc>
        <w:tc>
          <w:tcPr>
            <w:tcW w:w="0" w:type="auto"/>
            <w:hideMark/>
          </w:tcPr>
          <w:p w14:paraId="7CBB8FD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different (100 or 150 microg)</w:t>
            </w:r>
          </w:p>
        </w:tc>
        <w:tc>
          <w:tcPr>
            <w:tcW w:w="0" w:type="auto"/>
            <w:hideMark/>
          </w:tcPr>
          <w:p w14:paraId="4289FC0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29678F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ID/IV</w:t>
            </w:r>
          </w:p>
        </w:tc>
        <w:tc>
          <w:tcPr>
            <w:tcW w:w="0" w:type="auto"/>
            <w:hideMark/>
          </w:tcPr>
          <w:p w14:paraId="21ABDFE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different for each group</w:t>
            </w:r>
          </w:p>
        </w:tc>
        <w:tc>
          <w:tcPr>
            <w:tcW w:w="0" w:type="auto"/>
            <w:hideMark/>
          </w:tcPr>
          <w:p w14:paraId="59B91C3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Freund’s complete adjuvant</w:t>
            </w:r>
          </w:p>
        </w:tc>
        <w:tc>
          <w:tcPr>
            <w:tcW w:w="0" w:type="auto"/>
            <w:hideMark/>
          </w:tcPr>
          <w:p w14:paraId="2D7B995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SDS-polyacrylamide gel electrophoresis, Western blot, IFA</w:t>
            </w:r>
          </w:p>
        </w:tc>
        <w:tc>
          <w:tcPr>
            <w:tcW w:w="0" w:type="auto"/>
            <w:hideMark/>
          </w:tcPr>
          <w:p w14:paraId="79B7272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Ab against HTLV-I gp68 and gp46, strong inhibition of syncytium formation, humoral immunity</w:t>
            </w:r>
          </w:p>
        </w:tc>
      </w:tr>
      <w:tr w:rsidR="006374D2" w:rsidRPr="006374D2" w14:paraId="545D20C5" w14:textId="77777777" w:rsidTr="006374D2">
        <w:trPr>
          <w:trHeight w:val="2880"/>
        </w:trPr>
        <w:tc>
          <w:tcPr>
            <w:tcW w:w="0" w:type="auto"/>
            <w:hideMark/>
          </w:tcPr>
          <w:p w14:paraId="3D7FE18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Ohashi, T.</w:t>
            </w:r>
          </w:p>
        </w:tc>
        <w:tc>
          <w:tcPr>
            <w:tcW w:w="0" w:type="auto"/>
            <w:hideMark/>
          </w:tcPr>
          <w:p w14:paraId="6DFCFE6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2000</w:t>
            </w:r>
          </w:p>
        </w:tc>
        <w:tc>
          <w:tcPr>
            <w:tcW w:w="0" w:type="auto"/>
            <w:hideMark/>
          </w:tcPr>
          <w:p w14:paraId="1DB94D0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68CDC11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38747EB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682F297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Female F344/N Jcl-rnu/rnu (nu/nu) rats and F344/N Jcl-rnu/1 (nu/1) rats</w:t>
            </w:r>
          </w:p>
        </w:tc>
        <w:tc>
          <w:tcPr>
            <w:tcW w:w="0" w:type="auto"/>
            <w:hideMark/>
          </w:tcPr>
          <w:p w14:paraId="7457CB3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DNA vaccine</w:t>
            </w:r>
          </w:p>
        </w:tc>
        <w:tc>
          <w:tcPr>
            <w:tcW w:w="0" w:type="auto"/>
            <w:hideMark/>
          </w:tcPr>
          <w:p w14:paraId="671D0F1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Tax-coding DNA</w:t>
            </w:r>
          </w:p>
        </w:tc>
        <w:tc>
          <w:tcPr>
            <w:tcW w:w="0" w:type="auto"/>
            <w:hideMark/>
          </w:tcPr>
          <w:p w14:paraId="60D9ED0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10 μg</w:t>
            </w:r>
          </w:p>
        </w:tc>
        <w:tc>
          <w:tcPr>
            <w:tcW w:w="0" w:type="auto"/>
            <w:hideMark/>
          </w:tcPr>
          <w:p w14:paraId="236629E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Wild-type Tax (pbMT-2Tax) and a mutant Tax (Tax410)</w:t>
            </w:r>
          </w:p>
        </w:tc>
        <w:tc>
          <w:tcPr>
            <w:tcW w:w="0" w:type="auto"/>
            <w:hideMark/>
          </w:tcPr>
          <w:p w14:paraId="2162B4B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The Helios Gene Gun system</w:t>
            </w:r>
          </w:p>
        </w:tc>
        <w:tc>
          <w:tcPr>
            <w:tcW w:w="0" w:type="auto"/>
            <w:hideMark/>
          </w:tcPr>
          <w:p w14:paraId="62BBF85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twice, with a 1-week interval</w:t>
            </w:r>
          </w:p>
        </w:tc>
        <w:tc>
          <w:tcPr>
            <w:tcW w:w="0" w:type="auto"/>
            <w:hideMark/>
          </w:tcPr>
          <w:p w14:paraId="603236D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Fifty milligrams of Au particles with 100 mg vector</w:t>
            </w:r>
          </w:p>
        </w:tc>
        <w:tc>
          <w:tcPr>
            <w:tcW w:w="0" w:type="auto"/>
            <w:hideMark/>
          </w:tcPr>
          <w:p w14:paraId="016E697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Cr-release cytotoxicity assay, SDS-PAGE, </w:t>
            </w:r>
          </w:p>
        </w:tc>
        <w:tc>
          <w:tcPr>
            <w:tcW w:w="0" w:type="auto"/>
            <w:hideMark/>
          </w:tcPr>
          <w:p w14:paraId="03CFC24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Tax-specific CTL induction, CTLs ability to lyse HTLV-1 infected syngeneic T cells in vitro, in vivo growth inhibition of HTLV-1-transformed tumor, efficient anti-tumor immunity induction</w:t>
            </w:r>
          </w:p>
        </w:tc>
      </w:tr>
      <w:tr w:rsidR="006374D2" w:rsidRPr="006374D2" w14:paraId="1F2A6D4F" w14:textId="77777777" w:rsidTr="006374D2">
        <w:trPr>
          <w:trHeight w:val="2310"/>
        </w:trPr>
        <w:tc>
          <w:tcPr>
            <w:tcW w:w="0" w:type="auto"/>
            <w:hideMark/>
          </w:tcPr>
          <w:p w14:paraId="13BEF80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Sagar, Divya</w:t>
            </w:r>
          </w:p>
        </w:tc>
        <w:tc>
          <w:tcPr>
            <w:tcW w:w="0" w:type="auto"/>
            <w:hideMark/>
          </w:tcPr>
          <w:p w14:paraId="203DB93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2014</w:t>
            </w:r>
          </w:p>
        </w:tc>
        <w:tc>
          <w:tcPr>
            <w:tcW w:w="0" w:type="auto"/>
            <w:hideMark/>
          </w:tcPr>
          <w:p w14:paraId="7AF79EA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USA</w:t>
            </w:r>
          </w:p>
        </w:tc>
        <w:tc>
          <w:tcPr>
            <w:tcW w:w="0" w:type="auto"/>
            <w:hideMark/>
          </w:tcPr>
          <w:p w14:paraId="088DD8B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44C0988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  (exact number is not mentioned)</w:t>
            </w:r>
          </w:p>
        </w:tc>
        <w:tc>
          <w:tcPr>
            <w:tcW w:w="0" w:type="auto"/>
            <w:hideMark/>
          </w:tcPr>
          <w:p w14:paraId="2BA7A8D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Transgenic hybrid mice generated from an intercross between HLA-A2.1 and DTR transgenic mice / HLA-A2.1 transgenic mice /  DTR </w:t>
            </w:r>
            <w:r w:rsidRPr="006374D2">
              <w:rPr>
                <w:rFonts w:asciiTheme="minorBidi" w:hAnsiTheme="minorBidi"/>
                <w:sz w:val="12"/>
                <w:szCs w:val="12"/>
              </w:rPr>
              <w:lastRenderedPageBreak/>
              <w:t>transgenic mice</w:t>
            </w:r>
            <w:r w:rsidRPr="006374D2">
              <w:rPr>
                <w:rFonts w:asciiTheme="minorBidi" w:hAnsiTheme="minorBidi"/>
                <w:sz w:val="12"/>
                <w:szCs w:val="12"/>
              </w:rPr>
              <w:br/>
              <w:t>the last two types were used to produce the hybrid mice</w:t>
            </w:r>
          </w:p>
        </w:tc>
        <w:tc>
          <w:tcPr>
            <w:tcW w:w="0" w:type="auto"/>
            <w:hideMark/>
          </w:tcPr>
          <w:p w14:paraId="5A0606D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 xml:space="preserve">dendritic cell-based anti-HTLV-1 vaccine </w:t>
            </w:r>
          </w:p>
        </w:tc>
        <w:tc>
          <w:tcPr>
            <w:tcW w:w="0" w:type="auto"/>
            <w:hideMark/>
          </w:tcPr>
          <w:p w14:paraId="344251A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Tax(11-19) epitope</w:t>
            </w:r>
          </w:p>
        </w:tc>
        <w:tc>
          <w:tcPr>
            <w:tcW w:w="0" w:type="auto"/>
            <w:hideMark/>
          </w:tcPr>
          <w:p w14:paraId="6F43802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100 μg</w:t>
            </w:r>
          </w:p>
        </w:tc>
        <w:tc>
          <w:tcPr>
            <w:tcW w:w="0" w:type="auto"/>
            <w:hideMark/>
          </w:tcPr>
          <w:p w14:paraId="0B986E7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1D3002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ID/SC</w:t>
            </w:r>
          </w:p>
        </w:tc>
        <w:tc>
          <w:tcPr>
            <w:tcW w:w="0" w:type="auto"/>
            <w:hideMark/>
          </w:tcPr>
          <w:p w14:paraId="46BAD7F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once</w:t>
            </w:r>
          </w:p>
        </w:tc>
        <w:tc>
          <w:tcPr>
            <w:tcW w:w="0" w:type="auto"/>
            <w:hideMark/>
          </w:tcPr>
          <w:p w14:paraId="08FB6D3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absence or presence of Freund’s adjuvant and/or DCs</w:t>
            </w:r>
          </w:p>
        </w:tc>
        <w:tc>
          <w:tcPr>
            <w:tcW w:w="0" w:type="auto"/>
            <w:hideMark/>
          </w:tcPr>
          <w:p w14:paraId="30993B4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PCR/ELISA/MILLIPLEX magnetic bead assay</w:t>
            </w:r>
          </w:p>
        </w:tc>
        <w:tc>
          <w:tcPr>
            <w:tcW w:w="0" w:type="auto"/>
            <w:hideMark/>
          </w:tcPr>
          <w:p w14:paraId="018324E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reduced proliferation of CD8+ splenocytes from Tax 11-19 immunized DC depleted mice, higher frequency of Tax 11- 19-specific cells with adjuvant usage, Tax 11-19 epitope as a potential candidate for a DC-based anti-HTLV-1 vaccine</w:t>
            </w:r>
          </w:p>
        </w:tc>
      </w:tr>
      <w:tr w:rsidR="006374D2" w:rsidRPr="006374D2" w14:paraId="07D89D21" w14:textId="77777777" w:rsidTr="006374D2">
        <w:trPr>
          <w:trHeight w:val="1399"/>
        </w:trPr>
        <w:tc>
          <w:tcPr>
            <w:tcW w:w="0" w:type="auto"/>
            <w:hideMark/>
          </w:tcPr>
          <w:p w14:paraId="39B0319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Shida, H.</w:t>
            </w:r>
          </w:p>
        </w:tc>
        <w:tc>
          <w:tcPr>
            <w:tcW w:w="0" w:type="auto"/>
            <w:hideMark/>
          </w:tcPr>
          <w:p w14:paraId="376A39B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1988</w:t>
            </w:r>
          </w:p>
        </w:tc>
        <w:tc>
          <w:tcPr>
            <w:tcW w:w="0" w:type="auto"/>
            <w:hideMark/>
          </w:tcPr>
          <w:p w14:paraId="01340B5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44A348B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47288A7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954C63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 Japan albino rabbits, each weighing 1.8 to 2.3 kg and 5-week-old male DDY mice</w:t>
            </w:r>
          </w:p>
        </w:tc>
        <w:tc>
          <w:tcPr>
            <w:tcW w:w="0" w:type="auto"/>
            <w:hideMark/>
          </w:tcPr>
          <w:p w14:paraId="4444A3F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rVV</w:t>
            </w:r>
          </w:p>
        </w:tc>
        <w:tc>
          <w:tcPr>
            <w:tcW w:w="0" w:type="auto"/>
            <w:hideMark/>
          </w:tcPr>
          <w:p w14:paraId="185303F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HTLV-1 envelope gene</w:t>
            </w:r>
          </w:p>
        </w:tc>
        <w:tc>
          <w:tcPr>
            <w:tcW w:w="0" w:type="auto"/>
            <w:hideMark/>
          </w:tcPr>
          <w:p w14:paraId="43CAD36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571DA9C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LC16mO</w:t>
            </w:r>
            <w:r w:rsidRPr="006374D2">
              <w:rPr>
                <w:rFonts w:asciiTheme="minorBidi" w:hAnsiTheme="minorBidi"/>
                <w:sz w:val="12"/>
                <w:szCs w:val="12"/>
              </w:rPr>
              <w:br/>
              <w:t>not exactly described ( p7.5 promoter and flanked with the segments of the HA gene)</w:t>
            </w:r>
          </w:p>
        </w:tc>
        <w:tc>
          <w:tcPr>
            <w:tcW w:w="0" w:type="auto"/>
            <w:hideMark/>
          </w:tcPr>
          <w:p w14:paraId="2807257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IP/IC</w:t>
            </w:r>
          </w:p>
        </w:tc>
        <w:tc>
          <w:tcPr>
            <w:tcW w:w="0" w:type="auto"/>
            <w:hideMark/>
          </w:tcPr>
          <w:p w14:paraId="353413F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once</w:t>
            </w:r>
          </w:p>
        </w:tc>
        <w:tc>
          <w:tcPr>
            <w:tcW w:w="0" w:type="auto"/>
            <w:hideMark/>
          </w:tcPr>
          <w:p w14:paraId="29EF32F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5882083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IFA</w:t>
            </w:r>
          </w:p>
        </w:tc>
        <w:tc>
          <w:tcPr>
            <w:tcW w:w="0" w:type="auto"/>
            <w:hideMark/>
          </w:tcPr>
          <w:p w14:paraId="0F81F67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LC16mO is a good candidate as a vector for vaccination</w:t>
            </w:r>
          </w:p>
        </w:tc>
      </w:tr>
      <w:tr w:rsidR="006374D2" w:rsidRPr="006374D2" w14:paraId="714BD9B2" w14:textId="77777777" w:rsidTr="006374D2">
        <w:trPr>
          <w:trHeight w:val="1399"/>
        </w:trPr>
        <w:tc>
          <w:tcPr>
            <w:tcW w:w="0" w:type="auto"/>
            <w:hideMark/>
          </w:tcPr>
          <w:p w14:paraId="1C10BE6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Shida, H.</w:t>
            </w:r>
          </w:p>
        </w:tc>
        <w:tc>
          <w:tcPr>
            <w:tcW w:w="0" w:type="auto"/>
            <w:hideMark/>
          </w:tcPr>
          <w:p w14:paraId="4966215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1987</w:t>
            </w:r>
          </w:p>
        </w:tc>
        <w:tc>
          <w:tcPr>
            <w:tcW w:w="0" w:type="auto"/>
            <w:hideMark/>
          </w:tcPr>
          <w:p w14:paraId="6E1A7E0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0961571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7657D08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12</w:t>
            </w:r>
          </w:p>
        </w:tc>
        <w:tc>
          <w:tcPr>
            <w:tcW w:w="0" w:type="auto"/>
            <w:hideMark/>
          </w:tcPr>
          <w:p w14:paraId="21E7681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rabbits</w:t>
            </w:r>
          </w:p>
        </w:tc>
        <w:tc>
          <w:tcPr>
            <w:tcW w:w="0" w:type="auto"/>
            <w:hideMark/>
          </w:tcPr>
          <w:p w14:paraId="45920CA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rVV</w:t>
            </w:r>
          </w:p>
        </w:tc>
        <w:tc>
          <w:tcPr>
            <w:tcW w:w="0" w:type="auto"/>
            <w:hideMark/>
          </w:tcPr>
          <w:p w14:paraId="0EFC66F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The envelope gene of HTLV-I in the vaccinia virus hemagglutinin (HA) gene</w:t>
            </w:r>
          </w:p>
        </w:tc>
        <w:tc>
          <w:tcPr>
            <w:tcW w:w="0" w:type="auto"/>
            <w:hideMark/>
          </w:tcPr>
          <w:p w14:paraId="0407EF9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3F7E90F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WR-envl7 and WR-proenvl.</w:t>
            </w:r>
          </w:p>
        </w:tc>
        <w:tc>
          <w:tcPr>
            <w:tcW w:w="0" w:type="auto"/>
            <w:hideMark/>
          </w:tcPr>
          <w:p w14:paraId="758B9D1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ID</w:t>
            </w:r>
          </w:p>
        </w:tc>
        <w:tc>
          <w:tcPr>
            <w:tcW w:w="0" w:type="auto"/>
            <w:hideMark/>
          </w:tcPr>
          <w:p w14:paraId="0817050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once</w:t>
            </w:r>
          </w:p>
        </w:tc>
        <w:tc>
          <w:tcPr>
            <w:tcW w:w="0" w:type="auto"/>
            <w:hideMark/>
          </w:tcPr>
          <w:p w14:paraId="7629A17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3623E84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IFA</w:t>
            </w:r>
          </w:p>
        </w:tc>
        <w:tc>
          <w:tcPr>
            <w:tcW w:w="0" w:type="auto"/>
            <w:hideMark/>
          </w:tcPr>
          <w:p w14:paraId="1A92156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HA gene is a useful site to</w:t>
            </w:r>
            <w:r w:rsidRPr="006374D2">
              <w:rPr>
                <w:rFonts w:asciiTheme="minorBidi" w:hAnsiTheme="minorBidi"/>
                <w:sz w:val="12"/>
                <w:szCs w:val="12"/>
              </w:rPr>
              <w:br/>
              <w:t>accept and express foreign genes/ A single inoculation of the recombinant</w:t>
            </w:r>
            <w:r w:rsidRPr="006374D2">
              <w:rPr>
                <w:rFonts w:asciiTheme="minorBidi" w:hAnsiTheme="minorBidi"/>
                <w:sz w:val="12"/>
                <w:szCs w:val="12"/>
              </w:rPr>
              <w:br/>
              <w:t>virus-induced antibodies to the env proteins of HTLV-I in</w:t>
            </w:r>
            <w:r w:rsidRPr="006374D2">
              <w:rPr>
                <w:rFonts w:asciiTheme="minorBidi" w:hAnsiTheme="minorBidi"/>
                <w:sz w:val="12"/>
                <w:szCs w:val="12"/>
              </w:rPr>
              <w:br/>
              <w:t>rabbits and had a protective effect against HTLV-I infection.</w:t>
            </w:r>
          </w:p>
        </w:tc>
      </w:tr>
      <w:tr w:rsidR="006374D2" w:rsidRPr="006374D2" w14:paraId="30259DFC" w14:textId="77777777" w:rsidTr="006374D2">
        <w:trPr>
          <w:trHeight w:val="2790"/>
        </w:trPr>
        <w:tc>
          <w:tcPr>
            <w:tcW w:w="0" w:type="auto"/>
            <w:hideMark/>
          </w:tcPr>
          <w:p w14:paraId="05EB743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Suehiro, Youko</w:t>
            </w:r>
          </w:p>
        </w:tc>
        <w:tc>
          <w:tcPr>
            <w:tcW w:w="0" w:type="auto"/>
            <w:hideMark/>
          </w:tcPr>
          <w:p w14:paraId="34D6CAE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2015</w:t>
            </w:r>
          </w:p>
        </w:tc>
        <w:tc>
          <w:tcPr>
            <w:tcW w:w="0" w:type="auto"/>
            <w:hideMark/>
          </w:tcPr>
          <w:p w14:paraId="2F3401F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793B99E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human</w:t>
            </w:r>
          </w:p>
        </w:tc>
        <w:tc>
          <w:tcPr>
            <w:tcW w:w="0" w:type="auto"/>
            <w:hideMark/>
          </w:tcPr>
          <w:p w14:paraId="7E8CD9F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3</w:t>
            </w:r>
          </w:p>
        </w:tc>
        <w:tc>
          <w:tcPr>
            <w:tcW w:w="0" w:type="auto"/>
            <w:hideMark/>
          </w:tcPr>
          <w:p w14:paraId="7C937E1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human</w:t>
            </w:r>
          </w:p>
        </w:tc>
        <w:tc>
          <w:tcPr>
            <w:tcW w:w="0" w:type="auto"/>
            <w:hideMark/>
          </w:tcPr>
          <w:p w14:paraId="41587D8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autologous dendritic cells </w:t>
            </w:r>
          </w:p>
        </w:tc>
        <w:tc>
          <w:tcPr>
            <w:tcW w:w="0" w:type="auto"/>
            <w:hideMark/>
          </w:tcPr>
          <w:p w14:paraId="7AD4DA7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autologous dendritic cells (DCs) pulsed with Tax peptides corresponding to the CTL epitopes</w:t>
            </w:r>
          </w:p>
        </w:tc>
        <w:tc>
          <w:tcPr>
            <w:tcW w:w="0" w:type="auto"/>
            <w:hideMark/>
          </w:tcPr>
          <w:p w14:paraId="52CEF8E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5*(10^6)</w:t>
            </w:r>
          </w:p>
        </w:tc>
        <w:tc>
          <w:tcPr>
            <w:tcW w:w="0" w:type="auto"/>
            <w:hideMark/>
          </w:tcPr>
          <w:p w14:paraId="69307E5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046B3B6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SC</w:t>
            </w:r>
          </w:p>
        </w:tc>
        <w:tc>
          <w:tcPr>
            <w:tcW w:w="0" w:type="auto"/>
            <w:hideMark/>
          </w:tcPr>
          <w:p w14:paraId="20D1AA1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three times at 2-week intervals</w:t>
            </w:r>
          </w:p>
        </w:tc>
        <w:tc>
          <w:tcPr>
            <w:tcW w:w="0" w:type="auto"/>
            <w:hideMark/>
          </w:tcPr>
          <w:p w14:paraId="2676200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autologous dendritic cells (DCs) induced from the peripheral monocytes.</w:t>
            </w:r>
          </w:p>
        </w:tc>
        <w:tc>
          <w:tcPr>
            <w:tcW w:w="0" w:type="auto"/>
            <w:hideMark/>
          </w:tcPr>
          <w:p w14:paraId="1CB660F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PCR</w:t>
            </w:r>
          </w:p>
        </w:tc>
        <w:tc>
          <w:tcPr>
            <w:tcW w:w="0" w:type="auto"/>
            <w:hideMark/>
          </w:tcPr>
          <w:p w14:paraId="1BB2A9B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Tax specific CTL response, partial remission in 1 patient, complete remission in 1 patient, maintaining remission status without any additional chemotherapy,  progressive disease in 1 patient,</w:t>
            </w:r>
          </w:p>
        </w:tc>
      </w:tr>
      <w:tr w:rsidR="006374D2" w:rsidRPr="006374D2" w14:paraId="2E3696D6" w14:textId="77777777" w:rsidTr="006374D2">
        <w:trPr>
          <w:trHeight w:val="1399"/>
        </w:trPr>
        <w:tc>
          <w:tcPr>
            <w:tcW w:w="0" w:type="auto"/>
            <w:hideMark/>
          </w:tcPr>
          <w:p w14:paraId="2E2A917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Sugata, Kenji</w:t>
            </w:r>
          </w:p>
        </w:tc>
        <w:tc>
          <w:tcPr>
            <w:tcW w:w="0" w:type="auto"/>
            <w:hideMark/>
          </w:tcPr>
          <w:p w14:paraId="321BF9B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2015</w:t>
            </w:r>
          </w:p>
        </w:tc>
        <w:tc>
          <w:tcPr>
            <w:tcW w:w="0" w:type="auto"/>
            <w:hideMark/>
          </w:tcPr>
          <w:p w14:paraId="7647E01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3E6D6AF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06AD42A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 monkeys</w:t>
            </w:r>
            <w:r w:rsidRPr="006374D2">
              <w:rPr>
                <w:rFonts w:asciiTheme="minorBidi" w:hAnsiTheme="minorBidi"/>
                <w:sz w:val="12"/>
                <w:szCs w:val="12"/>
              </w:rPr>
              <w:br/>
              <w:t>NA (mice)</w:t>
            </w:r>
          </w:p>
        </w:tc>
        <w:tc>
          <w:tcPr>
            <w:tcW w:w="0" w:type="auto"/>
            <w:hideMark/>
          </w:tcPr>
          <w:p w14:paraId="3FE2A7A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Ly5.1 C57BL/6 mice,  rhesus monkeys</w:t>
            </w:r>
          </w:p>
        </w:tc>
        <w:tc>
          <w:tcPr>
            <w:tcW w:w="0" w:type="auto"/>
            <w:hideMark/>
          </w:tcPr>
          <w:p w14:paraId="7545B6B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rVV</w:t>
            </w:r>
          </w:p>
        </w:tc>
        <w:tc>
          <w:tcPr>
            <w:tcW w:w="0" w:type="auto"/>
            <w:hideMark/>
          </w:tcPr>
          <w:p w14:paraId="0E7F3B3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HTLV-1 basic leucine zipper (bZIP) factor (HBZ) or Tax</w:t>
            </w:r>
          </w:p>
        </w:tc>
        <w:tc>
          <w:tcPr>
            <w:tcW w:w="0" w:type="auto"/>
            <w:hideMark/>
          </w:tcPr>
          <w:p w14:paraId="420E569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Each animal received a dose of 107 plaque forming units of rVV in 10 mL of viral suspension.</w:t>
            </w:r>
          </w:p>
        </w:tc>
        <w:tc>
          <w:tcPr>
            <w:tcW w:w="0" w:type="auto"/>
            <w:hideMark/>
          </w:tcPr>
          <w:p w14:paraId="3B1D850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pBMSF7c plasmid</w:t>
            </w:r>
          </w:p>
        </w:tc>
        <w:tc>
          <w:tcPr>
            <w:tcW w:w="0" w:type="auto"/>
            <w:hideMark/>
          </w:tcPr>
          <w:p w14:paraId="768515A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skin sacrifation</w:t>
            </w:r>
          </w:p>
        </w:tc>
        <w:tc>
          <w:tcPr>
            <w:tcW w:w="0" w:type="auto"/>
            <w:hideMark/>
          </w:tcPr>
          <w:p w14:paraId="6A9CF67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mice, 4 weeks after the first vaccination, 5 booster vaccinations were administered every 3 weeks</w:t>
            </w:r>
            <w:r w:rsidRPr="006374D2">
              <w:rPr>
                <w:rFonts w:asciiTheme="minorBidi" w:hAnsiTheme="minorBidi"/>
                <w:sz w:val="12"/>
                <w:szCs w:val="12"/>
              </w:rPr>
              <w:br/>
              <w:t>In monkeys, booster vaccinations were repeated every 4 weeks. PBMCs from monkeys were obtained every 2 weeks.</w:t>
            </w:r>
          </w:p>
        </w:tc>
        <w:tc>
          <w:tcPr>
            <w:tcW w:w="0" w:type="auto"/>
            <w:hideMark/>
          </w:tcPr>
          <w:p w14:paraId="22A8400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 cytosine phosphate</w:t>
            </w:r>
            <w:r w:rsidRPr="006374D2">
              <w:rPr>
                <w:rFonts w:asciiTheme="minorBidi" w:hAnsiTheme="minorBidi"/>
                <w:sz w:val="12"/>
                <w:szCs w:val="12"/>
              </w:rPr>
              <w:br/>
              <w:t>guanine  (with peptide)</w:t>
            </w:r>
          </w:p>
        </w:tc>
        <w:tc>
          <w:tcPr>
            <w:tcW w:w="0" w:type="auto"/>
            <w:hideMark/>
          </w:tcPr>
          <w:p w14:paraId="2BACE54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ELISPOT, immunoblotting</w:t>
            </w:r>
          </w:p>
        </w:tc>
        <w:tc>
          <w:tcPr>
            <w:tcW w:w="0" w:type="auto"/>
            <w:hideMark/>
          </w:tcPr>
          <w:p w14:paraId="22E45FA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Increased survival of the lymphoma cell–inoculated mice/ Induction of specific T-cell responses to HBZ and Tax in HTLV-1–infected rhesus monkeys/ A candidate peptide (HBZ157-176) for vaccine development was identified/ Dendritic cells pulsed with this peptide could generate HBZ-specific CTLs from human CD81 T cells. </w:t>
            </w:r>
          </w:p>
        </w:tc>
      </w:tr>
      <w:tr w:rsidR="006374D2" w:rsidRPr="006374D2" w14:paraId="561E9928" w14:textId="77777777" w:rsidTr="006374D2">
        <w:trPr>
          <w:trHeight w:val="1399"/>
        </w:trPr>
        <w:tc>
          <w:tcPr>
            <w:tcW w:w="0" w:type="auto"/>
            <w:hideMark/>
          </w:tcPr>
          <w:p w14:paraId="7F454B4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Sundaram, R.</w:t>
            </w:r>
          </w:p>
        </w:tc>
        <w:tc>
          <w:tcPr>
            <w:tcW w:w="0" w:type="auto"/>
            <w:hideMark/>
          </w:tcPr>
          <w:p w14:paraId="2066FF0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2004</w:t>
            </w:r>
          </w:p>
        </w:tc>
        <w:tc>
          <w:tcPr>
            <w:tcW w:w="0" w:type="auto"/>
            <w:hideMark/>
          </w:tcPr>
          <w:p w14:paraId="2A53583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USA</w:t>
            </w:r>
          </w:p>
        </w:tc>
        <w:tc>
          <w:tcPr>
            <w:tcW w:w="0" w:type="auto"/>
            <w:hideMark/>
          </w:tcPr>
          <w:p w14:paraId="5A6AE15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5153670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r w:rsidRPr="006374D2">
              <w:rPr>
                <w:rFonts w:asciiTheme="minorBidi" w:hAnsiTheme="minorBidi"/>
                <w:sz w:val="12"/>
                <w:szCs w:val="12"/>
              </w:rPr>
              <w:br/>
              <w:t xml:space="preserve"> (exact number is not mentioned)</w:t>
            </w:r>
          </w:p>
        </w:tc>
        <w:tc>
          <w:tcPr>
            <w:tcW w:w="0" w:type="auto"/>
            <w:hideMark/>
          </w:tcPr>
          <w:p w14:paraId="07A52A2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 leukocyte antigen–A*0201 monochain trans genic H-2Db  -2m double-knockout (HHD) mice</w:t>
            </w:r>
          </w:p>
        </w:tc>
        <w:tc>
          <w:tcPr>
            <w:tcW w:w="0" w:type="auto"/>
            <w:hideMark/>
          </w:tcPr>
          <w:p w14:paraId="664ED82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Multiepitope T-cell peptide vaccine</w:t>
            </w:r>
          </w:p>
        </w:tc>
        <w:tc>
          <w:tcPr>
            <w:tcW w:w="0" w:type="auto"/>
            <w:hideMark/>
          </w:tcPr>
          <w:p w14:paraId="79C6728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multivalent cytotoxic T-lymphocyte peptide construct derived from the Tax protein ofHTLV-1 separated by arginine spacers</w:t>
            </w:r>
          </w:p>
        </w:tc>
        <w:tc>
          <w:tcPr>
            <w:tcW w:w="0" w:type="auto"/>
            <w:hideMark/>
          </w:tcPr>
          <w:p w14:paraId="4D23BD1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100 µg of multiepitope peptide or with a mixture of 33 µg of each of the 3 individual epitopes combined with 140 µg of TT3, a pro miscuous T-helper epitope from tetanus toxoid (residues 947–967) and 100 µg of adjuvant N-acetyl-glucosamine-3-acetyl L-alanyl-D-isoglutamine (nor-MDP; Peninsula Laborato</w:t>
            </w:r>
            <w:r w:rsidRPr="006374D2">
              <w:rPr>
                <w:rFonts w:asciiTheme="minorBidi" w:hAnsiTheme="minorBidi"/>
                <w:sz w:val="12"/>
                <w:szCs w:val="12"/>
              </w:rPr>
              <w:lastRenderedPageBreak/>
              <w:t>ries, Belmont, CA)22 emulsified 50:50 in 4:1 squalene/Arlacel A (Sigma, St. Louis, MO).</w:t>
            </w:r>
          </w:p>
        </w:tc>
        <w:tc>
          <w:tcPr>
            <w:tcW w:w="0" w:type="auto"/>
            <w:hideMark/>
          </w:tcPr>
          <w:p w14:paraId="6F1B044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NA</w:t>
            </w:r>
          </w:p>
        </w:tc>
        <w:tc>
          <w:tcPr>
            <w:tcW w:w="0" w:type="auto"/>
            <w:hideMark/>
          </w:tcPr>
          <w:p w14:paraId="7A803CE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SC</w:t>
            </w:r>
          </w:p>
        </w:tc>
        <w:tc>
          <w:tcPr>
            <w:tcW w:w="0" w:type="auto"/>
            <w:hideMark/>
          </w:tcPr>
          <w:p w14:paraId="24AE838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twice, 3 weeks apart</w:t>
            </w:r>
          </w:p>
        </w:tc>
        <w:tc>
          <w:tcPr>
            <w:tcW w:w="0" w:type="auto"/>
            <w:hideMark/>
          </w:tcPr>
          <w:p w14:paraId="55F9934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N-acetyl-glucosamine-3-acetyl L-alanyl-D-isoglutamine</w:t>
            </w:r>
          </w:p>
        </w:tc>
        <w:tc>
          <w:tcPr>
            <w:tcW w:w="0" w:type="auto"/>
            <w:hideMark/>
          </w:tcPr>
          <w:p w14:paraId="62933F6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reverse-phase high-performance liquid chromatography (RP-HPLC), Cr Release Assay, interferon-gamma Release Assay, ELISA, Plaque Assay for Viral Titers</w:t>
            </w:r>
          </w:p>
        </w:tc>
        <w:tc>
          <w:tcPr>
            <w:tcW w:w="0" w:type="auto"/>
            <w:hideMark/>
          </w:tcPr>
          <w:p w14:paraId="45F4A9B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significant reduction in viral replication dependent on CD8+T cells</w:t>
            </w:r>
          </w:p>
        </w:tc>
      </w:tr>
      <w:tr w:rsidR="006374D2" w:rsidRPr="006374D2" w14:paraId="3DECCBB2" w14:textId="77777777" w:rsidTr="006374D2">
        <w:trPr>
          <w:trHeight w:val="1399"/>
        </w:trPr>
        <w:tc>
          <w:tcPr>
            <w:tcW w:w="0" w:type="auto"/>
            <w:hideMark/>
          </w:tcPr>
          <w:p w14:paraId="6EE673A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Sundaram, R.</w:t>
            </w:r>
          </w:p>
        </w:tc>
        <w:tc>
          <w:tcPr>
            <w:tcW w:w="0" w:type="auto"/>
            <w:hideMark/>
          </w:tcPr>
          <w:p w14:paraId="19F01C5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2003</w:t>
            </w:r>
          </w:p>
        </w:tc>
        <w:tc>
          <w:tcPr>
            <w:tcW w:w="0" w:type="auto"/>
            <w:hideMark/>
          </w:tcPr>
          <w:p w14:paraId="2B7B4E6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USA</w:t>
            </w:r>
          </w:p>
        </w:tc>
        <w:tc>
          <w:tcPr>
            <w:tcW w:w="0" w:type="auto"/>
            <w:hideMark/>
          </w:tcPr>
          <w:p w14:paraId="347CA73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2D28510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EB98E7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transgenic HHD mice</w:t>
            </w:r>
          </w:p>
        </w:tc>
        <w:tc>
          <w:tcPr>
            <w:tcW w:w="0" w:type="auto"/>
            <w:hideMark/>
          </w:tcPr>
          <w:p w14:paraId="2F9CA23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peptide vaccine</w:t>
            </w:r>
          </w:p>
        </w:tc>
        <w:tc>
          <w:tcPr>
            <w:tcW w:w="0" w:type="auto"/>
            <w:hideMark/>
          </w:tcPr>
          <w:p w14:paraId="2708BAA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three HLA-A</w:t>
            </w:r>
            <w:r w:rsidRPr="006374D2">
              <w:rPr>
                <w:rFonts w:ascii="Cambria Math" w:hAnsi="Cambria Math" w:cs="Cambria Math"/>
                <w:sz w:val="12"/>
                <w:szCs w:val="12"/>
              </w:rPr>
              <w:t>∗</w:t>
            </w:r>
            <w:r w:rsidRPr="006374D2">
              <w:rPr>
                <w:rFonts w:asciiTheme="minorBidi" w:hAnsiTheme="minorBidi"/>
                <w:sz w:val="12"/>
                <w:szCs w:val="12"/>
              </w:rPr>
              <w:t>0201 restricted CTL epitopes (Tax11</w:t>
            </w:r>
            <w:r w:rsidRPr="006374D2">
              <w:rPr>
                <w:rFonts w:ascii="Arial" w:hAnsi="Arial" w:cs="Arial"/>
                <w:sz w:val="12"/>
                <w:szCs w:val="12"/>
              </w:rPr>
              <w:t>–</w:t>
            </w:r>
            <w:r w:rsidRPr="006374D2">
              <w:rPr>
                <w:rFonts w:asciiTheme="minorBidi" w:hAnsiTheme="minorBidi"/>
                <w:sz w:val="12"/>
                <w:szCs w:val="12"/>
              </w:rPr>
              <w:t>19, Tax178</w:t>
            </w:r>
            <w:r w:rsidRPr="006374D2">
              <w:rPr>
                <w:rFonts w:ascii="Arial" w:hAnsi="Arial" w:cs="Arial"/>
                <w:sz w:val="12"/>
                <w:szCs w:val="12"/>
              </w:rPr>
              <w:t>–</w:t>
            </w:r>
            <w:r w:rsidRPr="006374D2">
              <w:rPr>
                <w:rFonts w:asciiTheme="minorBidi" w:hAnsiTheme="minorBidi"/>
                <w:sz w:val="12"/>
                <w:szCs w:val="12"/>
              </w:rPr>
              <w:t>186, and Tax233</w:t>
            </w:r>
            <w:r w:rsidRPr="006374D2">
              <w:rPr>
                <w:rFonts w:ascii="Arial" w:hAnsi="Arial" w:cs="Arial"/>
                <w:sz w:val="12"/>
                <w:szCs w:val="12"/>
              </w:rPr>
              <w:t>–</w:t>
            </w:r>
            <w:r w:rsidRPr="006374D2">
              <w:rPr>
                <w:rFonts w:asciiTheme="minorBidi" w:hAnsiTheme="minorBidi"/>
                <w:sz w:val="12"/>
                <w:szCs w:val="12"/>
              </w:rPr>
              <w:t xml:space="preserve">241) </w:t>
            </w:r>
          </w:p>
        </w:tc>
        <w:tc>
          <w:tcPr>
            <w:tcW w:w="0" w:type="auto"/>
            <w:hideMark/>
          </w:tcPr>
          <w:p w14:paraId="14EC7C5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100 g of peptide mixed with 140  g TT3</w:t>
            </w:r>
          </w:p>
        </w:tc>
        <w:tc>
          <w:tcPr>
            <w:tcW w:w="0" w:type="auto"/>
            <w:hideMark/>
          </w:tcPr>
          <w:p w14:paraId="4F6BFFB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D3EA41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SC</w:t>
            </w:r>
          </w:p>
        </w:tc>
        <w:tc>
          <w:tcPr>
            <w:tcW w:w="0" w:type="auto"/>
            <w:hideMark/>
          </w:tcPr>
          <w:p w14:paraId="672ADE0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twice, 3 weeks apart</w:t>
            </w:r>
          </w:p>
        </w:tc>
        <w:tc>
          <w:tcPr>
            <w:tcW w:w="0" w:type="auto"/>
            <w:hideMark/>
          </w:tcPr>
          <w:p w14:paraId="729579C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100 microg N-acetyl-glucosamine-3-acetyl-l-alanyl d-isoglutamine (nor-MDP)</w:t>
            </w:r>
          </w:p>
        </w:tc>
        <w:tc>
          <w:tcPr>
            <w:tcW w:w="0" w:type="auto"/>
            <w:hideMark/>
          </w:tcPr>
          <w:p w14:paraId="6B6CC39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ELISPOT, Cr release assay</w:t>
            </w:r>
          </w:p>
        </w:tc>
        <w:tc>
          <w:tcPr>
            <w:tcW w:w="0" w:type="auto"/>
            <w:hideMark/>
          </w:tcPr>
          <w:p w14:paraId="4697859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cellular responses to each intended epitope in vivo,  high level of IFN-γ production </w:t>
            </w:r>
          </w:p>
        </w:tc>
      </w:tr>
      <w:tr w:rsidR="006374D2" w:rsidRPr="006374D2" w14:paraId="7A2DD819" w14:textId="77777777" w:rsidTr="006374D2">
        <w:trPr>
          <w:trHeight w:val="1399"/>
        </w:trPr>
        <w:tc>
          <w:tcPr>
            <w:tcW w:w="0" w:type="auto"/>
            <w:hideMark/>
          </w:tcPr>
          <w:p w14:paraId="404F3D5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Ishizawa, M.</w:t>
            </w:r>
          </w:p>
        </w:tc>
        <w:tc>
          <w:tcPr>
            <w:tcW w:w="0" w:type="auto"/>
            <w:noWrap/>
            <w:hideMark/>
          </w:tcPr>
          <w:p w14:paraId="3AF0E5A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2021</w:t>
            </w:r>
          </w:p>
        </w:tc>
        <w:tc>
          <w:tcPr>
            <w:tcW w:w="0" w:type="auto"/>
            <w:noWrap/>
            <w:hideMark/>
          </w:tcPr>
          <w:p w14:paraId="46A6461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noWrap/>
            <w:hideMark/>
          </w:tcPr>
          <w:p w14:paraId="73DB390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vitro</w:t>
            </w:r>
          </w:p>
        </w:tc>
        <w:tc>
          <w:tcPr>
            <w:tcW w:w="0" w:type="auto"/>
            <w:noWrap/>
            <w:hideMark/>
          </w:tcPr>
          <w:p w14:paraId="3C2740C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noWrap/>
            <w:hideMark/>
          </w:tcPr>
          <w:p w14:paraId="48ED8CC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5C3E90B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Mitomycin C-treated HLA-A2-negative HTLV-1-infected T-cell lines or short-term cultured peripheral blood mononuclear cells (PBMC))</w:t>
            </w:r>
          </w:p>
        </w:tc>
        <w:tc>
          <w:tcPr>
            <w:tcW w:w="0" w:type="auto"/>
            <w:noWrap/>
            <w:hideMark/>
          </w:tcPr>
          <w:p w14:paraId="6743E32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Tax</w:t>
            </w:r>
          </w:p>
        </w:tc>
        <w:tc>
          <w:tcPr>
            <w:tcW w:w="0" w:type="auto"/>
            <w:noWrap/>
            <w:hideMark/>
          </w:tcPr>
          <w:p w14:paraId="326E1AF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noWrap/>
            <w:hideMark/>
          </w:tcPr>
          <w:p w14:paraId="450E7B9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noWrap/>
            <w:hideMark/>
          </w:tcPr>
          <w:p w14:paraId="57A7DFE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noWrap/>
            <w:hideMark/>
          </w:tcPr>
          <w:p w14:paraId="5E4502B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noWrap/>
            <w:hideMark/>
          </w:tcPr>
          <w:p w14:paraId="1886455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21E845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ELISA, PCR, CTL assay</w:t>
            </w:r>
          </w:p>
        </w:tc>
        <w:tc>
          <w:tcPr>
            <w:tcW w:w="0" w:type="auto"/>
            <w:hideMark/>
          </w:tcPr>
          <w:p w14:paraId="17C84C8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Short-term cultured autologous PBMC from ATL patients could potentially serve as a vaccine to evoke Tax-specific CTL responses.</w:t>
            </w:r>
          </w:p>
        </w:tc>
      </w:tr>
      <w:tr w:rsidR="006374D2" w:rsidRPr="006374D2" w14:paraId="1AEB53CE" w14:textId="77777777" w:rsidTr="006374D2">
        <w:trPr>
          <w:trHeight w:val="3840"/>
        </w:trPr>
        <w:tc>
          <w:tcPr>
            <w:tcW w:w="0" w:type="auto"/>
            <w:hideMark/>
          </w:tcPr>
          <w:p w14:paraId="4BC8223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Amirnasr, M.</w:t>
            </w:r>
          </w:p>
        </w:tc>
        <w:tc>
          <w:tcPr>
            <w:tcW w:w="0" w:type="auto"/>
            <w:hideMark/>
          </w:tcPr>
          <w:p w14:paraId="57D601A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2016</w:t>
            </w:r>
          </w:p>
        </w:tc>
        <w:tc>
          <w:tcPr>
            <w:tcW w:w="0" w:type="auto"/>
            <w:hideMark/>
          </w:tcPr>
          <w:p w14:paraId="480B5EA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Iran</w:t>
            </w:r>
          </w:p>
        </w:tc>
        <w:tc>
          <w:tcPr>
            <w:tcW w:w="0" w:type="auto"/>
            <w:hideMark/>
          </w:tcPr>
          <w:p w14:paraId="773B22D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32B40A0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70</w:t>
            </w:r>
          </w:p>
        </w:tc>
        <w:tc>
          <w:tcPr>
            <w:tcW w:w="0" w:type="auto"/>
            <w:hideMark/>
          </w:tcPr>
          <w:p w14:paraId="3FF0FD9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male BALB/c mice</w:t>
            </w:r>
          </w:p>
        </w:tc>
        <w:tc>
          <w:tcPr>
            <w:tcW w:w="0" w:type="auto"/>
            <w:hideMark/>
          </w:tcPr>
          <w:p w14:paraId="1B3E58C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recombinant protein</w:t>
            </w:r>
          </w:p>
        </w:tc>
        <w:tc>
          <w:tcPr>
            <w:tcW w:w="0" w:type="auto"/>
            <w:hideMark/>
          </w:tcPr>
          <w:p w14:paraId="41E0EE5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env23 (162-209 ) and env13 (125-209) recombinant proteins</w:t>
            </w:r>
          </w:p>
        </w:tc>
        <w:tc>
          <w:tcPr>
            <w:tcW w:w="0" w:type="auto"/>
            <w:hideMark/>
          </w:tcPr>
          <w:p w14:paraId="6D233DF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7.5 µg antigen</w:t>
            </w:r>
          </w:p>
        </w:tc>
        <w:tc>
          <w:tcPr>
            <w:tcW w:w="0" w:type="auto"/>
            <w:hideMark/>
          </w:tcPr>
          <w:p w14:paraId="7C0E055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pET102/D vector (and transferred into Escherichia coli strain TOPO10)</w:t>
            </w:r>
          </w:p>
        </w:tc>
        <w:tc>
          <w:tcPr>
            <w:tcW w:w="0" w:type="auto"/>
            <w:hideMark/>
          </w:tcPr>
          <w:p w14:paraId="40EF291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nasal/SC</w:t>
            </w:r>
          </w:p>
        </w:tc>
        <w:tc>
          <w:tcPr>
            <w:tcW w:w="0" w:type="auto"/>
            <w:hideMark/>
          </w:tcPr>
          <w:p w14:paraId="3207BBB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3 immunizations (7.5 µg antigen) were performed with 2 weeks intervals</w:t>
            </w:r>
          </w:p>
        </w:tc>
        <w:tc>
          <w:tcPr>
            <w:tcW w:w="0" w:type="auto"/>
            <w:hideMark/>
          </w:tcPr>
          <w:p w14:paraId="6DB8E79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CHT and TMC nanoparticles</w:t>
            </w:r>
          </w:p>
        </w:tc>
        <w:tc>
          <w:tcPr>
            <w:tcW w:w="0" w:type="auto"/>
            <w:hideMark/>
          </w:tcPr>
          <w:p w14:paraId="699A829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ELISA, PCR</w:t>
            </w:r>
          </w:p>
        </w:tc>
        <w:tc>
          <w:tcPr>
            <w:tcW w:w="0" w:type="auto"/>
            <w:hideMark/>
          </w:tcPr>
          <w:p w14:paraId="679003B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higher serum IgG1 and IgG total levels compared to antigen solution, higher IgG2a levels and IgG2a/IgG1 ratio in nasal delivery compared with subcutaneous administration (P &lt; 0.001), higher cellular immune responses in response to env23 antigen, compared with env13. </w:t>
            </w:r>
          </w:p>
        </w:tc>
      </w:tr>
      <w:tr w:rsidR="006374D2" w:rsidRPr="006374D2" w14:paraId="015B40B3" w14:textId="77777777" w:rsidTr="006374D2">
        <w:trPr>
          <w:trHeight w:val="1399"/>
        </w:trPr>
        <w:tc>
          <w:tcPr>
            <w:tcW w:w="0" w:type="auto"/>
            <w:hideMark/>
          </w:tcPr>
          <w:p w14:paraId="50FAD4E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Armand, M. A.</w:t>
            </w:r>
          </w:p>
        </w:tc>
        <w:tc>
          <w:tcPr>
            <w:tcW w:w="0" w:type="auto"/>
            <w:hideMark/>
          </w:tcPr>
          <w:p w14:paraId="41C5D42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2000</w:t>
            </w:r>
          </w:p>
        </w:tc>
        <w:tc>
          <w:tcPr>
            <w:tcW w:w="0" w:type="auto"/>
            <w:hideMark/>
          </w:tcPr>
          <w:p w14:paraId="5D68547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France</w:t>
            </w:r>
          </w:p>
        </w:tc>
        <w:tc>
          <w:tcPr>
            <w:tcW w:w="0" w:type="auto"/>
            <w:hideMark/>
          </w:tcPr>
          <w:p w14:paraId="067CA4C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76CA60C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40 (10 were control)</w:t>
            </w:r>
          </w:p>
        </w:tc>
        <w:tc>
          <w:tcPr>
            <w:tcW w:w="0" w:type="auto"/>
            <w:hideMark/>
          </w:tcPr>
          <w:p w14:paraId="4CF071A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female BALB/c mice</w:t>
            </w:r>
          </w:p>
        </w:tc>
        <w:tc>
          <w:tcPr>
            <w:tcW w:w="0" w:type="auto"/>
            <w:hideMark/>
          </w:tcPr>
          <w:p w14:paraId="3F445A0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DNA vaccine</w:t>
            </w:r>
          </w:p>
        </w:tc>
        <w:tc>
          <w:tcPr>
            <w:tcW w:w="0" w:type="auto"/>
            <w:hideMark/>
          </w:tcPr>
          <w:p w14:paraId="3C3F646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two types of plasmids for DNA:  1) coding DNA of the complete env gene of HTLV-I under the control of the CMV promoter with (CMVenvLTR) or without (CMVenv) the tax/rex genes, 2) coding DNA of the complete env gene of HTLV-I under the control of the human desmin muscle specific promoter (DesEnv)</w:t>
            </w:r>
          </w:p>
        </w:tc>
        <w:tc>
          <w:tcPr>
            <w:tcW w:w="0" w:type="auto"/>
            <w:hideMark/>
          </w:tcPr>
          <w:p w14:paraId="66FBF91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 100 microg</w:t>
            </w:r>
          </w:p>
        </w:tc>
        <w:tc>
          <w:tcPr>
            <w:tcW w:w="0" w:type="auto"/>
            <w:hideMark/>
          </w:tcPr>
          <w:p w14:paraId="6B90E01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CMVenvLTR/CMVenv/DesEnv/pcDNA3/DesEnvDNϪco</w:t>
            </w:r>
            <w:r w:rsidRPr="006374D2">
              <w:rPr>
                <w:rFonts w:asciiTheme="minorBidi" w:hAnsiTheme="minorBidi"/>
                <w:sz w:val="12"/>
                <w:szCs w:val="12"/>
              </w:rPr>
              <w:br/>
              <w:t>the last two were used for control groups (group 4 and 5)</w:t>
            </w:r>
          </w:p>
        </w:tc>
        <w:tc>
          <w:tcPr>
            <w:tcW w:w="0" w:type="auto"/>
            <w:hideMark/>
          </w:tcPr>
          <w:p w14:paraId="2FF1DDA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IM</w:t>
            </w:r>
          </w:p>
        </w:tc>
        <w:tc>
          <w:tcPr>
            <w:tcW w:w="0" w:type="auto"/>
            <w:hideMark/>
          </w:tcPr>
          <w:p w14:paraId="6CD0F68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3 immunizations were performed with 2 weeks intervals</w:t>
            </w:r>
          </w:p>
        </w:tc>
        <w:tc>
          <w:tcPr>
            <w:tcW w:w="0" w:type="auto"/>
            <w:hideMark/>
          </w:tcPr>
          <w:p w14:paraId="278F89D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8A7D87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PCR, Flow-cytometry, ELISA and neutralization assays</w:t>
            </w:r>
          </w:p>
        </w:tc>
        <w:tc>
          <w:tcPr>
            <w:tcW w:w="0" w:type="auto"/>
            <w:hideMark/>
          </w:tcPr>
          <w:p w14:paraId="6A2750F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detectable and neutralizing humoral response, higher humoral response with better neutralization properties in response to the DesEnv construct compared to CMVenvLTR or  CMVenv plasmids </w:t>
            </w:r>
          </w:p>
        </w:tc>
      </w:tr>
      <w:tr w:rsidR="006374D2" w:rsidRPr="006374D2" w14:paraId="74B4455D" w14:textId="77777777" w:rsidTr="006374D2">
        <w:trPr>
          <w:trHeight w:val="1395"/>
        </w:trPr>
        <w:tc>
          <w:tcPr>
            <w:tcW w:w="0" w:type="auto"/>
            <w:hideMark/>
          </w:tcPr>
          <w:p w14:paraId="24CDC26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Arp, J.</w:t>
            </w:r>
          </w:p>
        </w:tc>
        <w:tc>
          <w:tcPr>
            <w:tcW w:w="0" w:type="auto"/>
            <w:hideMark/>
          </w:tcPr>
          <w:p w14:paraId="04A6FBA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1996</w:t>
            </w:r>
          </w:p>
        </w:tc>
        <w:tc>
          <w:tcPr>
            <w:tcW w:w="0" w:type="auto"/>
            <w:hideMark/>
          </w:tcPr>
          <w:p w14:paraId="1510F0A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USA</w:t>
            </w:r>
          </w:p>
        </w:tc>
        <w:tc>
          <w:tcPr>
            <w:tcW w:w="0" w:type="auto"/>
            <w:hideMark/>
          </w:tcPr>
          <w:p w14:paraId="45EDE51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vitro</w:t>
            </w:r>
          </w:p>
        </w:tc>
        <w:tc>
          <w:tcPr>
            <w:tcW w:w="0" w:type="auto"/>
            <w:hideMark/>
          </w:tcPr>
          <w:p w14:paraId="527B7DE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669B2DA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baculovirus non-fusion vector system</w:t>
            </w:r>
          </w:p>
        </w:tc>
        <w:tc>
          <w:tcPr>
            <w:tcW w:w="0" w:type="auto"/>
            <w:hideMark/>
          </w:tcPr>
          <w:p w14:paraId="6A33A58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rVV</w:t>
            </w:r>
          </w:p>
        </w:tc>
        <w:tc>
          <w:tcPr>
            <w:tcW w:w="0" w:type="auto"/>
            <w:hideMark/>
          </w:tcPr>
          <w:p w14:paraId="5A63076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gp46</w:t>
            </w:r>
          </w:p>
        </w:tc>
        <w:tc>
          <w:tcPr>
            <w:tcW w:w="0" w:type="auto"/>
            <w:hideMark/>
          </w:tcPr>
          <w:p w14:paraId="2420244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001CAF8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pTME-46</w:t>
            </w:r>
          </w:p>
        </w:tc>
        <w:tc>
          <w:tcPr>
            <w:tcW w:w="0" w:type="auto"/>
            <w:hideMark/>
          </w:tcPr>
          <w:p w14:paraId="6786B1E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3564897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6CF9B30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mycobacterial cell wall extract</w:t>
            </w:r>
          </w:p>
        </w:tc>
        <w:tc>
          <w:tcPr>
            <w:tcW w:w="0" w:type="auto"/>
            <w:hideMark/>
          </w:tcPr>
          <w:p w14:paraId="4256F55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PCR, ELISA, western blot, y immunofluorescence assays</w:t>
            </w:r>
          </w:p>
        </w:tc>
        <w:tc>
          <w:tcPr>
            <w:tcW w:w="0" w:type="auto"/>
            <w:hideMark/>
          </w:tcPr>
          <w:p w14:paraId="1D0F72D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Maintenance of highly conserved conformational epitopes in the recombinant HTLV-1 envelope protein structure</w:t>
            </w:r>
          </w:p>
        </w:tc>
      </w:tr>
      <w:tr w:rsidR="006374D2" w:rsidRPr="006374D2" w14:paraId="0BF3D923" w14:textId="77777777" w:rsidTr="006374D2">
        <w:trPr>
          <w:trHeight w:val="3630"/>
        </w:trPr>
        <w:tc>
          <w:tcPr>
            <w:tcW w:w="0" w:type="auto"/>
            <w:hideMark/>
          </w:tcPr>
          <w:p w14:paraId="42D5FCA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Ford, C. M.</w:t>
            </w:r>
          </w:p>
        </w:tc>
        <w:tc>
          <w:tcPr>
            <w:tcW w:w="0" w:type="auto"/>
            <w:hideMark/>
          </w:tcPr>
          <w:p w14:paraId="264A032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1992</w:t>
            </w:r>
          </w:p>
        </w:tc>
        <w:tc>
          <w:tcPr>
            <w:tcW w:w="0" w:type="auto"/>
            <w:hideMark/>
          </w:tcPr>
          <w:p w14:paraId="0067FEB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USA</w:t>
            </w:r>
          </w:p>
        </w:tc>
        <w:tc>
          <w:tcPr>
            <w:tcW w:w="0" w:type="auto"/>
            <w:hideMark/>
          </w:tcPr>
          <w:p w14:paraId="30A426A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246C6D0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15</w:t>
            </w:r>
          </w:p>
        </w:tc>
        <w:tc>
          <w:tcPr>
            <w:tcW w:w="0" w:type="auto"/>
            <w:hideMark/>
          </w:tcPr>
          <w:p w14:paraId="6EA0686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Balb/c, A/J, and C57BU6 strains of mice</w:t>
            </w:r>
          </w:p>
        </w:tc>
        <w:tc>
          <w:tcPr>
            <w:tcW w:w="0" w:type="auto"/>
            <w:hideMark/>
          </w:tcPr>
          <w:p w14:paraId="1AD2521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Recombinant vaccinia viruses</w:t>
            </w:r>
          </w:p>
        </w:tc>
        <w:tc>
          <w:tcPr>
            <w:tcW w:w="0" w:type="auto"/>
            <w:hideMark/>
          </w:tcPr>
          <w:p w14:paraId="11A352C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RVV El expressed the native HTLV-I envelope proteins gp46 (surface protein) and gp21 (transmembrane protein)</w:t>
            </w:r>
            <w:r w:rsidRPr="006374D2">
              <w:rPr>
                <w:rFonts w:asciiTheme="minorBidi" w:hAnsiTheme="minorBidi"/>
                <w:sz w:val="12"/>
                <w:szCs w:val="12"/>
              </w:rPr>
              <w:br/>
              <w:t>RVV E2 expressed the envelope precursor with the proteolytic cleavage site deleted</w:t>
            </w:r>
            <w:r w:rsidRPr="006374D2">
              <w:rPr>
                <w:rFonts w:asciiTheme="minorBidi" w:hAnsiTheme="minorBidi"/>
                <w:sz w:val="12"/>
                <w:szCs w:val="12"/>
              </w:rPr>
              <w:br/>
              <w:t xml:space="preserve">RVV E3 construct expressed only the external surface glycoprotein (gp46) </w:t>
            </w:r>
          </w:p>
        </w:tc>
        <w:tc>
          <w:tcPr>
            <w:tcW w:w="0" w:type="auto"/>
            <w:hideMark/>
          </w:tcPr>
          <w:p w14:paraId="41AB9F1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004214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pSC11</w:t>
            </w:r>
          </w:p>
        </w:tc>
        <w:tc>
          <w:tcPr>
            <w:tcW w:w="0" w:type="auto"/>
            <w:hideMark/>
          </w:tcPr>
          <w:p w14:paraId="697DA9C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intraperitoneal</w:t>
            </w:r>
          </w:p>
        </w:tc>
        <w:tc>
          <w:tcPr>
            <w:tcW w:w="0" w:type="auto"/>
            <w:hideMark/>
          </w:tcPr>
          <w:p w14:paraId="14E6792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68C39D4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3376404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Southern blot, Immunofluorescence assays, Radioimmunoprecipitation assays, ELISA, Western blot assays </w:t>
            </w:r>
          </w:p>
        </w:tc>
        <w:tc>
          <w:tcPr>
            <w:tcW w:w="0" w:type="auto"/>
            <w:hideMark/>
          </w:tcPr>
          <w:p w14:paraId="5A8DC60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Balb/c mice responded poorly to immunization with all of the three RVV constructs. C57BU6 mice produced neutralizing antibodies in response to immunization with all three constructs, whereas A/J mice developed neutralizing antibodies only when immunized with the RVV El s construct. The results indicate that the humoral immune responses depend on the form of HTLV-I envelope proteins expressed by each RVV. </w:t>
            </w:r>
          </w:p>
        </w:tc>
      </w:tr>
      <w:tr w:rsidR="006374D2" w:rsidRPr="006374D2" w14:paraId="73DEF9B2" w14:textId="77777777" w:rsidTr="006374D2">
        <w:trPr>
          <w:trHeight w:val="3375"/>
        </w:trPr>
        <w:tc>
          <w:tcPr>
            <w:tcW w:w="0" w:type="auto"/>
            <w:hideMark/>
          </w:tcPr>
          <w:p w14:paraId="24DDC33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Franchini, G.</w:t>
            </w:r>
          </w:p>
        </w:tc>
        <w:tc>
          <w:tcPr>
            <w:tcW w:w="0" w:type="auto"/>
            <w:hideMark/>
          </w:tcPr>
          <w:p w14:paraId="6A971B5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1995</w:t>
            </w:r>
          </w:p>
        </w:tc>
        <w:tc>
          <w:tcPr>
            <w:tcW w:w="0" w:type="auto"/>
            <w:hideMark/>
          </w:tcPr>
          <w:p w14:paraId="4200332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USA</w:t>
            </w:r>
          </w:p>
        </w:tc>
        <w:tc>
          <w:tcPr>
            <w:tcW w:w="0" w:type="auto"/>
            <w:hideMark/>
          </w:tcPr>
          <w:p w14:paraId="1CB6CCD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2BDC0E2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12</w:t>
            </w:r>
          </w:p>
        </w:tc>
        <w:tc>
          <w:tcPr>
            <w:tcW w:w="0" w:type="auto"/>
            <w:hideMark/>
          </w:tcPr>
          <w:p w14:paraId="34177F5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New Zealand White rabbits</w:t>
            </w:r>
          </w:p>
        </w:tc>
        <w:tc>
          <w:tcPr>
            <w:tcW w:w="0" w:type="auto"/>
            <w:hideMark/>
          </w:tcPr>
          <w:p w14:paraId="047C83D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live recombinant vaccine</w:t>
            </w:r>
          </w:p>
        </w:tc>
        <w:tc>
          <w:tcPr>
            <w:tcW w:w="0" w:type="auto"/>
            <w:hideMark/>
          </w:tcPr>
          <w:p w14:paraId="37DAD68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gp63</w:t>
            </w:r>
          </w:p>
        </w:tc>
        <w:tc>
          <w:tcPr>
            <w:tcW w:w="0" w:type="auto"/>
            <w:hideMark/>
          </w:tcPr>
          <w:p w14:paraId="6163CEF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10^7 plaque-forming units [PFU]</w:t>
            </w:r>
          </w:p>
        </w:tc>
        <w:tc>
          <w:tcPr>
            <w:tcW w:w="0" w:type="auto"/>
            <w:hideMark/>
          </w:tcPr>
          <w:p w14:paraId="4D075A6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ALVAC</w:t>
            </w:r>
          </w:p>
        </w:tc>
        <w:tc>
          <w:tcPr>
            <w:tcW w:w="0" w:type="auto"/>
            <w:hideMark/>
          </w:tcPr>
          <w:p w14:paraId="2E24139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IM</w:t>
            </w:r>
          </w:p>
        </w:tc>
        <w:tc>
          <w:tcPr>
            <w:tcW w:w="0" w:type="auto"/>
            <w:hideMark/>
          </w:tcPr>
          <w:p w14:paraId="39111A9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 immunizations were performed with 1 month interval</w:t>
            </w:r>
          </w:p>
        </w:tc>
        <w:tc>
          <w:tcPr>
            <w:tcW w:w="0" w:type="auto"/>
            <w:hideMark/>
          </w:tcPr>
          <w:p w14:paraId="6036FC2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Alum</w:t>
            </w:r>
          </w:p>
        </w:tc>
        <w:tc>
          <w:tcPr>
            <w:tcW w:w="0" w:type="auto"/>
            <w:hideMark/>
          </w:tcPr>
          <w:p w14:paraId="387485C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IFA, PCR, syncytia inhibition assay</w:t>
            </w:r>
          </w:p>
        </w:tc>
        <w:tc>
          <w:tcPr>
            <w:tcW w:w="0" w:type="auto"/>
            <w:hideMark/>
          </w:tcPr>
          <w:p w14:paraId="693D688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The results indicated that two inoculations of the ALVAC-based HTLV-1 env vaccine candidate protected animals against viral challenge 5 months following the last immunization</w:t>
            </w:r>
          </w:p>
        </w:tc>
      </w:tr>
      <w:tr w:rsidR="006374D2" w:rsidRPr="006374D2" w14:paraId="2B26B1F6" w14:textId="77777777" w:rsidTr="006374D2">
        <w:trPr>
          <w:trHeight w:val="1620"/>
        </w:trPr>
        <w:tc>
          <w:tcPr>
            <w:tcW w:w="0" w:type="auto"/>
            <w:hideMark/>
          </w:tcPr>
          <w:p w14:paraId="4C1E23E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Frangione-Beebe, M.</w:t>
            </w:r>
          </w:p>
        </w:tc>
        <w:tc>
          <w:tcPr>
            <w:tcW w:w="0" w:type="auto"/>
            <w:hideMark/>
          </w:tcPr>
          <w:p w14:paraId="3B53AFF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2000</w:t>
            </w:r>
          </w:p>
        </w:tc>
        <w:tc>
          <w:tcPr>
            <w:tcW w:w="0" w:type="auto"/>
            <w:hideMark/>
          </w:tcPr>
          <w:p w14:paraId="1492F4F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USA</w:t>
            </w:r>
          </w:p>
        </w:tc>
        <w:tc>
          <w:tcPr>
            <w:tcW w:w="0" w:type="auto"/>
            <w:hideMark/>
          </w:tcPr>
          <w:p w14:paraId="64CC9E3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18DD9E5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12 rabbits</w:t>
            </w:r>
            <w:r w:rsidRPr="006374D2">
              <w:rPr>
                <w:rFonts w:asciiTheme="minorBidi" w:hAnsiTheme="minorBidi"/>
                <w:sz w:val="12"/>
                <w:szCs w:val="12"/>
              </w:rPr>
              <w:br/>
              <w:t>9 mice</w:t>
            </w:r>
          </w:p>
        </w:tc>
        <w:tc>
          <w:tcPr>
            <w:tcW w:w="0" w:type="auto"/>
            <w:hideMark/>
          </w:tcPr>
          <w:p w14:paraId="090F14B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Outbred female ICR mice</w:t>
            </w:r>
            <w:r w:rsidRPr="006374D2">
              <w:rPr>
                <w:rFonts w:asciiTheme="minorBidi" w:hAnsiTheme="minorBidi"/>
                <w:sz w:val="12"/>
                <w:szCs w:val="12"/>
              </w:rPr>
              <w:br/>
              <w:t xml:space="preserve"> female New Zealand white rabbits</w:t>
            </w:r>
          </w:p>
        </w:tc>
        <w:tc>
          <w:tcPr>
            <w:tcW w:w="0" w:type="auto"/>
            <w:hideMark/>
          </w:tcPr>
          <w:p w14:paraId="229B80E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recombinant protein</w:t>
            </w:r>
          </w:p>
        </w:tc>
        <w:tc>
          <w:tcPr>
            <w:tcW w:w="0" w:type="auto"/>
            <w:hideMark/>
          </w:tcPr>
          <w:p w14:paraId="42AD33D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MVFMF2 comprising HTLV-1-gp46 (aa 175–218) linked by GPSL turn to MVF (aa 288–302)</w:t>
            </w:r>
          </w:p>
        </w:tc>
        <w:tc>
          <w:tcPr>
            <w:tcW w:w="0" w:type="auto"/>
            <w:hideMark/>
          </w:tcPr>
          <w:p w14:paraId="09AAF76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 mg of peptide</w:t>
            </w:r>
          </w:p>
        </w:tc>
        <w:tc>
          <w:tcPr>
            <w:tcW w:w="0" w:type="auto"/>
            <w:hideMark/>
          </w:tcPr>
          <w:p w14:paraId="7EE30A8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pT7-7</w:t>
            </w:r>
          </w:p>
        </w:tc>
        <w:tc>
          <w:tcPr>
            <w:tcW w:w="0" w:type="auto"/>
            <w:hideMark/>
          </w:tcPr>
          <w:p w14:paraId="6716E50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IM</w:t>
            </w:r>
          </w:p>
        </w:tc>
        <w:tc>
          <w:tcPr>
            <w:tcW w:w="0" w:type="auto"/>
            <w:hideMark/>
          </w:tcPr>
          <w:p w14:paraId="745C582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different for host groups</w:t>
            </w:r>
          </w:p>
        </w:tc>
        <w:tc>
          <w:tcPr>
            <w:tcW w:w="0" w:type="auto"/>
            <w:hideMark/>
          </w:tcPr>
          <w:p w14:paraId="15AF265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N-acetyl-glucosamine-3yl-acetyl-L-alanyl-D-isoglu tamine, nor-MDP</w:t>
            </w:r>
          </w:p>
        </w:tc>
        <w:tc>
          <w:tcPr>
            <w:tcW w:w="0" w:type="auto"/>
            <w:hideMark/>
          </w:tcPr>
          <w:p w14:paraId="7B5DA9F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PCR, SIA, ELISA, western blot, circular dichroism (CD) spectroscopy </w:t>
            </w:r>
          </w:p>
        </w:tc>
        <w:tc>
          <w:tcPr>
            <w:tcW w:w="0" w:type="auto"/>
            <w:hideMark/>
          </w:tcPr>
          <w:p w14:paraId="534F7AC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enhanced reactivity to viral antigens in rabbits, high titered anti-peptide antibodies in mice, immunogenic in an outbred population of both rabbits and mice when administered with adjuvant, enhanced immunogenicity when encapsulated in biodegradable microspheres without requiring of adjuvant,  syncytium formation </w:t>
            </w:r>
            <w:r w:rsidRPr="006374D2">
              <w:rPr>
                <w:rFonts w:asciiTheme="minorBidi" w:hAnsiTheme="minorBidi"/>
                <w:sz w:val="12"/>
                <w:szCs w:val="12"/>
              </w:rPr>
              <w:lastRenderedPageBreak/>
              <w:t>inhibition ability of anti-rabbit and anti-mouse Abs, no protection from cell-associated viral challenge in rabbits</w:t>
            </w:r>
          </w:p>
        </w:tc>
      </w:tr>
      <w:tr w:rsidR="006374D2" w:rsidRPr="006374D2" w14:paraId="59BE700E" w14:textId="77777777" w:rsidTr="006374D2">
        <w:trPr>
          <w:trHeight w:val="2790"/>
        </w:trPr>
        <w:tc>
          <w:tcPr>
            <w:tcW w:w="0" w:type="auto"/>
            <w:hideMark/>
          </w:tcPr>
          <w:p w14:paraId="0685F9A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Fujii, H.</w:t>
            </w:r>
          </w:p>
        </w:tc>
        <w:tc>
          <w:tcPr>
            <w:tcW w:w="0" w:type="auto"/>
            <w:hideMark/>
          </w:tcPr>
          <w:p w14:paraId="5CC6E92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2016</w:t>
            </w:r>
          </w:p>
        </w:tc>
        <w:tc>
          <w:tcPr>
            <w:tcW w:w="0" w:type="auto"/>
            <w:hideMark/>
          </w:tcPr>
          <w:p w14:paraId="55EBA8E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4CBB8C0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51F871F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 (both were pregnant)</w:t>
            </w:r>
          </w:p>
        </w:tc>
        <w:tc>
          <w:tcPr>
            <w:tcW w:w="0" w:type="auto"/>
            <w:hideMark/>
          </w:tcPr>
          <w:p w14:paraId="4337EC4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Strains of SD rats</w:t>
            </w:r>
          </w:p>
        </w:tc>
        <w:tc>
          <w:tcPr>
            <w:tcW w:w="0" w:type="auto"/>
            <w:hideMark/>
          </w:tcPr>
          <w:p w14:paraId="536FABA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monoclonal antibody of rat origin (LAT-27)</w:t>
            </w:r>
          </w:p>
        </w:tc>
        <w:tc>
          <w:tcPr>
            <w:tcW w:w="0" w:type="auto"/>
            <w:hideMark/>
          </w:tcPr>
          <w:p w14:paraId="7E18A29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gp46 amino acids 191–196</w:t>
            </w:r>
          </w:p>
        </w:tc>
        <w:tc>
          <w:tcPr>
            <w:tcW w:w="0" w:type="auto"/>
            <w:hideMark/>
          </w:tcPr>
          <w:p w14:paraId="1222904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25 mg/head of either LAT-27 or isotype control mAb two times </w:t>
            </w:r>
          </w:p>
        </w:tc>
        <w:tc>
          <w:tcPr>
            <w:tcW w:w="0" w:type="auto"/>
            <w:hideMark/>
          </w:tcPr>
          <w:p w14:paraId="53053BA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0ACF0D7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IP</w:t>
            </w:r>
          </w:p>
        </w:tc>
        <w:tc>
          <w:tcPr>
            <w:tcW w:w="0" w:type="auto"/>
            <w:hideMark/>
          </w:tcPr>
          <w:p w14:paraId="4443D80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two times on –7 d and –2 d of delivery</w:t>
            </w:r>
          </w:p>
        </w:tc>
        <w:tc>
          <w:tcPr>
            <w:tcW w:w="0" w:type="auto"/>
            <w:hideMark/>
          </w:tcPr>
          <w:p w14:paraId="79C484C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03268B2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ELISA, qPCR, Flow Cytometry, SIA</w:t>
            </w:r>
          </w:p>
        </w:tc>
        <w:tc>
          <w:tcPr>
            <w:tcW w:w="0" w:type="auto"/>
            <w:hideMark/>
          </w:tcPr>
          <w:p w14:paraId="78B52E4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When humanized immunodeficient mice were pre-infused intravenously with humanized LAT-27 (hu-LAT-27), all the mice completely resisted HTLV-I infection. These results indicate that hu-LAT-27 may have a potential for passive immunization against both horizontal and mother-to-child vertical infection with HTLV-I.</w:t>
            </w:r>
          </w:p>
        </w:tc>
      </w:tr>
      <w:tr w:rsidR="006374D2" w:rsidRPr="006374D2" w14:paraId="21D3328A" w14:textId="77777777" w:rsidTr="006374D2">
        <w:trPr>
          <w:trHeight w:val="1399"/>
        </w:trPr>
        <w:tc>
          <w:tcPr>
            <w:tcW w:w="0" w:type="auto"/>
            <w:hideMark/>
          </w:tcPr>
          <w:p w14:paraId="79DDB47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Hakoda, E.</w:t>
            </w:r>
          </w:p>
        </w:tc>
        <w:tc>
          <w:tcPr>
            <w:tcW w:w="0" w:type="auto"/>
            <w:hideMark/>
          </w:tcPr>
          <w:p w14:paraId="4960D18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1995</w:t>
            </w:r>
          </w:p>
        </w:tc>
        <w:tc>
          <w:tcPr>
            <w:tcW w:w="0" w:type="auto"/>
            <w:hideMark/>
          </w:tcPr>
          <w:p w14:paraId="22523C6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47E2E1A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65F8898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6</w:t>
            </w:r>
          </w:p>
        </w:tc>
        <w:tc>
          <w:tcPr>
            <w:tcW w:w="0" w:type="auto"/>
            <w:hideMark/>
          </w:tcPr>
          <w:p w14:paraId="0AC0FE8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Japanese white rabbits</w:t>
            </w:r>
          </w:p>
        </w:tc>
        <w:tc>
          <w:tcPr>
            <w:tcW w:w="0" w:type="auto"/>
            <w:hideMark/>
          </w:tcPr>
          <w:p w14:paraId="28F1258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recombinant vaccinia virus</w:t>
            </w:r>
          </w:p>
        </w:tc>
        <w:tc>
          <w:tcPr>
            <w:tcW w:w="0" w:type="auto"/>
            <w:hideMark/>
          </w:tcPr>
          <w:p w14:paraId="4639BDD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env gene in the hemagglutinin locus, WR-SFBSenv</w:t>
            </w:r>
          </w:p>
        </w:tc>
        <w:tc>
          <w:tcPr>
            <w:tcW w:w="0" w:type="auto"/>
            <w:hideMark/>
          </w:tcPr>
          <w:p w14:paraId="3035402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 x 10^8 plaque-forming units of recombinant or control virus at 3 sites on the back.</w:t>
            </w:r>
          </w:p>
        </w:tc>
        <w:tc>
          <w:tcPr>
            <w:tcW w:w="0" w:type="auto"/>
            <w:hideMark/>
          </w:tcPr>
          <w:p w14:paraId="05EB81A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NOT EXACTLY DESCRIBED</w:t>
            </w:r>
            <w:r w:rsidRPr="006374D2">
              <w:rPr>
                <w:rFonts w:asciiTheme="minorBidi" w:hAnsiTheme="minorBidi"/>
                <w:sz w:val="12"/>
                <w:szCs w:val="12"/>
              </w:rPr>
              <w:br/>
              <w:t>(recombinant vaccinia virus containing the entire HTLV-I env gene in the hemagglutinin locus, WR-SFBSenv, in which the env gene was expressed under the control of the hybrid promoter (Funahashi et al., 1991), will be described in detail. Vaccinia virus lacking the functional hemagglutinin gene, HA WR, was used as control (Shida etal., 1987). )</w:t>
            </w:r>
          </w:p>
        </w:tc>
        <w:tc>
          <w:tcPr>
            <w:tcW w:w="0" w:type="auto"/>
            <w:hideMark/>
          </w:tcPr>
          <w:p w14:paraId="36D9707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intradermally</w:t>
            </w:r>
          </w:p>
        </w:tc>
        <w:tc>
          <w:tcPr>
            <w:tcW w:w="0" w:type="auto"/>
            <w:hideMark/>
          </w:tcPr>
          <w:p w14:paraId="4EBCFAD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one time in 3 sites in the back of tabbits</w:t>
            </w:r>
          </w:p>
        </w:tc>
        <w:tc>
          <w:tcPr>
            <w:tcW w:w="0" w:type="auto"/>
            <w:hideMark/>
          </w:tcPr>
          <w:p w14:paraId="42F01A5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102F6EB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PCR, western bloth, ELISA, plaque-reduction assay</w:t>
            </w:r>
          </w:p>
        </w:tc>
        <w:tc>
          <w:tcPr>
            <w:tcW w:w="0" w:type="auto"/>
            <w:hideMark/>
          </w:tcPr>
          <w:p w14:paraId="06B67C8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Incapable of inducing neutralizing antibodies</w:t>
            </w:r>
          </w:p>
        </w:tc>
      </w:tr>
      <w:tr w:rsidR="006374D2" w:rsidRPr="006374D2" w14:paraId="2EBA37E9" w14:textId="77777777" w:rsidTr="006374D2">
        <w:trPr>
          <w:trHeight w:val="3630"/>
        </w:trPr>
        <w:tc>
          <w:tcPr>
            <w:tcW w:w="0" w:type="auto"/>
            <w:hideMark/>
          </w:tcPr>
          <w:p w14:paraId="3E468B2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Kabiri, M.</w:t>
            </w:r>
          </w:p>
        </w:tc>
        <w:tc>
          <w:tcPr>
            <w:tcW w:w="0" w:type="auto"/>
            <w:hideMark/>
          </w:tcPr>
          <w:p w14:paraId="3355721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2018</w:t>
            </w:r>
          </w:p>
        </w:tc>
        <w:tc>
          <w:tcPr>
            <w:tcW w:w="0" w:type="auto"/>
            <w:hideMark/>
          </w:tcPr>
          <w:p w14:paraId="7007DB0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Iran</w:t>
            </w:r>
          </w:p>
        </w:tc>
        <w:tc>
          <w:tcPr>
            <w:tcW w:w="0" w:type="auto"/>
            <w:hideMark/>
          </w:tcPr>
          <w:p w14:paraId="7869F46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13D300F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0D9F2C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BALB/c male mice</w:t>
            </w:r>
          </w:p>
        </w:tc>
        <w:tc>
          <w:tcPr>
            <w:tcW w:w="0" w:type="auto"/>
            <w:hideMark/>
          </w:tcPr>
          <w:p w14:paraId="64449D3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chimeric peptide vaccine</w:t>
            </w:r>
          </w:p>
        </w:tc>
        <w:tc>
          <w:tcPr>
            <w:tcW w:w="0" w:type="auto"/>
            <w:hideMark/>
          </w:tcPr>
          <w:p w14:paraId="374FC1F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chimeric peptide vaccine including Tax, gp21, gp46, and gag immunodominant epitopes of human T-cell lymphotropic virus type 1 (HTLV-1) </w:t>
            </w:r>
          </w:p>
        </w:tc>
        <w:tc>
          <w:tcPr>
            <w:tcW w:w="0" w:type="auto"/>
            <w:hideMark/>
          </w:tcPr>
          <w:p w14:paraId="09D0CDB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10 microg</w:t>
            </w:r>
          </w:p>
        </w:tc>
        <w:tc>
          <w:tcPr>
            <w:tcW w:w="0" w:type="auto"/>
            <w:hideMark/>
          </w:tcPr>
          <w:p w14:paraId="2A6FB22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pET32b (+) plasmid</w:t>
            </w:r>
            <w:r w:rsidRPr="006374D2">
              <w:rPr>
                <w:rFonts w:asciiTheme="minorBidi" w:hAnsiTheme="minorBidi"/>
                <w:sz w:val="12"/>
                <w:szCs w:val="12"/>
              </w:rPr>
              <w:br/>
              <w:t>the synthetic nucleotide sequence of chimera was cloned into pET32b (+) plasmid vector and expressed in E. coli BL21(DE3) host</w:t>
            </w:r>
          </w:p>
        </w:tc>
        <w:tc>
          <w:tcPr>
            <w:tcW w:w="0" w:type="auto"/>
            <w:hideMark/>
          </w:tcPr>
          <w:p w14:paraId="1A134F0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nasal/SC</w:t>
            </w:r>
          </w:p>
        </w:tc>
        <w:tc>
          <w:tcPr>
            <w:tcW w:w="0" w:type="auto"/>
            <w:hideMark/>
          </w:tcPr>
          <w:p w14:paraId="71CA86F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three times at two weeks intervals</w:t>
            </w:r>
          </w:p>
        </w:tc>
        <w:tc>
          <w:tcPr>
            <w:tcW w:w="0" w:type="auto"/>
            <w:hideMark/>
          </w:tcPr>
          <w:p w14:paraId="01A9AFD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monophosphoryl lipid A (MPLA) or ISCOMATRIX (IMX) </w:t>
            </w:r>
          </w:p>
        </w:tc>
        <w:tc>
          <w:tcPr>
            <w:tcW w:w="0" w:type="auto"/>
            <w:hideMark/>
          </w:tcPr>
          <w:p w14:paraId="65CC993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ELISA, PCR</w:t>
            </w:r>
          </w:p>
        </w:tc>
        <w:tc>
          <w:tcPr>
            <w:tcW w:w="0" w:type="auto"/>
            <w:hideMark/>
          </w:tcPr>
          <w:p w14:paraId="751E83F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increased Ab titers containing IgG2a, mucosal IgA, as well as IFN-γ and IL-10 cytokines and decreased TGF-β1 level in response to mixture of IMX and chimera, potent mucosal sIgA titers in intranasal delivery compared to subcutaneous root, cell-mediated responses, as evident by higher IgG2a and IFN-γ, as well as suppressed TGF-β1 level in SC or nasal delivery</w:t>
            </w:r>
          </w:p>
        </w:tc>
      </w:tr>
      <w:tr w:rsidR="006374D2" w:rsidRPr="006374D2" w14:paraId="0F519419" w14:textId="77777777" w:rsidTr="006374D2">
        <w:trPr>
          <w:trHeight w:val="3150"/>
        </w:trPr>
        <w:tc>
          <w:tcPr>
            <w:tcW w:w="0" w:type="auto"/>
            <w:hideMark/>
          </w:tcPr>
          <w:p w14:paraId="38FFA5B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Kabiri, M.</w:t>
            </w:r>
          </w:p>
        </w:tc>
        <w:tc>
          <w:tcPr>
            <w:tcW w:w="0" w:type="auto"/>
            <w:hideMark/>
          </w:tcPr>
          <w:p w14:paraId="4284F63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2018</w:t>
            </w:r>
          </w:p>
        </w:tc>
        <w:tc>
          <w:tcPr>
            <w:tcW w:w="0" w:type="auto"/>
            <w:hideMark/>
          </w:tcPr>
          <w:p w14:paraId="01E626D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Iran</w:t>
            </w:r>
          </w:p>
        </w:tc>
        <w:tc>
          <w:tcPr>
            <w:tcW w:w="0" w:type="auto"/>
            <w:hideMark/>
          </w:tcPr>
          <w:p w14:paraId="756D134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74891FF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B9D79F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BALB/c male mice</w:t>
            </w:r>
          </w:p>
        </w:tc>
        <w:tc>
          <w:tcPr>
            <w:tcW w:w="0" w:type="auto"/>
            <w:hideMark/>
          </w:tcPr>
          <w:p w14:paraId="735DBE9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fusion epitope-loaded PLGA nanoparticles (NPs)</w:t>
            </w:r>
          </w:p>
        </w:tc>
        <w:tc>
          <w:tcPr>
            <w:tcW w:w="0" w:type="auto"/>
            <w:hideMark/>
          </w:tcPr>
          <w:p w14:paraId="6E65A55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chimeric peptide vaccine including  Tax (aa 11-19 and aa 178-186), gp21 (aa 370-400), gp46 (aa 165-306), and p19 (aa 105-124) immunodominant epitopes of human T-cell lymphotropic virus type 1 (HTLV-1) </w:t>
            </w:r>
          </w:p>
        </w:tc>
        <w:tc>
          <w:tcPr>
            <w:tcW w:w="0" w:type="auto"/>
            <w:hideMark/>
          </w:tcPr>
          <w:p w14:paraId="4C849F1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10 microg</w:t>
            </w:r>
          </w:p>
        </w:tc>
        <w:tc>
          <w:tcPr>
            <w:tcW w:w="0" w:type="auto"/>
            <w:hideMark/>
          </w:tcPr>
          <w:p w14:paraId="16D8473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pET32b (+) plasmid vector (Novagen, USA)</w:t>
            </w:r>
          </w:p>
        </w:tc>
        <w:tc>
          <w:tcPr>
            <w:tcW w:w="0" w:type="auto"/>
            <w:hideMark/>
          </w:tcPr>
          <w:p w14:paraId="0231E21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nasal/SC</w:t>
            </w:r>
          </w:p>
        </w:tc>
        <w:tc>
          <w:tcPr>
            <w:tcW w:w="0" w:type="auto"/>
            <w:hideMark/>
          </w:tcPr>
          <w:p w14:paraId="4EBBCB5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three times at two weeks intervals</w:t>
            </w:r>
          </w:p>
        </w:tc>
        <w:tc>
          <w:tcPr>
            <w:tcW w:w="0" w:type="auto"/>
            <w:hideMark/>
          </w:tcPr>
          <w:p w14:paraId="1574EF4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with or without CpG adjuvant</w:t>
            </w:r>
          </w:p>
        </w:tc>
        <w:tc>
          <w:tcPr>
            <w:tcW w:w="0" w:type="auto"/>
            <w:hideMark/>
          </w:tcPr>
          <w:p w14:paraId="420B338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ELISA, PCR, western blot</w:t>
            </w:r>
          </w:p>
        </w:tc>
        <w:tc>
          <w:tcPr>
            <w:tcW w:w="0" w:type="auto"/>
            <w:hideMark/>
          </w:tcPr>
          <w:p w14:paraId="42C4B49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elevated titers of IgG1, IgG2a, and sIgA antibodies, as  well as IL-10, and IFN-γ cytokines and decreased TGF-β1 level, promoted cellular and mucosal responses in co-delivery of chimera and CpG ODN in PLGA</w:t>
            </w:r>
          </w:p>
        </w:tc>
      </w:tr>
      <w:tr w:rsidR="006374D2" w:rsidRPr="006374D2" w14:paraId="78B696D1" w14:textId="77777777" w:rsidTr="006374D2">
        <w:trPr>
          <w:trHeight w:val="3045"/>
        </w:trPr>
        <w:tc>
          <w:tcPr>
            <w:tcW w:w="0" w:type="auto"/>
            <w:hideMark/>
          </w:tcPr>
          <w:p w14:paraId="47AB4B3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Kazanji, M.</w:t>
            </w:r>
          </w:p>
        </w:tc>
        <w:tc>
          <w:tcPr>
            <w:tcW w:w="0" w:type="auto"/>
            <w:hideMark/>
          </w:tcPr>
          <w:p w14:paraId="117239E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1997</w:t>
            </w:r>
          </w:p>
        </w:tc>
        <w:tc>
          <w:tcPr>
            <w:tcW w:w="0" w:type="auto"/>
            <w:hideMark/>
          </w:tcPr>
          <w:p w14:paraId="66251FF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France</w:t>
            </w:r>
          </w:p>
        </w:tc>
        <w:tc>
          <w:tcPr>
            <w:tcW w:w="0" w:type="auto"/>
            <w:hideMark/>
          </w:tcPr>
          <w:p w14:paraId="39487C5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in vivo and in vitro </w:t>
            </w:r>
          </w:p>
        </w:tc>
        <w:tc>
          <w:tcPr>
            <w:tcW w:w="0" w:type="auto"/>
            <w:hideMark/>
          </w:tcPr>
          <w:p w14:paraId="2CD7944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25 (not mentioned exactly, the number is extracted from table II)</w:t>
            </w:r>
          </w:p>
        </w:tc>
        <w:tc>
          <w:tcPr>
            <w:tcW w:w="0" w:type="auto"/>
            <w:hideMark/>
          </w:tcPr>
          <w:p w14:paraId="65609D9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WKY and Fischer F-344 rats</w:t>
            </w:r>
          </w:p>
        </w:tc>
        <w:tc>
          <w:tcPr>
            <w:tcW w:w="0" w:type="auto"/>
            <w:hideMark/>
          </w:tcPr>
          <w:p w14:paraId="4689B6D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recombinant adenovirus-5 DNA plasmids and vaccina virus</w:t>
            </w:r>
          </w:p>
        </w:tc>
        <w:tc>
          <w:tcPr>
            <w:tcW w:w="0" w:type="auto"/>
            <w:hideMark/>
          </w:tcPr>
          <w:p w14:paraId="2C3836E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The complete human T-cell leukemia virus type I (HTLV-I) env gene was inserted into an expression cassette containing the adenovirus 5 major late promoter (Ad5-MLP). (Recombinant Ad5-HTLV-I-env)</w:t>
            </w:r>
          </w:p>
        </w:tc>
        <w:tc>
          <w:tcPr>
            <w:tcW w:w="0" w:type="auto"/>
            <w:hideMark/>
          </w:tcPr>
          <w:p w14:paraId="039F7C9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Fischer F-344 rats: 107 PFU of WR-SFB5 env or control HA-WR/ WKY rats: 200 µl PBS containing 109 PFU of Ad5-HTLV-I-env (or Ad5-HTLV-I-gp46 for boosting) or 100 µg of the naked DNA expression vector pMLP-HTLV-I-env. Booster injections with baculovirus-derived recombinant gp46 (1 µg) were delivered subcutaneously together with 50 µg of saponin as adjuvant </w:t>
            </w:r>
          </w:p>
        </w:tc>
        <w:tc>
          <w:tcPr>
            <w:tcW w:w="0" w:type="auto"/>
            <w:hideMark/>
          </w:tcPr>
          <w:p w14:paraId="187A53B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recombinant vaccinia vector WR-SFB5env, adenovirus vector </w:t>
            </w:r>
          </w:p>
        </w:tc>
        <w:tc>
          <w:tcPr>
            <w:tcW w:w="0" w:type="auto"/>
            <w:hideMark/>
          </w:tcPr>
          <w:p w14:paraId="27EA5E3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IM/intradermally</w:t>
            </w:r>
          </w:p>
        </w:tc>
        <w:tc>
          <w:tcPr>
            <w:tcW w:w="0" w:type="auto"/>
            <w:hideMark/>
          </w:tcPr>
          <w:p w14:paraId="652C0E9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different for host groups</w:t>
            </w:r>
          </w:p>
        </w:tc>
        <w:tc>
          <w:tcPr>
            <w:tcW w:w="0" w:type="auto"/>
            <w:hideMark/>
          </w:tcPr>
          <w:p w14:paraId="66385E5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saponin (QuilA, Superfos, Denmark) as adjuvant</w:t>
            </w:r>
          </w:p>
        </w:tc>
        <w:tc>
          <w:tcPr>
            <w:tcW w:w="0" w:type="auto"/>
            <w:hideMark/>
          </w:tcPr>
          <w:p w14:paraId="1B88253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IFA, western blot, PCR, SIA, CTL assay</w:t>
            </w:r>
          </w:p>
        </w:tc>
        <w:tc>
          <w:tcPr>
            <w:tcW w:w="0" w:type="auto"/>
            <w:hideMark/>
          </w:tcPr>
          <w:p w14:paraId="51099C1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WKY rats: No detectable Ab against HTLV-I, recovery of HTLV-I-specific cytotoxic T lymphocytes in all immunized groups but not from controls, Fischer F-344 rats: Ab against the HTLV-I env gp21 and gp46 (non-neutralizing), partial protection in both immunization regimens after challenge with human HTLV-I-producing cells (MT-2) </w:t>
            </w:r>
          </w:p>
        </w:tc>
      </w:tr>
      <w:tr w:rsidR="006374D2" w:rsidRPr="006374D2" w14:paraId="4C73EAF2" w14:textId="77777777" w:rsidTr="006374D2">
        <w:trPr>
          <w:trHeight w:val="3030"/>
        </w:trPr>
        <w:tc>
          <w:tcPr>
            <w:tcW w:w="0" w:type="auto"/>
            <w:hideMark/>
          </w:tcPr>
          <w:p w14:paraId="0FC4B60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Kazanji, M.</w:t>
            </w:r>
          </w:p>
        </w:tc>
        <w:tc>
          <w:tcPr>
            <w:tcW w:w="0" w:type="auto"/>
            <w:hideMark/>
          </w:tcPr>
          <w:p w14:paraId="088900B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2006</w:t>
            </w:r>
          </w:p>
        </w:tc>
        <w:tc>
          <w:tcPr>
            <w:tcW w:w="0" w:type="auto"/>
            <w:hideMark/>
          </w:tcPr>
          <w:p w14:paraId="0AEE41B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France</w:t>
            </w:r>
          </w:p>
        </w:tc>
        <w:tc>
          <w:tcPr>
            <w:tcW w:w="0" w:type="auto"/>
            <w:hideMark/>
          </w:tcPr>
          <w:p w14:paraId="715B779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5D070C6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5</w:t>
            </w:r>
          </w:p>
        </w:tc>
        <w:tc>
          <w:tcPr>
            <w:tcW w:w="0" w:type="auto"/>
            <w:hideMark/>
          </w:tcPr>
          <w:p w14:paraId="7274C37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 male squirrel monkeys</w:t>
            </w:r>
          </w:p>
        </w:tc>
        <w:tc>
          <w:tcPr>
            <w:tcW w:w="0" w:type="auto"/>
            <w:hideMark/>
          </w:tcPr>
          <w:p w14:paraId="047C38A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Chimeric peptide vaccine</w:t>
            </w:r>
          </w:p>
        </w:tc>
        <w:tc>
          <w:tcPr>
            <w:tcW w:w="0" w:type="auto"/>
            <w:hideMark/>
          </w:tcPr>
          <w:p w14:paraId="2C951E2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three HLA-A*0201-restricted CTL epitopes derived from Tax protein (Tri-Tax) and B-cell env epitope (aa 175–218)</w:t>
            </w:r>
          </w:p>
        </w:tc>
        <w:tc>
          <w:tcPr>
            <w:tcW w:w="0" w:type="auto"/>
            <w:hideMark/>
          </w:tcPr>
          <w:p w14:paraId="6FB38C3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700 microg</w:t>
            </w:r>
          </w:p>
        </w:tc>
        <w:tc>
          <w:tcPr>
            <w:tcW w:w="0" w:type="auto"/>
            <w:hideMark/>
          </w:tcPr>
          <w:p w14:paraId="561650E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NYVAC</w:t>
            </w:r>
          </w:p>
        </w:tc>
        <w:tc>
          <w:tcPr>
            <w:tcW w:w="0" w:type="auto"/>
            <w:hideMark/>
          </w:tcPr>
          <w:p w14:paraId="312B6A3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IM</w:t>
            </w:r>
          </w:p>
        </w:tc>
        <w:tc>
          <w:tcPr>
            <w:tcW w:w="0" w:type="auto"/>
            <w:hideMark/>
          </w:tcPr>
          <w:p w14:paraId="6995A85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Two monkeys were injected twice, at 0 and 4 weeks, with the Env B-cell epitope aa 175–218 (500 mg per monkey) linked to the promiscuous T-helper cell epitope MVF (700 mg per monkey), as described pre viously (Frangione-Beebe et al., 2000). Six weeks after the first immunization, the monkeys were injected with another construct, consisting of the three Tax CTL epitopes (aa 11–19, 178–186, 306–315). Monkeys were boosted twice at weeks 9and 16 with both B- and </w:t>
            </w:r>
            <w:r w:rsidRPr="006374D2">
              <w:rPr>
                <w:rFonts w:asciiTheme="minorBidi" w:hAnsiTheme="minorBidi"/>
                <w:sz w:val="12"/>
                <w:szCs w:val="12"/>
              </w:rPr>
              <w:lastRenderedPageBreak/>
              <w:t>T-cell epitopes.</w:t>
            </w:r>
          </w:p>
        </w:tc>
        <w:tc>
          <w:tcPr>
            <w:tcW w:w="0" w:type="auto"/>
            <w:hideMark/>
          </w:tcPr>
          <w:p w14:paraId="2D675FC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N-acetylglucosamine-3yl-acetyl-L-alanyl-D-isoglutamin</w:t>
            </w:r>
          </w:p>
        </w:tc>
        <w:tc>
          <w:tcPr>
            <w:tcW w:w="0" w:type="auto"/>
            <w:hideMark/>
          </w:tcPr>
          <w:p w14:paraId="71D2372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ELISA, PCR, western blot</w:t>
            </w:r>
          </w:p>
        </w:tc>
        <w:tc>
          <w:tcPr>
            <w:tcW w:w="0" w:type="auto"/>
            <w:hideMark/>
          </w:tcPr>
          <w:p w14:paraId="289A8F3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high titre of Abs, high frequency of specific IFN-c-producing cells and partial protection</w:t>
            </w:r>
          </w:p>
        </w:tc>
      </w:tr>
      <w:tr w:rsidR="006374D2" w:rsidRPr="006374D2" w14:paraId="61723E33" w14:textId="77777777" w:rsidTr="006374D2">
        <w:trPr>
          <w:trHeight w:val="4575"/>
        </w:trPr>
        <w:tc>
          <w:tcPr>
            <w:tcW w:w="0" w:type="auto"/>
            <w:hideMark/>
          </w:tcPr>
          <w:p w14:paraId="16091CD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Kazanji, M.</w:t>
            </w:r>
          </w:p>
        </w:tc>
        <w:tc>
          <w:tcPr>
            <w:tcW w:w="0" w:type="auto"/>
            <w:hideMark/>
          </w:tcPr>
          <w:p w14:paraId="76A3E5D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2001</w:t>
            </w:r>
          </w:p>
        </w:tc>
        <w:tc>
          <w:tcPr>
            <w:tcW w:w="0" w:type="auto"/>
            <w:hideMark/>
          </w:tcPr>
          <w:p w14:paraId="08B4D6A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France</w:t>
            </w:r>
          </w:p>
        </w:tc>
        <w:tc>
          <w:tcPr>
            <w:tcW w:w="0" w:type="auto"/>
            <w:hideMark/>
          </w:tcPr>
          <w:p w14:paraId="1C9C6A9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37B2D29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8</w:t>
            </w:r>
          </w:p>
        </w:tc>
        <w:tc>
          <w:tcPr>
            <w:tcW w:w="0" w:type="auto"/>
            <w:hideMark/>
          </w:tcPr>
          <w:p w14:paraId="6246B91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male squirrel monkeys</w:t>
            </w:r>
          </w:p>
        </w:tc>
        <w:tc>
          <w:tcPr>
            <w:tcW w:w="0" w:type="auto"/>
            <w:hideMark/>
          </w:tcPr>
          <w:p w14:paraId="4E384C7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vaccinia virus-derived NYVAC </w:t>
            </w:r>
          </w:p>
        </w:tc>
        <w:tc>
          <w:tcPr>
            <w:tcW w:w="0" w:type="auto"/>
            <w:hideMark/>
          </w:tcPr>
          <w:p w14:paraId="60DAADF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env/gag</w:t>
            </w:r>
          </w:p>
        </w:tc>
        <w:tc>
          <w:tcPr>
            <w:tcW w:w="0" w:type="auto"/>
            <w:hideMark/>
          </w:tcPr>
          <w:p w14:paraId="4051188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In the initial protocol, three monkeys 10^8 PFU of NYVAC / Six months after the last administration of NYVAC-env, two of the three vaccinated monkeys  were boosted with 500 mg of the naked DNA immunogen CMV-env-LTR, The third monkey and the control were injected with a naked DNA vector containing the b-galactosidase gene </w:t>
            </w:r>
            <w:r w:rsidRPr="006374D2">
              <w:rPr>
                <w:rFonts w:asciiTheme="minorBidi" w:hAnsiTheme="minorBidi"/>
                <w:sz w:val="12"/>
                <w:szCs w:val="12"/>
              </w:rPr>
              <w:lastRenderedPageBreak/>
              <w:t>(CMV-bgal)</w:t>
            </w:r>
            <w:r w:rsidRPr="006374D2">
              <w:rPr>
                <w:rFonts w:asciiTheme="minorBidi" w:hAnsiTheme="minorBidi"/>
                <w:sz w:val="12"/>
                <w:szCs w:val="12"/>
              </w:rPr>
              <w:br/>
              <w:t xml:space="preserve">In the second immunization protocol, three monkeys 500 mg of the DNA immunogen CMV-env-LTR and the control monkey was injected with the CMV-bgal vector. Six months later,the three vaccinated monkeys received a series of three booster injections, separated by 1-month intervals, of 108 PFU of the NYVAC-based candidate vaccine containing the HTLV-1 env and gag genes. The control monkey received 108 PFU of NYVAC-RG at the same times </w:t>
            </w:r>
          </w:p>
        </w:tc>
        <w:tc>
          <w:tcPr>
            <w:tcW w:w="0" w:type="auto"/>
            <w:hideMark/>
          </w:tcPr>
          <w:p w14:paraId="0225C7B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CMV-ßga</w:t>
            </w:r>
          </w:p>
        </w:tc>
        <w:tc>
          <w:tcPr>
            <w:tcW w:w="0" w:type="auto"/>
            <w:hideMark/>
          </w:tcPr>
          <w:p w14:paraId="7E6A4E9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IM</w:t>
            </w:r>
          </w:p>
        </w:tc>
        <w:tc>
          <w:tcPr>
            <w:tcW w:w="0" w:type="auto"/>
            <w:hideMark/>
          </w:tcPr>
          <w:p w14:paraId="4F565578" w14:textId="77777777" w:rsidR="006374D2" w:rsidRPr="006374D2" w:rsidRDefault="006374D2" w:rsidP="006374D2">
            <w:pPr>
              <w:spacing w:after="160"/>
              <w:rPr>
                <w:rFonts w:asciiTheme="minorBidi" w:hAnsiTheme="minorBidi"/>
                <w:sz w:val="12"/>
                <w:szCs w:val="12"/>
              </w:rPr>
            </w:pPr>
            <w:r w:rsidRPr="006374D2">
              <w:rPr>
                <w:rFonts w:asciiTheme="minorBidi" w:hAnsiTheme="minorBidi"/>
                <w:sz w:val="12"/>
                <w:szCs w:val="12"/>
              </w:rPr>
              <w:t>protocol A: (3 monkeys)</w:t>
            </w:r>
            <w:r w:rsidRPr="006374D2">
              <w:rPr>
                <w:rFonts w:asciiTheme="minorBidi" w:hAnsiTheme="minorBidi"/>
                <w:sz w:val="12"/>
                <w:szCs w:val="12"/>
              </w:rPr>
              <w:br/>
              <w:t>0, 1, and 3 months (108 PFU of NYVAC containing the HTLV-1 env gene)</w:t>
            </w:r>
            <w:r w:rsidRPr="006374D2">
              <w:rPr>
                <w:rFonts w:asciiTheme="minorBidi" w:hAnsiTheme="minorBidi"/>
                <w:sz w:val="12"/>
                <w:szCs w:val="12"/>
              </w:rPr>
              <w:br/>
              <w:t>Six months after the last administration of NYVAC-env, two of the three vaccinated monkeys were boosted with 500 mg of the naked DNA immunogen CMV-env-LTR intramuscularly into the tibialis anterior muscle</w:t>
            </w:r>
            <w:r w:rsidRPr="006374D2">
              <w:rPr>
                <w:rFonts w:asciiTheme="minorBidi" w:hAnsiTheme="minorBidi"/>
                <w:sz w:val="12"/>
                <w:szCs w:val="12"/>
              </w:rPr>
              <w:br/>
            </w:r>
            <w:r w:rsidRPr="006374D2">
              <w:rPr>
                <w:rFonts w:asciiTheme="minorBidi" w:hAnsiTheme="minorBidi"/>
                <w:sz w:val="12"/>
                <w:szCs w:val="12"/>
              </w:rPr>
              <w:lastRenderedPageBreak/>
              <w:t>protocol B: (3 monkeys)</w:t>
            </w:r>
            <w:r w:rsidRPr="006374D2">
              <w:rPr>
                <w:rFonts w:asciiTheme="minorBidi" w:hAnsiTheme="minorBidi"/>
                <w:sz w:val="12"/>
                <w:szCs w:val="12"/>
              </w:rPr>
              <w:br/>
              <w:t>500 mg of the DNA immunogen CMV-env-LTR. Six months later, received a series of three booster injections, separated by 1-month intervals, of 108 PFU of the NYVAC-based candidate vaccine contain ing the HTLV-1 env and gag genes.</w:t>
            </w:r>
          </w:p>
        </w:tc>
        <w:tc>
          <w:tcPr>
            <w:tcW w:w="0" w:type="auto"/>
            <w:hideMark/>
          </w:tcPr>
          <w:p w14:paraId="3E19C02D" w14:textId="77777777" w:rsidR="006374D2" w:rsidRPr="006374D2" w:rsidRDefault="006374D2" w:rsidP="006374D2">
            <w:pPr>
              <w:spacing w:after="160"/>
              <w:rPr>
                <w:rFonts w:asciiTheme="minorBidi" w:hAnsiTheme="minorBidi"/>
                <w:sz w:val="12"/>
                <w:szCs w:val="12"/>
              </w:rPr>
            </w:pPr>
            <w:r w:rsidRPr="006374D2">
              <w:rPr>
                <w:rFonts w:asciiTheme="minorBidi" w:hAnsiTheme="minorBidi"/>
                <w:sz w:val="12"/>
                <w:szCs w:val="12"/>
              </w:rPr>
              <w:lastRenderedPageBreak/>
              <w:t>NA</w:t>
            </w:r>
          </w:p>
        </w:tc>
        <w:tc>
          <w:tcPr>
            <w:tcW w:w="0" w:type="auto"/>
            <w:hideMark/>
          </w:tcPr>
          <w:p w14:paraId="7CEE412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ELISA, PCR, western blot</w:t>
            </w:r>
          </w:p>
        </w:tc>
        <w:tc>
          <w:tcPr>
            <w:tcW w:w="0" w:type="auto"/>
            <w:hideMark/>
          </w:tcPr>
          <w:p w14:paraId="5B4782D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protocol A:</w:t>
            </w:r>
            <w:r w:rsidRPr="006374D2">
              <w:rPr>
                <w:rFonts w:asciiTheme="minorBidi" w:hAnsiTheme="minorBidi"/>
                <w:sz w:val="12"/>
                <w:szCs w:val="12"/>
              </w:rPr>
              <w:br/>
              <w:t>With the first immunization protocol, no anti-bodies against HTLV-1</w:t>
            </w:r>
            <w:r w:rsidRPr="006374D2">
              <w:rPr>
                <w:rFonts w:asciiTheme="minorBidi" w:hAnsiTheme="minorBidi"/>
                <w:sz w:val="12"/>
                <w:szCs w:val="12"/>
              </w:rPr>
              <w:br/>
              <w:t>HTLV-1 Env gp46 was stimulated in all of the three immu nized monkeys and a lesser response was stimulated in the</w:t>
            </w:r>
            <w:r w:rsidRPr="006374D2">
              <w:rPr>
                <w:rFonts w:asciiTheme="minorBidi" w:hAnsiTheme="minorBidi"/>
                <w:sz w:val="12"/>
                <w:szCs w:val="12"/>
              </w:rPr>
              <w:br/>
              <w:t>control monkey</w:t>
            </w:r>
            <w:r w:rsidRPr="006374D2">
              <w:rPr>
                <w:rFonts w:asciiTheme="minorBidi" w:hAnsiTheme="minorBidi"/>
                <w:sz w:val="12"/>
                <w:szCs w:val="12"/>
              </w:rPr>
              <w:br/>
              <w:t>protocol B: did not induce detectable levels of antibodies against HTLV-1</w:t>
            </w:r>
            <w:r w:rsidRPr="006374D2">
              <w:rPr>
                <w:rFonts w:asciiTheme="minorBidi" w:hAnsiTheme="minorBidi"/>
                <w:sz w:val="12"/>
                <w:szCs w:val="12"/>
              </w:rPr>
              <w:br/>
              <w:t>In the lymphocyte proliferation test performed 1 month after boosting, high-level, specific responses were detected in the three immunized animals against both recombinant Env gp46 protein and Gag peptides but not in the control monkey</w:t>
            </w:r>
          </w:p>
        </w:tc>
      </w:tr>
      <w:tr w:rsidR="006374D2" w:rsidRPr="006374D2" w14:paraId="6283CBEB" w14:textId="77777777" w:rsidTr="006374D2">
        <w:trPr>
          <w:trHeight w:val="2520"/>
        </w:trPr>
        <w:tc>
          <w:tcPr>
            <w:tcW w:w="0" w:type="auto"/>
            <w:hideMark/>
          </w:tcPr>
          <w:p w14:paraId="76C9262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Kozako, T.</w:t>
            </w:r>
          </w:p>
        </w:tc>
        <w:tc>
          <w:tcPr>
            <w:tcW w:w="0" w:type="auto"/>
            <w:hideMark/>
          </w:tcPr>
          <w:p w14:paraId="1DC9C17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2009</w:t>
            </w:r>
          </w:p>
        </w:tc>
        <w:tc>
          <w:tcPr>
            <w:tcW w:w="0" w:type="auto"/>
            <w:hideMark/>
          </w:tcPr>
          <w:p w14:paraId="6010ED7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0471ECC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219486C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5A02370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HLA-A*0201-transgenic mice</w:t>
            </w:r>
          </w:p>
        </w:tc>
        <w:tc>
          <w:tcPr>
            <w:tcW w:w="0" w:type="auto"/>
            <w:hideMark/>
          </w:tcPr>
          <w:p w14:paraId="2206327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chimeric particle</w:t>
            </w:r>
          </w:p>
        </w:tc>
        <w:tc>
          <w:tcPr>
            <w:tcW w:w="0" w:type="auto"/>
            <w:hideMark/>
          </w:tcPr>
          <w:p w14:paraId="62CA725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HTLV-1/hepatitis B virus core (HBc) chimeric particle incorporating the HLA-A*0201-restricted HTLV1 Tax-epitope</w:t>
            </w:r>
          </w:p>
        </w:tc>
        <w:tc>
          <w:tcPr>
            <w:tcW w:w="0" w:type="auto"/>
            <w:hideMark/>
          </w:tcPr>
          <w:p w14:paraId="0B916A8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HTLV-1/HBc chimeric particle (20microg), or Tax11–19 peptide / HBc particle (20microg) and peptide (1microg)</w:t>
            </w:r>
          </w:p>
        </w:tc>
        <w:tc>
          <w:tcPr>
            <w:tcW w:w="0" w:type="auto"/>
            <w:hideMark/>
          </w:tcPr>
          <w:p w14:paraId="64B02DE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pUC18</w:t>
            </w:r>
            <w:r w:rsidRPr="006374D2">
              <w:rPr>
                <w:rFonts w:asciiTheme="minorBidi" w:hAnsiTheme="minorBidi"/>
                <w:sz w:val="12"/>
                <w:szCs w:val="12"/>
              </w:rPr>
              <w:br/>
              <w:t>(The chimeric genes were PCR amplified by using pUC18 DNA vector, the purified PCR product was digested with theappropriate enzymes, and ligated to the BamHI and EcoRI treated P. pastris expression vector, pPIC3.5 (Invitrogen BV, Gronin gen, The Netherlands). The chimeric protein was expressed in P. pastris KM71.</w:t>
            </w:r>
          </w:p>
        </w:tc>
        <w:tc>
          <w:tcPr>
            <w:tcW w:w="0" w:type="auto"/>
            <w:hideMark/>
          </w:tcPr>
          <w:p w14:paraId="55DE02F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intradermally</w:t>
            </w:r>
          </w:p>
        </w:tc>
        <w:tc>
          <w:tcPr>
            <w:tcW w:w="0" w:type="auto"/>
            <w:hideMark/>
          </w:tcPr>
          <w:p w14:paraId="41245D8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days 0 and 14  with HTLV-1/HBc chimeric particle (20 microg), or Tax11–19 peptide</w:t>
            </w:r>
          </w:p>
        </w:tc>
        <w:tc>
          <w:tcPr>
            <w:tcW w:w="0" w:type="auto"/>
            <w:hideMark/>
          </w:tcPr>
          <w:p w14:paraId="2B23D1F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1839C73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ELISPOT, PCR, western blot, FCA, ELISA, enzyme-linked immunospot assay</w:t>
            </w:r>
          </w:p>
        </w:tc>
        <w:tc>
          <w:tcPr>
            <w:tcW w:w="0" w:type="auto"/>
            <w:hideMark/>
          </w:tcPr>
          <w:p w14:paraId="7B9D744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induction of HTLV-1 Tax-specific CD8+ cells from spleen and inguinal lymph nodes after immunization, efficient induction of IFN- -producing cells, antigen-specific gamma-interferon reaction induction, increased expression of CD86, HLA-A02, TLR4 and MHC class II in dendritic cells, HTLV-1-specific CD8+ T-cells induction by peptide with HTLV-1/HBc particle from ATL patient, but not by peptide only,  lysing cell presenting the peptide by HTLV-1-specific CD8+ T-cells</w:t>
            </w:r>
          </w:p>
        </w:tc>
      </w:tr>
      <w:tr w:rsidR="006374D2" w:rsidRPr="006374D2" w14:paraId="76B762A1" w14:textId="77777777" w:rsidTr="006374D2">
        <w:trPr>
          <w:trHeight w:val="1980"/>
        </w:trPr>
        <w:tc>
          <w:tcPr>
            <w:tcW w:w="0" w:type="auto"/>
            <w:hideMark/>
          </w:tcPr>
          <w:p w14:paraId="7532F2A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Kozako, T.</w:t>
            </w:r>
          </w:p>
        </w:tc>
        <w:tc>
          <w:tcPr>
            <w:tcW w:w="0" w:type="auto"/>
            <w:hideMark/>
          </w:tcPr>
          <w:p w14:paraId="3E94BDC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2011</w:t>
            </w:r>
          </w:p>
        </w:tc>
        <w:tc>
          <w:tcPr>
            <w:tcW w:w="0" w:type="auto"/>
            <w:hideMark/>
          </w:tcPr>
          <w:p w14:paraId="6B422B2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647D59A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37E5D67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5</w:t>
            </w:r>
          </w:p>
        </w:tc>
        <w:tc>
          <w:tcPr>
            <w:tcW w:w="0" w:type="auto"/>
            <w:hideMark/>
          </w:tcPr>
          <w:p w14:paraId="0760F81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HLA-A*0201-transgenic mice</w:t>
            </w:r>
          </w:p>
        </w:tc>
        <w:tc>
          <w:tcPr>
            <w:tcW w:w="0" w:type="auto"/>
            <w:hideMark/>
          </w:tcPr>
          <w:p w14:paraId="2E1B071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Oligomannose-coated liposomes</w:t>
            </w:r>
          </w:p>
        </w:tc>
        <w:tc>
          <w:tcPr>
            <w:tcW w:w="0" w:type="auto"/>
            <w:hideMark/>
          </w:tcPr>
          <w:p w14:paraId="5DEBCAA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an HTLV-1-specific CD8+ T-cell response by oligomannose-coated liposomes (OMLs) encapsulating the human leukocyte antigen (HLA)A*0201-restricted HTLV-1 Tax-epitope (OML⁄Tax)</w:t>
            </w:r>
          </w:p>
        </w:tc>
        <w:tc>
          <w:tcPr>
            <w:tcW w:w="0" w:type="auto"/>
            <w:hideMark/>
          </w:tcPr>
          <w:p w14:paraId="39CB606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 microg</w:t>
            </w:r>
          </w:p>
        </w:tc>
        <w:tc>
          <w:tcPr>
            <w:tcW w:w="0" w:type="auto"/>
            <w:hideMark/>
          </w:tcPr>
          <w:p w14:paraId="4A3F596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B552DB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intradermally</w:t>
            </w:r>
          </w:p>
        </w:tc>
        <w:tc>
          <w:tcPr>
            <w:tcW w:w="0" w:type="auto"/>
            <w:hideMark/>
          </w:tcPr>
          <w:p w14:paraId="0DC79DE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days 0 and 14 with OML⁄Tax, Tax peptide alone or phosphate-buffered saline (PBS).</w:t>
            </w:r>
          </w:p>
        </w:tc>
        <w:tc>
          <w:tcPr>
            <w:tcW w:w="0" w:type="auto"/>
            <w:hideMark/>
          </w:tcPr>
          <w:p w14:paraId="3E0140E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OML</w:t>
            </w:r>
          </w:p>
        </w:tc>
        <w:tc>
          <w:tcPr>
            <w:tcW w:w="0" w:type="auto"/>
            <w:hideMark/>
          </w:tcPr>
          <w:p w14:paraId="5124525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ELISPOT, FCM assay</w:t>
            </w:r>
          </w:p>
        </w:tc>
        <w:tc>
          <w:tcPr>
            <w:tcW w:w="0" w:type="auto"/>
            <w:hideMark/>
          </w:tcPr>
          <w:p w14:paraId="7977745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resulted in the efficient induction of IFN-gamma-producing cells, induction of HTLV-1 Tax-specific CD8+ cells from inguinal lymph nodesafter immunization with OML/Tax, increased CD86,MHCI, HLA-A02 and MHCII levels upon exposure of dendritic cells to OML⁄Tax</w:t>
            </w:r>
          </w:p>
        </w:tc>
      </w:tr>
      <w:tr w:rsidR="006374D2" w:rsidRPr="006374D2" w14:paraId="57128257" w14:textId="77777777" w:rsidTr="006374D2">
        <w:trPr>
          <w:trHeight w:val="1845"/>
        </w:trPr>
        <w:tc>
          <w:tcPr>
            <w:tcW w:w="0" w:type="auto"/>
            <w:hideMark/>
          </w:tcPr>
          <w:p w14:paraId="744FB4B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sundaram</w:t>
            </w:r>
          </w:p>
        </w:tc>
        <w:tc>
          <w:tcPr>
            <w:tcW w:w="0" w:type="auto"/>
            <w:hideMark/>
          </w:tcPr>
          <w:p w14:paraId="30D3F46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2004</w:t>
            </w:r>
          </w:p>
        </w:tc>
        <w:tc>
          <w:tcPr>
            <w:tcW w:w="0" w:type="auto"/>
            <w:hideMark/>
          </w:tcPr>
          <w:p w14:paraId="4E53978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USA</w:t>
            </w:r>
          </w:p>
        </w:tc>
        <w:tc>
          <w:tcPr>
            <w:tcW w:w="0" w:type="auto"/>
            <w:hideMark/>
          </w:tcPr>
          <w:p w14:paraId="77E9629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in vivo </w:t>
            </w:r>
          </w:p>
        </w:tc>
        <w:tc>
          <w:tcPr>
            <w:tcW w:w="0" w:type="auto"/>
            <w:hideMark/>
          </w:tcPr>
          <w:p w14:paraId="4F785CC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 rabbits</w:t>
            </w:r>
          </w:p>
        </w:tc>
        <w:tc>
          <w:tcPr>
            <w:tcW w:w="0" w:type="auto"/>
            <w:hideMark/>
          </w:tcPr>
          <w:p w14:paraId="578C060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Female New Zealand outbred white rabbits, female ICR mice (8 weeks)</w:t>
            </w:r>
          </w:p>
        </w:tc>
        <w:tc>
          <w:tcPr>
            <w:tcW w:w="0" w:type="auto"/>
            <w:hideMark/>
          </w:tcPr>
          <w:p w14:paraId="31CF015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peptid vaccine </w:t>
            </w:r>
          </w:p>
        </w:tc>
        <w:tc>
          <w:tcPr>
            <w:tcW w:w="0" w:type="auto"/>
            <w:hideMark/>
          </w:tcPr>
          <w:p w14:paraId="6D72800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chimeric synthetic B-cell epitopes derived from HTLV-1-Env (gp21 and gp46) with promiscuous T-helper epitopes derived either from the tetanus toxoid (amino acids 947–967) or measles virus fusion protein (amino acids 288–302)</w:t>
            </w:r>
          </w:p>
        </w:tc>
        <w:tc>
          <w:tcPr>
            <w:tcW w:w="0" w:type="auto"/>
            <w:hideMark/>
          </w:tcPr>
          <w:p w14:paraId="5CA6733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rabbits:  initial dose (1 mg of the chimeric peptide) + booster  (500 µg of peptide) / mice:  initial dose (100 µg of peptide) + booster (500 µg of peptide)</w:t>
            </w:r>
          </w:p>
        </w:tc>
        <w:tc>
          <w:tcPr>
            <w:tcW w:w="0" w:type="auto"/>
            <w:hideMark/>
          </w:tcPr>
          <w:p w14:paraId="789E194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643DC4D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s.c. in the thigh muscle in 2 rabbits, s.c in mice </w:t>
            </w:r>
          </w:p>
        </w:tc>
        <w:tc>
          <w:tcPr>
            <w:tcW w:w="0" w:type="auto"/>
            <w:hideMark/>
          </w:tcPr>
          <w:p w14:paraId="30B6321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rabbits [initial dose + booster injections every 3–5 weeks apart], mice [initial dose+ booster at 3 and 6 weeks]</w:t>
            </w:r>
          </w:p>
        </w:tc>
        <w:tc>
          <w:tcPr>
            <w:tcW w:w="0" w:type="auto"/>
            <w:hideMark/>
          </w:tcPr>
          <w:p w14:paraId="58AD8EF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nor-MDP adjuvant</w:t>
            </w:r>
          </w:p>
        </w:tc>
        <w:tc>
          <w:tcPr>
            <w:tcW w:w="0" w:type="auto"/>
            <w:hideMark/>
          </w:tcPr>
          <w:p w14:paraId="1551E94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Circular dichroism spectroscopy, computer-aided analyses of protein antigenicity, Syncytia inhibition assay, Flow cytometry, Immunogenicity testing, </w:t>
            </w:r>
          </w:p>
        </w:tc>
        <w:tc>
          <w:tcPr>
            <w:tcW w:w="0" w:type="auto"/>
            <w:hideMark/>
          </w:tcPr>
          <w:p w14:paraId="026E287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Neutralizing Ab against the epitopes derived from the gp21, inhibition the formation of virus-induced syncytia, peptid had secondary structure correlated well with the crystal structure data or predicted structure</w:t>
            </w:r>
          </w:p>
        </w:tc>
      </w:tr>
      <w:tr w:rsidR="006374D2" w:rsidRPr="006374D2" w14:paraId="3C8E5F02" w14:textId="77777777" w:rsidTr="006374D2">
        <w:trPr>
          <w:trHeight w:val="1605"/>
        </w:trPr>
        <w:tc>
          <w:tcPr>
            <w:tcW w:w="0" w:type="auto"/>
            <w:hideMark/>
          </w:tcPr>
          <w:p w14:paraId="7C1F372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Laimore</w:t>
            </w:r>
          </w:p>
        </w:tc>
        <w:tc>
          <w:tcPr>
            <w:tcW w:w="0" w:type="auto"/>
            <w:hideMark/>
          </w:tcPr>
          <w:p w14:paraId="54937AB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1995</w:t>
            </w:r>
          </w:p>
        </w:tc>
        <w:tc>
          <w:tcPr>
            <w:tcW w:w="0" w:type="auto"/>
            <w:hideMark/>
          </w:tcPr>
          <w:p w14:paraId="38D82E2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USA</w:t>
            </w:r>
          </w:p>
        </w:tc>
        <w:tc>
          <w:tcPr>
            <w:tcW w:w="0" w:type="auto"/>
            <w:hideMark/>
          </w:tcPr>
          <w:p w14:paraId="587050C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 and in vitro</w:t>
            </w:r>
          </w:p>
        </w:tc>
        <w:tc>
          <w:tcPr>
            <w:tcW w:w="0" w:type="auto"/>
            <w:hideMark/>
          </w:tcPr>
          <w:p w14:paraId="67D8F49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 mice ( 5 per strain), 20 rabbits</w:t>
            </w:r>
          </w:p>
        </w:tc>
        <w:tc>
          <w:tcPr>
            <w:tcW w:w="0" w:type="auto"/>
            <w:hideMark/>
          </w:tcPr>
          <w:p w14:paraId="092BDAB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Female inbred strains of mice (BALB/c, C3H/HeJ, and C57BL/6) and outbred ICR mice,and  New Zealand White rabbits (12 weeks of age)</w:t>
            </w:r>
          </w:p>
        </w:tc>
        <w:tc>
          <w:tcPr>
            <w:tcW w:w="0" w:type="auto"/>
            <w:hideMark/>
          </w:tcPr>
          <w:p w14:paraId="727339A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peptid vaccine </w:t>
            </w:r>
          </w:p>
        </w:tc>
        <w:tc>
          <w:tcPr>
            <w:tcW w:w="0" w:type="auto"/>
            <w:hideMark/>
          </w:tcPr>
          <w:p w14:paraId="4976E5C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chimeric B- and T-cell epitopes of HTLV-1 env-gp46 (SP2 [aa 86 to 107] and SP4a [aa 190 to 209) with promiscuous T-cell epitopes (from tetanus toxin and MVF protein) </w:t>
            </w:r>
          </w:p>
        </w:tc>
        <w:tc>
          <w:tcPr>
            <w:tcW w:w="0" w:type="auto"/>
            <w:hideMark/>
          </w:tcPr>
          <w:p w14:paraId="715ABD5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primary and booster dose after 3 weeks( 100 micro gr) in mice - primary and booster dose after 2 weeks( 500 micro gr) in rabbits</w:t>
            </w:r>
          </w:p>
        </w:tc>
        <w:tc>
          <w:tcPr>
            <w:tcW w:w="0" w:type="auto"/>
            <w:hideMark/>
          </w:tcPr>
          <w:p w14:paraId="411DB01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vector control protein SJ26</w:t>
            </w:r>
          </w:p>
        </w:tc>
        <w:tc>
          <w:tcPr>
            <w:tcW w:w="0" w:type="auto"/>
            <w:hideMark/>
          </w:tcPr>
          <w:p w14:paraId="2AF8DF9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subcutaneously</w:t>
            </w:r>
          </w:p>
        </w:tc>
        <w:tc>
          <w:tcPr>
            <w:tcW w:w="0" w:type="auto"/>
            <w:hideMark/>
          </w:tcPr>
          <w:p w14:paraId="28A63BA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priming dose and booster after 3 weeks in mice/ 2 weeks in rabbits</w:t>
            </w:r>
          </w:p>
        </w:tc>
        <w:tc>
          <w:tcPr>
            <w:tcW w:w="0" w:type="auto"/>
            <w:hideMark/>
          </w:tcPr>
          <w:p w14:paraId="0C4C794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 not define the adjuvant's name</w:t>
            </w:r>
          </w:p>
        </w:tc>
        <w:tc>
          <w:tcPr>
            <w:tcW w:w="0" w:type="auto"/>
            <w:hideMark/>
          </w:tcPr>
          <w:p w14:paraId="6CD53DF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direct and competitive ELISA, radioimmunoprecipitation assay (RIPA), human osteosarcoma cell-based assay(SIA), syncytium inhibition assay, and antigen-induced lymphocyte proliferation assays</w:t>
            </w:r>
          </w:p>
        </w:tc>
        <w:tc>
          <w:tcPr>
            <w:tcW w:w="0" w:type="auto"/>
            <w:hideMark/>
          </w:tcPr>
          <w:p w14:paraId="4BB6BD7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Ab production, inhibiton of HTLV-1-mediated syncytium formation, induction of lymphocyte proliferation in response to SP4a in mice, promotion of virus-specific helper T-cell responses</w:t>
            </w:r>
          </w:p>
        </w:tc>
      </w:tr>
      <w:tr w:rsidR="006374D2" w:rsidRPr="006374D2" w14:paraId="4FCC190B" w14:textId="77777777" w:rsidTr="006374D2">
        <w:trPr>
          <w:trHeight w:val="1399"/>
        </w:trPr>
        <w:tc>
          <w:tcPr>
            <w:tcW w:w="0" w:type="auto"/>
            <w:hideMark/>
          </w:tcPr>
          <w:p w14:paraId="3CDFAA1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shafifar </w:t>
            </w:r>
          </w:p>
        </w:tc>
        <w:tc>
          <w:tcPr>
            <w:tcW w:w="0" w:type="auto"/>
            <w:hideMark/>
          </w:tcPr>
          <w:p w14:paraId="6B8D107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2022</w:t>
            </w:r>
          </w:p>
        </w:tc>
        <w:tc>
          <w:tcPr>
            <w:tcW w:w="0" w:type="auto"/>
            <w:hideMark/>
          </w:tcPr>
          <w:p w14:paraId="1DBCA1F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Iran</w:t>
            </w:r>
          </w:p>
        </w:tc>
        <w:tc>
          <w:tcPr>
            <w:tcW w:w="0" w:type="auto"/>
            <w:hideMark/>
          </w:tcPr>
          <w:p w14:paraId="689E04D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 and in vitro</w:t>
            </w:r>
          </w:p>
        </w:tc>
        <w:tc>
          <w:tcPr>
            <w:tcW w:w="0" w:type="auto"/>
            <w:hideMark/>
          </w:tcPr>
          <w:p w14:paraId="112CF8A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15</w:t>
            </w:r>
          </w:p>
        </w:tc>
        <w:tc>
          <w:tcPr>
            <w:tcW w:w="0" w:type="auto"/>
            <w:hideMark/>
          </w:tcPr>
          <w:p w14:paraId="054C409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male 6 to 8 weeks pathogen-free BALB/c mice</w:t>
            </w:r>
          </w:p>
        </w:tc>
        <w:tc>
          <w:tcPr>
            <w:tcW w:w="0" w:type="auto"/>
            <w:hideMark/>
          </w:tcPr>
          <w:p w14:paraId="5956A87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recombinant  protein</w:t>
            </w:r>
          </w:p>
        </w:tc>
        <w:tc>
          <w:tcPr>
            <w:tcW w:w="0" w:type="auto"/>
            <w:hideMark/>
          </w:tcPr>
          <w:p w14:paraId="6C8A8FC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Fc-fusion multi-immunodominant recombinant protein (Tax-Env: mFcγ2a and Tax-Env: His )</w:t>
            </w:r>
          </w:p>
        </w:tc>
        <w:tc>
          <w:tcPr>
            <w:tcW w:w="0" w:type="auto"/>
            <w:hideMark/>
          </w:tcPr>
          <w:p w14:paraId="1ABA093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 Six mice received 50 μg of tTax-tEnv:mFcγ2a in 100 μL PBS + 100 μL of DDA adjuvant /2) Four mice, 50 μg of tTax-tEnv:His in 100 μL of PBS +100 μL of DDA adjuvant / 3) Five mice, 200 μL of PBS (negative control)</w:t>
            </w:r>
          </w:p>
        </w:tc>
        <w:tc>
          <w:tcPr>
            <w:tcW w:w="0" w:type="auto"/>
            <w:hideMark/>
          </w:tcPr>
          <w:p w14:paraId="6DFFCFF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pPICZaA vector</w:t>
            </w:r>
          </w:p>
        </w:tc>
        <w:tc>
          <w:tcPr>
            <w:tcW w:w="0" w:type="auto"/>
            <w:hideMark/>
          </w:tcPr>
          <w:p w14:paraId="09D9A91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intraperitoneal</w:t>
            </w:r>
          </w:p>
        </w:tc>
        <w:tc>
          <w:tcPr>
            <w:tcW w:w="0" w:type="auto"/>
            <w:hideMark/>
          </w:tcPr>
          <w:p w14:paraId="7E38D57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T200 μL/mouse thrice at two-week intervals (0, 14th, and 28th days) </w:t>
            </w:r>
          </w:p>
        </w:tc>
        <w:tc>
          <w:tcPr>
            <w:tcW w:w="0" w:type="auto"/>
            <w:hideMark/>
          </w:tcPr>
          <w:p w14:paraId="6561DE3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Dimethyl dioctadecyl ammonium bromide (DDA)</w:t>
            </w:r>
          </w:p>
        </w:tc>
        <w:tc>
          <w:tcPr>
            <w:tcW w:w="0" w:type="auto"/>
            <w:hideMark/>
          </w:tcPr>
          <w:p w14:paraId="7697CA5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SDS-PAGE , Western blot, real time PCR</w:t>
            </w:r>
          </w:p>
        </w:tc>
        <w:tc>
          <w:tcPr>
            <w:tcW w:w="0" w:type="auto"/>
            <w:hideMark/>
          </w:tcPr>
          <w:p w14:paraId="383B237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significant increase in IFN-γ and IL-12 release in response to Tax-Env: mFcγ2a compared to Tax-Env: His,  50% low proviral load of  HTLV-1 and 50% complete protection in challenged mice,  more Th1 immune responses in response to "Tax-Env: mFcγ2a”, more Th2  immune responses in response to “Tax-Env: His”</w:t>
            </w:r>
          </w:p>
        </w:tc>
      </w:tr>
      <w:tr w:rsidR="006374D2" w:rsidRPr="006374D2" w14:paraId="39F05B15" w14:textId="77777777" w:rsidTr="006374D2">
        <w:trPr>
          <w:trHeight w:val="3480"/>
        </w:trPr>
        <w:tc>
          <w:tcPr>
            <w:tcW w:w="0" w:type="auto"/>
            <w:hideMark/>
          </w:tcPr>
          <w:p w14:paraId="63E9972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br/>
              <w:t>Jahantigh</w:t>
            </w:r>
          </w:p>
        </w:tc>
        <w:tc>
          <w:tcPr>
            <w:tcW w:w="0" w:type="auto"/>
            <w:hideMark/>
          </w:tcPr>
          <w:p w14:paraId="1358C36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2021</w:t>
            </w:r>
          </w:p>
        </w:tc>
        <w:tc>
          <w:tcPr>
            <w:tcW w:w="0" w:type="auto"/>
            <w:hideMark/>
          </w:tcPr>
          <w:p w14:paraId="4F4D398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Iran</w:t>
            </w:r>
          </w:p>
        </w:tc>
        <w:tc>
          <w:tcPr>
            <w:tcW w:w="0" w:type="auto"/>
            <w:hideMark/>
          </w:tcPr>
          <w:p w14:paraId="60A40A1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silico</w:t>
            </w:r>
          </w:p>
        </w:tc>
        <w:tc>
          <w:tcPr>
            <w:tcW w:w="0" w:type="auto"/>
            <w:hideMark/>
          </w:tcPr>
          <w:p w14:paraId="1022FFD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9BE013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941B5E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epitope-based vaccine</w:t>
            </w:r>
          </w:p>
        </w:tc>
        <w:tc>
          <w:tcPr>
            <w:tcW w:w="0" w:type="auto"/>
            <w:hideMark/>
          </w:tcPr>
          <w:p w14:paraId="68ED5D9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eight-epitopes-rich domain, including overlapping epitopes detected on both B and T cells constructed of Gag, Env, Pol, Hbz, and Tax proteins</w:t>
            </w:r>
          </w:p>
        </w:tc>
        <w:tc>
          <w:tcPr>
            <w:tcW w:w="0" w:type="auto"/>
            <w:hideMark/>
          </w:tcPr>
          <w:p w14:paraId="752BC2D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ADDB3C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pET28a (þ) vector</w:t>
            </w:r>
          </w:p>
        </w:tc>
        <w:tc>
          <w:tcPr>
            <w:tcW w:w="0" w:type="auto"/>
            <w:hideMark/>
          </w:tcPr>
          <w:p w14:paraId="1646A9D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FEE811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6BDA022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590722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antigen prediction, Mapping, 3D Structure modeling, Homology modeling, Antigenicity and allergenicity and solubility and other physicochemical parameters evaluation, structure prediction, In silico cloning, Immune simulation, peptide–allele docking</w:t>
            </w:r>
          </w:p>
        </w:tc>
        <w:tc>
          <w:tcPr>
            <w:tcW w:w="0" w:type="auto"/>
            <w:hideMark/>
          </w:tcPr>
          <w:p w14:paraId="3176E9B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interaction of the epitope and the designed protein with immune receptors(in silico docking), strong interaction of O2 epitope and D8 protein with immune receptors especially the HLAA 02:01 receptor, stability of the interactions for 100 ns(molecular dynamic ), root mean square deviation, radius of gyration, hydrogen bonds, and solvent-accessible surface area were calculated for the 100 ns, humoral and cell-mediated immune responses elicited</w:t>
            </w:r>
          </w:p>
        </w:tc>
      </w:tr>
      <w:tr w:rsidR="006374D2" w:rsidRPr="006374D2" w14:paraId="599BC356" w14:textId="77777777" w:rsidTr="006374D2">
        <w:trPr>
          <w:trHeight w:val="1920"/>
        </w:trPr>
        <w:tc>
          <w:tcPr>
            <w:tcW w:w="0" w:type="auto"/>
            <w:hideMark/>
          </w:tcPr>
          <w:p w14:paraId="54E3136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Alam</w:t>
            </w:r>
          </w:p>
        </w:tc>
        <w:tc>
          <w:tcPr>
            <w:tcW w:w="0" w:type="auto"/>
            <w:hideMark/>
          </w:tcPr>
          <w:p w14:paraId="266C9AB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2020</w:t>
            </w:r>
          </w:p>
        </w:tc>
        <w:tc>
          <w:tcPr>
            <w:tcW w:w="0" w:type="auto"/>
            <w:hideMark/>
          </w:tcPr>
          <w:p w14:paraId="2F78CDE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Bangladesh</w:t>
            </w:r>
          </w:p>
        </w:tc>
        <w:tc>
          <w:tcPr>
            <w:tcW w:w="0" w:type="auto"/>
            <w:hideMark/>
          </w:tcPr>
          <w:p w14:paraId="487EF15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silico</w:t>
            </w:r>
          </w:p>
        </w:tc>
        <w:tc>
          <w:tcPr>
            <w:tcW w:w="0" w:type="auto"/>
            <w:hideMark/>
          </w:tcPr>
          <w:p w14:paraId="48FCED0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A1DB9E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51727C2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Epitope Ensemble Vaccine</w:t>
            </w:r>
          </w:p>
        </w:tc>
        <w:tc>
          <w:tcPr>
            <w:tcW w:w="0" w:type="auto"/>
            <w:hideMark/>
          </w:tcPr>
          <w:p w14:paraId="3011FA2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prediction of 14 epitopes for targeting Glycoprotein 62</w:t>
            </w:r>
          </w:p>
        </w:tc>
        <w:tc>
          <w:tcPr>
            <w:tcW w:w="0" w:type="auto"/>
            <w:hideMark/>
          </w:tcPr>
          <w:p w14:paraId="3CB75C8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61665CA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EFD147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3E06C9A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57232B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910F27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Variability Analysis of GP62 of HTLV-1, Population Protection Coverage (PPC) Calculation, HLA-Epitope Binding Prediction, Molecular Dynamics Simulation, Prediction ofB-Cell Epitope, </w:t>
            </w:r>
          </w:p>
        </w:tc>
        <w:tc>
          <w:tcPr>
            <w:tcW w:w="0" w:type="auto"/>
            <w:hideMark/>
          </w:tcPr>
          <w:p w14:paraId="0A32CAD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ALQTGITLV and VPSSSTPL epitopes interaction with three MHC alleles ( including HLA-A*02:03, and HLA-B*35:01, respectively ), 70% summative population protection coverage</w:t>
            </w:r>
          </w:p>
        </w:tc>
      </w:tr>
      <w:tr w:rsidR="006374D2" w:rsidRPr="006374D2" w14:paraId="2686A72D" w14:textId="77777777" w:rsidTr="006374D2">
        <w:trPr>
          <w:trHeight w:val="2445"/>
        </w:trPr>
        <w:tc>
          <w:tcPr>
            <w:tcW w:w="0" w:type="auto"/>
            <w:hideMark/>
          </w:tcPr>
          <w:p w14:paraId="47A1AD6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Raza</w:t>
            </w:r>
          </w:p>
        </w:tc>
        <w:tc>
          <w:tcPr>
            <w:tcW w:w="0" w:type="auto"/>
            <w:hideMark/>
          </w:tcPr>
          <w:p w14:paraId="20864F9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2021</w:t>
            </w:r>
          </w:p>
        </w:tc>
        <w:tc>
          <w:tcPr>
            <w:tcW w:w="0" w:type="auto"/>
            <w:hideMark/>
          </w:tcPr>
          <w:p w14:paraId="5BA8216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Bangladesh</w:t>
            </w:r>
          </w:p>
        </w:tc>
        <w:tc>
          <w:tcPr>
            <w:tcW w:w="0" w:type="auto"/>
            <w:hideMark/>
          </w:tcPr>
          <w:p w14:paraId="5C166C8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silico</w:t>
            </w:r>
          </w:p>
        </w:tc>
        <w:tc>
          <w:tcPr>
            <w:tcW w:w="0" w:type="auto"/>
            <w:hideMark/>
          </w:tcPr>
          <w:p w14:paraId="634F019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68FBCED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1F3A428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Epitope-based universal vaccine</w:t>
            </w:r>
          </w:p>
        </w:tc>
        <w:tc>
          <w:tcPr>
            <w:tcW w:w="0" w:type="auto"/>
            <w:hideMark/>
          </w:tcPr>
          <w:p w14:paraId="19161E2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predicting HTLV-1 TAX multiepitope protein constructed from CTL and B cell epitopes</w:t>
            </w:r>
          </w:p>
        </w:tc>
        <w:tc>
          <w:tcPr>
            <w:tcW w:w="0" w:type="auto"/>
            <w:hideMark/>
          </w:tcPr>
          <w:p w14:paraId="008F054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09CB139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pET-SUMO vector</w:t>
            </w:r>
          </w:p>
        </w:tc>
        <w:tc>
          <w:tcPr>
            <w:tcW w:w="0" w:type="auto"/>
            <w:hideMark/>
          </w:tcPr>
          <w:p w14:paraId="4EBC7A8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FB5622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5C8235F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PMISWPCPKD  peptid adjuvant</w:t>
            </w:r>
          </w:p>
        </w:tc>
        <w:tc>
          <w:tcPr>
            <w:tcW w:w="0" w:type="auto"/>
            <w:hideMark/>
          </w:tcPr>
          <w:p w14:paraId="0A5C7A5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Primary, secondary, tertiary and 3-D structure analysis, B- and T-cell epitope prediction, molecular docking analysis, Disulfide engineering, in silico cloning, </w:t>
            </w:r>
          </w:p>
        </w:tc>
        <w:tc>
          <w:tcPr>
            <w:tcW w:w="0" w:type="auto"/>
            <w:hideMark/>
          </w:tcPr>
          <w:p w14:paraId="18CDB43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most antigenic score of 0.57, strong T cell epitopes interaction with HLA-A*0201, high binding affinity of the vaccine construct for TLR4 (in molecular docking study), most antigenic and immunogenic epitopes in in-silico investigation: B cell epitopes (KEADDNDHEPQISPGGLEPPSEKHFR and DGTPMISGPCPKDGQPS spanning from 324–349 and 252–268 respectively); T cell epitopes (LLFGYPVYV, ITWPLLPHV and GLLPFHSTL ranging from 11–19, 163–171 and 233–241)</w:t>
            </w:r>
          </w:p>
        </w:tc>
      </w:tr>
      <w:tr w:rsidR="006374D2" w:rsidRPr="006374D2" w14:paraId="4A8F7ED4" w14:textId="77777777" w:rsidTr="006374D2">
        <w:trPr>
          <w:trHeight w:val="3015"/>
        </w:trPr>
        <w:tc>
          <w:tcPr>
            <w:tcW w:w="0" w:type="auto"/>
            <w:hideMark/>
          </w:tcPr>
          <w:p w14:paraId="16C827F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Tariq</w:t>
            </w:r>
          </w:p>
        </w:tc>
        <w:tc>
          <w:tcPr>
            <w:tcW w:w="0" w:type="auto"/>
            <w:hideMark/>
          </w:tcPr>
          <w:p w14:paraId="17B2E90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2021</w:t>
            </w:r>
          </w:p>
        </w:tc>
        <w:tc>
          <w:tcPr>
            <w:tcW w:w="0" w:type="auto"/>
            <w:hideMark/>
          </w:tcPr>
          <w:p w14:paraId="45A3974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Pakistan</w:t>
            </w:r>
          </w:p>
        </w:tc>
        <w:tc>
          <w:tcPr>
            <w:tcW w:w="0" w:type="auto"/>
            <w:hideMark/>
          </w:tcPr>
          <w:p w14:paraId="2FEE51E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silico</w:t>
            </w:r>
          </w:p>
        </w:tc>
        <w:tc>
          <w:tcPr>
            <w:tcW w:w="0" w:type="auto"/>
            <w:hideMark/>
          </w:tcPr>
          <w:p w14:paraId="64CA15F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37B8896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3D7C1FD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multi-epitope-based subunit vaccine </w:t>
            </w:r>
          </w:p>
        </w:tc>
        <w:tc>
          <w:tcPr>
            <w:tcW w:w="0" w:type="auto"/>
            <w:hideMark/>
          </w:tcPr>
          <w:p w14:paraId="5DDF4D4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9 Cytotoxic T Lymphocytes, 6 Helper T Lymphocytes and 5 Linear B Lymphocytes epitopes, joint through linkers and adjuvant </w:t>
            </w:r>
          </w:p>
        </w:tc>
        <w:tc>
          <w:tcPr>
            <w:tcW w:w="0" w:type="auto"/>
            <w:hideMark/>
          </w:tcPr>
          <w:p w14:paraId="5AA3AD0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5430B28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pET30a vector</w:t>
            </w:r>
          </w:p>
        </w:tc>
        <w:tc>
          <w:tcPr>
            <w:tcW w:w="0" w:type="auto"/>
            <w:hideMark/>
          </w:tcPr>
          <w:p w14:paraId="6B3E344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C690B1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4DC710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β-defensin adjuvant</w:t>
            </w:r>
          </w:p>
        </w:tc>
        <w:tc>
          <w:tcPr>
            <w:tcW w:w="0" w:type="auto"/>
            <w:hideMark/>
          </w:tcPr>
          <w:p w14:paraId="47EA539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Conservation analysis and selection of predicted epitopes, Epitope modeling and molecular docking, homology analysis, Disulphide engineering , In-silico estimation and cloning, </w:t>
            </w:r>
          </w:p>
        </w:tc>
        <w:tc>
          <w:tcPr>
            <w:tcW w:w="0" w:type="auto"/>
            <w:hideMark/>
          </w:tcPr>
          <w:p w14:paraId="0396C85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strong binding affinity with their corresponding Human Leukocyte Antigen alleles, 95.8% coverage of the world’s population, highly antigenic properties while being non-toxic, soluble, non-allergenic, and stable in nature, enhanced stability via  disulphide engineering, strong association between vaccine construct and human pathogenic immune receptor TLR3 (in Molecular docking analysis and Molecular Dynamics (MD)), rapid antigen clearance and higher levels of cell-mediated immunity in response to repeated-exposure and immune simulations, respectively.</w:t>
            </w:r>
          </w:p>
        </w:tc>
      </w:tr>
      <w:tr w:rsidR="006374D2" w:rsidRPr="006374D2" w14:paraId="1A30C215" w14:textId="77777777" w:rsidTr="006374D2">
        <w:trPr>
          <w:trHeight w:val="1845"/>
        </w:trPr>
        <w:tc>
          <w:tcPr>
            <w:tcW w:w="0" w:type="auto"/>
            <w:hideMark/>
          </w:tcPr>
          <w:p w14:paraId="7E0155B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Pandey</w:t>
            </w:r>
          </w:p>
        </w:tc>
        <w:tc>
          <w:tcPr>
            <w:tcW w:w="0" w:type="auto"/>
            <w:hideMark/>
          </w:tcPr>
          <w:p w14:paraId="1442515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2019</w:t>
            </w:r>
          </w:p>
        </w:tc>
        <w:tc>
          <w:tcPr>
            <w:tcW w:w="0" w:type="auto"/>
            <w:hideMark/>
          </w:tcPr>
          <w:p w14:paraId="4F37DDE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India</w:t>
            </w:r>
          </w:p>
        </w:tc>
        <w:tc>
          <w:tcPr>
            <w:tcW w:w="0" w:type="auto"/>
            <w:hideMark/>
          </w:tcPr>
          <w:p w14:paraId="2D4902E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silico</w:t>
            </w:r>
          </w:p>
        </w:tc>
        <w:tc>
          <w:tcPr>
            <w:tcW w:w="0" w:type="auto"/>
            <w:hideMark/>
          </w:tcPr>
          <w:p w14:paraId="6501D1F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11E05CA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674F326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multiepitope subunit vaccine</w:t>
            </w:r>
          </w:p>
        </w:tc>
        <w:tc>
          <w:tcPr>
            <w:tcW w:w="0" w:type="auto"/>
            <w:hideMark/>
          </w:tcPr>
          <w:p w14:paraId="644E95E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vaccine by the assimilation of B</w:t>
            </w:r>
            <w:r w:rsidRPr="006374D2">
              <w:rPr>
                <w:rFonts w:ascii="Cambria Math" w:hAnsi="Cambria Math" w:cs="Cambria Math"/>
                <w:sz w:val="12"/>
                <w:szCs w:val="12"/>
              </w:rPr>
              <w:t>‐</w:t>
            </w:r>
            <w:r w:rsidRPr="006374D2">
              <w:rPr>
                <w:rFonts w:asciiTheme="minorBidi" w:hAnsiTheme="minorBidi"/>
                <w:sz w:val="12"/>
                <w:szCs w:val="12"/>
              </w:rPr>
              <w:t>cell, CTL , and HTL epitopes for GAG, POL, ENV, P12, P13, P30, REX, and TAX proteins</w:t>
            </w:r>
          </w:p>
        </w:tc>
        <w:tc>
          <w:tcPr>
            <w:tcW w:w="0" w:type="auto"/>
            <w:hideMark/>
          </w:tcPr>
          <w:p w14:paraId="35D9A6F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9E8439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pET28a(+) expression vector</w:t>
            </w:r>
          </w:p>
        </w:tc>
        <w:tc>
          <w:tcPr>
            <w:tcW w:w="0" w:type="auto"/>
            <w:hideMark/>
          </w:tcPr>
          <w:p w14:paraId="5E754E6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554E4DF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3812CB1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β-defensin adjuvant</w:t>
            </w:r>
          </w:p>
        </w:tc>
        <w:tc>
          <w:tcPr>
            <w:tcW w:w="0" w:type="auto"/>
            <w:hideMark/>
          </w:tcPr>
          <w:p w14:paraId="4404EAB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B</w:t>
            </w:r>
            <w:r w:rsidRPr="006374D2">
              <w:rPr>
                <w:rFonts w:ascii="Cambria Math" w:hAnsi="Cambria Math" w:cs="Cambria Math"/>
                <w:sz w:val="12"/>
                <w:szCs w:val="12"/>
              </w:rPr>
              <w:t>‐</w:t>
            </w:r>
            <w:r w:rsidRPr="006374D2">
              <w:rPr>
                <w:rFonts w:asciiTheme="minorBidi" w:hAnsiTheme="minorBidi"/>
                <w:sz w:val="12"/>
                <w:szCs w:val="12"/>
              </w:rPr>
              <w:t>cell, Helper T</w:t>
            </w:r>
            <w:r w:rsidRPr="006374D2">
              <w:rPr>
                <w:rFonts w:ascii="Cambria Math" w:hAnsi="Cambria Math" w:cs="Cambria Math"/>
                <w:sz w:val="12"/>
                <w:szCs w:val="12"/>
              </w:rPr>
              <w:t>‐</w:t>
            </w:r>
            <w:r w:rsidRPr="006374D2">
              <w:rPr>
                <w:rFonts w:asciiTheme="minorBidi" w:hAnsiTheme="minorBidi"/>
                <w:sz w:val="12"/>
                <w:szCs w:val="12"/>
              </w:rPr>
              <w:t>cell (HTL), and Cytotoxic T</w:t>
            </w:r>
            <w:r w:rsidRPr="006374D2">
              <w:rPr>
                <w:rFonts w:ascii="Cambria Math" w:hAnsi="Cambria Math" w:cs="Cambria Math"/>
                <w:sz w:val="12"/>
                <w:szCs w:val="12"/>
              </w:rPr>
              <w:t>‐</w:t>
            </w:r>
            <w:r w:rsidRPr="006374D2">
              <w:rPr>
                <w:rFonts w:asciiTheme="minorBidi" w:hAnsiTheme="minorBidi"/>
                <w:sz w:val="12"/>
                <w:szCs w:val="12"/>
              </w:rPr>
              <w:t>cell (CTL) epitope prediction, Tertiary structure prediction, Molecular docking, in silico cloning</w:t>
            </w:r>
          </w:p>
        </w:tc>
        <w:tc>
          <w:tcPr>
            <w:tcW w:w="0" w:type="auto"/>
            <w:hideMark/>
          </w:tcPr>
          <w:p w14:paraId="0BAD80B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interactions with the HLA-A0201, HLA-A0701 and HLA-A0301 receptors, Strong interaction with TLR-3 </w:t>
            </w:r>
          </w:p>
        </w:tc>
      </w:tr>
      <w:tr w:rsidR="006374D2" w:rsidRPr="006374D2" w14:paraId="7CD41241" w14:textId="77777777" w:rsidTr="006374D2">
        <w:trPr>
          <w:trHeight w:val="2925"/>
        </w:trPr>
        <w:tc>
          <w:tcPr>
            <w:tcW w:w="0" w:type="auto"/>
            <w:hideMark/>
          </w:tcPr>
          <w:p w14:paraId="5B9256E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Mulherkar</w:t>
            </w:r>
          </w:p>
        </w:tc>
        <w:tc>
          <w:tcPr>
            <w:tcW w:w="0" w:type="auto"/>
            <w:hideMark/>
          </w:tcPr>
          <w:p w14:paraId="181D9DE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2018</w:t>
            </w:r>
          </w:p>
        </w:tc>
        <w:tc>
          <w:tcPr>
            <w:tcW w:w="0" w:type="auto"/>
            <w:hideMark/>
          </w:tcPr>
          <w:p w14:paraId="433ED47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USA</w:t>
            </w:r>
          </w:p>
        </w:tc>
        <w:tc>
          <w:tcPr>
            <w:tcW w:w="0" w:type="auto"/>
            <w:hideMark/>
          </w:tcPr>
          <w:p w14:paraId="5C6AED7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in vivo and in vitro </w:t>
            </w:r>
          </w:p>
        </w:tc>
        <w:tc>
          <w:tcPr>
            <w:tcW w:w="0" w:type="auto"/>
            <w:hideMark/>
          </w:tcPr>
          <w:p w14:paraId="0D24EC9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5C940D3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Six to eight-week old female HLA-A2 transgenic mice / Cell lines for in vitro investigations: HepG2, hepatoma cells, MT2, HTLV-1 virion expressing cells, and T2, TAP </w:t>
            </w:r>
            <w:r w:rsidRPr="006374D2">
              <w:rPr>
                <w:rFonts w:asciiTheme="minorBidi" w:hAnsiTheme="minorBidi"/>
                <w:sz w:val="12"/>
                <w:szCs w:val="12"/>
              </w:rPr>
              <w:lastRenderedPageBreak/>
              <w:t>deficient lymphoblasts</w:t>
            </w:r>
          </w:p>
        </w:tc>
        <w:tc>
          <w:tcPr>
            <w:tcW w:w="0" w:type="auto"/>
            <w:hideMark/>
          </w:tcPr>
          <w:p w14:paraId="36CC5DC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 xml:space="preserve">peptid vaccine </w:t>
            </w:r>
          </w:p>
        </w:tc>
        <w:tc>
          <w:tcPr>
            <w:tcW w:w="0" w:type="auto"/>
            <w:hideMark/>
          </w:tcPr>
          <w:p w14:paraId="5935C6B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MHC-I-bound HTLV-1 peptides </w:t>
            </w:r>
          </w:p>
        </w:tc>
        <w:tc>
          <w:tcPr>
            <w:tcW w:w="0" w:type="auto"/>
            <w:hideMark/>
          </w:tcPr>
          <w:p w14:paraId="7F14981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541BAD1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4CCBD4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interadermal near the base of the tail and subcutaneous on the flank</w:t>
            </w:r>
          </w:p>
        </w:tc>
        <w:tc>
          <w:tcPr>
            <w:tcW w:w="0" w:type="auto"/>
            <w:hideMark/>
          </w:tcPr>
          <w:p w14:paraId="7D86FA4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Three injections: initial inoculation (consisted of a mixture of pooled free peptide in PBS plus Montanide ISA 51 (Seppic, Paris, France) (50:50 emulsion), PBS alone, or two </w:t>
            </w:r>
            <w:r w:rsidRPr="006374D2">
              <w:rPr>
                <w:rFonts w:asciiTheme="minorBidi" w:hAnsiTheme="minorBidi"/>
                <w:sz w:val="12"/>
                <w:szCs w:val="12"/>
              </w:rPr>
              <w:lastRenderedPageBreak/>
              <w:t>independent, individual free peptide in PBS plus Montanide ISA 51 (50:50 emulsion)) + repeated two more times at 10-day intervals)</w:t>
            </w:r>
          </w:p>
        </w:tc>
        <w:tc>
          <w:tcPr>
            <w:tcW w:w="0" w:type="auto"/>
            <w:hideMark/>
          </w:tcPr>
          <w:p w14:paraId="3E3D592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Montanide ISV-51 adjuvant</w:t>
            </w:r>
          </w:p>
        </w:tc>
        <w:tc>
          <w:tcPr>
            <w:tcW w:w="0" w:type="auto"/>
            <w:hideMark/>
          </w:tcPr>
          <w:p w14:paraId="5293014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Degranulation assay, CD8+ T-cell killing assay, Mass spectrometry analysis, Flow cytometry analysis, ELISpot assays, MagPix cytokine detection, </w:t>
            </w:r>
          </w:p>
        </w:tc>
        <w:tc>
          <w:tcPr>
            <w:tcW w:w="0" w:type="auto"/>
            <w:hideMark/>
          </w:tcPr>
          <w:p w14:paraId="6CA4797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confirmation of six novel MHC-I restricted epitopes capable of binding HLA-A2 and HLA-A24 alleles, generation of CD8+ T cells specific for each of these peptides, generation of epitope-specific CD8+ T cells secreted IFN-γ, granzyme B, MIP-1α, TNF-α, perforin and IL-10  in the presence of MT-2 cell line in vitro, cytotoxic response through surface expression of CD107 on CD8+ T cells when cultured with MT-2 cells, significant antiviral activity of CD8+ T cells specific against all identified peptides, In vivo </w:t>
            </w:r>
            <w:r w:rsidRPr="006374D2">
              <w:rPr>
                <w:rFonts w:asciiTheme="minorBidi" w:hAnsiTheme="minorBidi"/>
                <w:sz w:val="12"/>
                <w:szCs w:val="12"/>
              </w:rPr>
              <w:lastRenderedPageBreak/>
              <w:t>generation of  CD8+ T cells similarly demonstrated immunogenicity on ELISpot, CD107 degranulation assay, and MagPix MILLIPLEX analysis</w:t>
            </w:r>
          </w:p>
        </w:tc>
      </w:tr>
      <w:tr w:rsidR="006374D2" w:rsidRPr="006374D2" w14:paraId="0F0DD3C3" w14:textId="77777777" w:rsidTr="006374D2">
        <w:trPr>
          <w:trHeight w:val="1399"/>
        </w:trPr>
        <w:tc>
          <w:tcPr>
            <w:tcW w:w="0" w:type="auto"/>
            <w:hideMark/>
          </w:tcPr>
          <w:p w14:paraId="6ECD53F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Kobayashi</w:t>
            </w:r>
          </w:p>
        </w:tc>
        <w:tc>
          <w:tcPr>
            <w:tcW w:w="0" w:type="auto"/>
            <w:hideMark/>
          </w:tcPr>
          <w:p w14:paraId="561A99B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2012</w:t>
            </w:r>
          </w:p>
        </w:tc>
        <w:tc>
          <w:tcPr>
            <w:tcW w:w="0" w:type="auto"/>
            <w:hideMark/>
          </w:tcPr>
          <w:p w14:paraId="55881F3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Florida</w:t>
            </w:r>
          </w:p>
        </w:tc>
        <w:tc>
          <w:tcPr>
            <w:tcW w:w="0" w:type="auto"/>
            <w:hideMark/>
          </w:tcPr>
          <w:p w14:paraId="6221F54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vitro</w:t>
            </w:r>
          </w:p>
        </w:tc>
        <w:tc>
          <w:tcPr>
            <w:tcW w:w="0" w:type="auto"/>
            <w:hideMark/>
          </w:tcPr>
          <w:p w14:paraId="4BCC0B3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6DD66BE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Cell lines: EBV-LCLs, Mouse fibroblast cell lines (L cells), HTLV-1 infected T cell lymphoma cell lines, TL-Su, TCL-Kan,OKM-2T, Hut102, TL-Hir, Jurkat T cell lymphoma cell line, prostate tumor cell line PC3, and PBMCs</w:t>
            </w:r>
          </w:p>
        </w:tc>
        <w:tc>
          <w:tcPr>
            <w:tcW w:w="0" w:type="auto"/>
            <w:hideMark/>
          </w:tcPr>
          <w:p w14:paraId="55F68EF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HLA-DR-bound peptide from the IL-9 receptor alpha of HTLV-1-transformed T cells</w:t>
            </w:r>
          </w:p>
        </w:tc>
        <w:tc>
          <w:tcPr>
            <w:tcW w:w="0" w:type="auto"/>
            <w:hideMark/>
          </w:tcPr>
          <w:p w14:paraId="6ED7013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synthetic peptide corresponding to the identified IL-9Ra sequence</w:t>
            </w:r>
          </w:p>
        </w:tc>
        <w:tc>
          <w:tcPr>
            <w:tcW w:w="0" w:type="auto"/>
            <w:hideMark/>
          </w:tcPr>
          <w:p w14:paraId="4956FF1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983DF5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31C780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363599C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15A57F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1EC85C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Purification of HLA-DR molecules, Preparation of bound peptides, Binding assay, Western blot analyses, Cell-mediated cytotoxicity assays, </w:t>
            </w:r>
          </w:p>
        </w:tc>
        <w:tc>
          <w:tcPr>
            <w:tcW w:w="0" w:type="auto"/>
            <w:hideMark/>
          </w:tcPr>
          <w:p w14:paraId="29D5EDB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antigen-specific CD4 helper T lymphocytes generation (in vitro) restricted by HLA-DR15 or HLA-DR53 molecules with recognizing and killing ability of HTLV-1+, IL-9Ra+ T cell lymphoma cells</w:t>
            </w:r>
          </w:p>
        </w:tc>
      </w:tr>
      <w:tr w:rsidR="006374D2" w:rsidRPr="006374D2" w14:paraId="49FB1ACE" w14:textId="77777777" w:rsidTr="006374D2">
        <w:trPr>
          <w:trHeight w:val="1399"/>
        </w:trPr>
        <w:tc>
          <w:tcPr>
            <w:tcW w:w="0" w:type="auto"/>
            <w:hideMark/>
          </w:tcPr>
          <w:p w14:paraId="2081957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Kobayashi</w:t>
            </w:r>
          </w:p>
        </w:tc>
        <w:tc>
          <w:tcPr>
            <w:tcW w:w="0" w:type="auto"/>
            <w:hideMark/>
          </w:tcPr>
          <w:p w14:paraId="2650B85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2006</w:t>
            </w:r>
          </w:p>
        </w:tc>
        <w:tc>
          <w:tcPr>
            <w:tcW w:w="0" w:type="auto"/>
            <w:hideMark/>
          </w:tcPr>
          <w:p w14:paraId="01BD034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Florida</w:t>
            </w:r>
          </w:p>
        </w:tc>
        <w:tc>
          <w:tcPr>
            <w:tcW w:w="0" w:type="auto"/>
            <w:hideMark/>
          </w:tcPr>
          <w:p w14:paraId="4B347A1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vitro</w:t>
            </w:r>
          </w:p>
        </w:tc>
        <w:tc>
          <w:tcPr>
            <w:tcW w:w="0" w:type="auto"/>
            <w:hideMark/>
          </w:tcPr>
          <w:p w14:paraId="373B908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03247E4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Cell lines: EBV-LCLs, Mouse fibroblast cell lines (L-cells), HTLV-I-infected T-cell lymphoma cell </w:t>
            </w:r>
            <w:r w:rsidRPr="006374D2">
              <w:rPr>
                <w:rFonts w:asciiTheme="minorBidi" w:hAnsiTheme="minorBidi"/>
                <w:sz w:val="12"/>
                <w:szCs w:val="12"/>
              </w:rPr>
              <w:lastRenderedPageBreak/>
              <w:t xml:space="preserve">lines TL-Su, TCL-Kan, HUT102, TL-Hir (HTLV-1 Tax negative), and OKM-2T, Jurkat T-cell lymphoma cell line (HTLV-I negative), MT2, </w:t>
            </w:r>
          </w:p>
        </w:tc>
        <w:tc>
          <w:tcPr>
            <w:tcW w:w="0" w:type="auto"/>
            <w:hideMark/>
          </w:tcPr>
          <w:p w14:paraId="2A0D77E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 xml:space="preserve">peptid vaccine </w:t>
            </w:r>
          </w:p>
        </w:tc>
        <w:tc>
          <w:tcPr>
            <w:tcW w:w="0" w:type="auto"/>
            <w:hideMark/>
          </w:tcPr>
          <w:p w14:paraId="61BED54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Potential HLA-DR-restricted CD4+ T-cell epitopes of HTLV-1 Tax peptid</w:t>
            </w:r>
          </w:p>
        </w:tc>
        <w:tc>
          <w:tcPr>
            <w:tcW w:w="0" w:type="auto"/>
            <w:hideMark/>
          </w:tcPr>
          <w:p w14:paraId="71080FC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5D51439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119AE80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EC404C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0F8DF0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691C09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Western blot analysis, ELISA , ECL detection system, chemiluminescence assay, cytokine release assay, high-performance liquid chromatograp</w:t>
            </w:r>
            <w:r w:rsidRPr="006374D2">
              <w:rPr>
                <w:rFonts w:asciiTheme="minorBidi" w:hAnsiTheme="minorBidi"/>
                <w:sz w:val="12"/>
                <w:szCs w:val="12"/>
              </w:rPr>
              <w:lastRenderedPageBreak/>
              <w:t xml:space="preserve">hy, mass spectrometry, </w:t>
            </w:r>
          </w:p>
        </w:tc>
        <w:tc>
          <w:tcPr>
            <w:tcW w:w="0" w:type="auto"/>
            <w:hideMark/>
          </w:tcPr>
          <w:p w14:paraId="4095B2D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 xml:space="preserve">T-helper-cell induction in response to peptides Tax191–205 (restricted by the HLA-DR1 and DR9 alleles) and Tax305–319 (restricted by either DR15 or DQ9), Both these epitopes were naturally processed by HTLV-1+ T-cell lymphoma cells and by autologous APCs that were pulsed with </w:t>
            </w:r>
            <w:r w:rsidRPr="006374D2">
              <w:rPr>
                <w:rFonts w:asciiTheme="minorBidi" w:hAnsiTheme="minorBidi"/>
                <w:sz w:val="12"/>
                <w:szCs w:val="12"/>
              </w:rPr>
              <w:lastRenderedPageBreak/>
              <w:t>HTLV-1Tax+ tumor lysates. These epitopes lie proximal to known CTL epitopes, which will facilitate the development of prophylactic peptide – based vaccine capable of inducing simultaneous CTL andT-helper responses</w:t>
            </w:r>
          </w:p>
        </w:tc>
      </w:tr>
      <w:tr w:rsidR="006374D2" w:rsidRPr="006374D2" w14:paraId="0B739473" w14:textId="77777777" w:rsidTr="006374D2">
        <w:trPr>
          <w:trHeight w:val="2505"/>
        </w:trPr>
        <w:tc>
          <w:tcPr>
            <w:tcW w:w="0" w:type="auto"/>
            <w:hideMark/>
          </w:tcPr>
          <w:p w14:paraId="414020D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Schönbach</w:t>
            </w:r>
          </w:p>
        </w:tc>
        <w:tc>
          <w:tcPr>
            <w:tcW w:w="0" w:type="auto"/>
            <w:hideMark/>
          </w:tcPr>
          <w:p w14:paraId="5439717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1996</w:t>
            </w:r>
          </w:p>
        </w:tc>
        <w:tc>
          <w:tcPr>
            <w:tcW w:w="0" w:type="auto"/>
            <w:hideMark/>
          </w:tcPr>
          <w:p w14:paraId="3AC2980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Japan</w:t>
            </w:r>
          </w:p>
        </w:tc>
        <w:tc>
          <w:tcPr>
            <w:tcW w:w="0" w:type="auto"/>
            <w:hideMark/>
          </w:tcPr>
          <w:p w14:paraId="564F2E6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vitro and in vivo</w:t>
            </w:r>
          </w:p>
        </w:tc>
        <w:tc>
          <w:tcPr>
            <w:tcW w:w="0" w:type="auto"/>
            <w:hideMark/>
          </w:tcPr>
          <w:p w14:paraId="36B48B9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 (expressed: at least two mice were immunized with each peptide)</w:t>
            </w:r>
          </w:p>
        </w:tc>
        <w:tc>
          <w:tcPr>
            <w:tcW w:w="0" w:type="auto"/>
            <w:hideMark/>
          </w:tcPr>
          <w:p w14:paraId="475C466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Eight- to ten-week-old transgenic HLA-B*3501 transgenic mice of both sexes </w:t>
            </w:r>
          </w:p>
        </w:tc>
        <w:tc>
          <w:tcPr>
            <w:tcW w:w="0" w:type="auto"/>
            <w:hideMark/>
          </w:tcPr>
          <w:p w14:paraId="3A066EE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peptid vaccine </w:t>
            </w:r>
          </w:p>
        </w:tc>
        <w:tc>
          <w:tcPr>
            <w:tcW w:w="0" w:type="auto"/>
            <w:hideMark/>
          </w:tcPr>
          <w:p w14:paraId="23D993AC"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synthetic HTLV-1 peptides mixed with the lipohexapeptide N-palmitoyl-S-[2,3-bis(palmitoyloxy)propyl]cysteinyl-seryl-lysyl-lysyl-lysyl-lysine, which is a biocompatible, Th</w:t>
            </w:r>
            <w:r w:rsidRPr="006374D2">
              <w:rPr>
                <w:rFonts w:asciiTheme="minorBidi" w:hAnsiTheme="minorBidi"/>
                <w:sz w:val="12"/>
                <w:szCs w:val="12"/>
              </w:rPr>
              <w:br/>
              <w:t>-epitopeindependent adjuvant</w:t>
            </w:r>
          </w:p>
        </w:tc>
        <w:tc>
          <w:tcPr>
            <w:tcW w:w="0" w:type="auto"/>
            <w:hideMark/>
          </w:tcPr>
          <w:p w14:paraId="6D02FBB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100 µM</w:t>
            </w:r>
          </w:p>
        </w:tc>
        <w:tc>
          <w:tcPr>
            <w:tcW w:w="0" w:type="auto"/>
            <w:hideMark/>
          </w:tcPr>
          <w:p w14:paraId="267F40D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AE8771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intraperitoneally</w:t>
            </w:r>
          </w:p>
        </w:tc>
        <w:tc>
          <w:tcPr>
            <w:tcW w:w="0" w:type="auto"/>
            <w:hideMark/>
          </w:tcPr>
          <w:p w14:paraId="432C88A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1E83B24F"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N-palmitoyl-S-[2,3-bis(palmitoyloxy)propyl]cysteinyl-seryl-lysyl-lysyl-lysyl-lysine</w:t>
            </w:r>
          </w:p>
        </w:tc>
        <w:tc>
          <w:tcPr>
            <w:tcW w:w="0" w:type="auto"/>
            <w:hideMark/>
          </w:tcPr>
          <w:p w14:paraId="3D5C3E4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Peptide binding assay, Flow cytometric analysis, Western blot analysis, Cytotoxic T lymphocyte assay</w:t>
            </w:r>
          </w:p>
        </w:tc>
        <w:tc>
          <w:tcPr>
            <w:tcW w:w="0" w:type="auto"/>
            <w:hideMark/>
          </w:tcPr>
          <w:p w14:paraId="16CE829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CTL response in response to 11 of 37 tested HLA-B*3501 binding peptides after 3 in vitro stimulations, peptide-specific CTL induction in response to 7 peptides derived from env-gp46 (VPSPSSTPLL, VPSSSSTPL, YPSLALAPH, and YPSLALAPA), pol (QAFPQCTIL), gagp19 (YPGRVNEIL), and tax (GAFLTNVPY) proteins, Bulk CTL generation by four peptides derived from env-gp46 (SPPSTPLLY, VPSPSSTPLLY, and VPSPSSTPLL) and pol (QAFPQCTILQY) killing peptide-pulsed and recombinant vaccinia-infected target cells</w:t>
            </w:r>
          </w:p>
        </w:tc>
      </w:tr>
      <w:tr w:rsidR="006374D2" w:rsidRPr="006374D2" w14:paraId="0357612C" w14:textId="77777777" w:rsidTr="006374D2">
        <w:trPr>
          <w:trHeight w:val="1399"/>
        </w:trPr>
        <w:tc>
          <w:tcPr>
            <w:tcW w:w="0" w:type="auto"/>
            <w:hideMark/>
          </w:tcPr>
          <w:p w14:paraId="6C12B3D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Fujisawa</w:t>
            </w:r>
          </w:p>
        </w:tc>
        <w:tc>
          <w:tcPr>
            <w:tcW w:w="0" w:type="auto"/>
            <w:hideMark/>
          </w:tcPr>
          <w:p w14:paraId="248A954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2015</w:t>
            </w:r>
          </w:p>
        </w:tc>
        <w:tc>
          <w:tcPr>
            <w:tcW w:w="0" w:type="auto"/>
            <w:hideMark/>
          </w:tcPr>
          <w:p w14:paraId="738C972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Japan </w:t>
            </w:r>
          </w:p>
        </w:tc>
        <w:tc>
          <w:tcPr>
            <w:tcW w:w="0" w:type="auto"/>
            <w:hideMark/>
          </w:tcPr>
          <w:p w14:paraId="7390C53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vivo</w:t>
            </w:r>
          </w:p>
        </w:tc>
        <w:tc>
          <w:tcPr>
            <w:tcW w:w="0" w:type="auto"/>
            <w:hideMark/>
          </w:tcPr>
          <w:p w14:paraId="13EB5CA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474E1BA7"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HTLV-1-infected humanized mouse model (hu-NOG) mouce</w:t>
            </w:r>
          </w:p>
        </w:tc>
        <w:tc>
          <w:tcPr>
            <w:tcW w:w="0" w:type="auto"/>
            <w:hideMark/>
          </w:tcPr>
          <w:p w14:paraId="1A87BD3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tax-peptid vaccine</w:t>
            </w:r>
          </w:p>
        </w:tc>
        <w:tc>
          <w:tcPr>
            <w:tcW w:w="0" w:type="auto"/>
            <w:hideMark/>
          </w:tcPr>
          <w:p w14:paraId="6472E83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Mixture of twelve overlapping peptides of 40-42 amino acids long encompassing whole Tax protein</w:t>
            </w:r>
          </w:p>
        </w:tc>
        <w:tc>
          <w:tcPr>
            <w:tcW w:w="0" w:type="auto"/>
            <w:hideMark/>
          </w:tcPr>
          <w:p w14:paraId="274405F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7A48E3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EF1DA5A"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subcutaneously</w:t>
            </w:r>
          </w:p>
        </w:tc>
        <w:tc>
          <w:tcPr>
            <w:tcW w:w="0" w:type="auto"/>
            <w:hideMark/>
          </w:tcPr>
          <w:p w14:paraId="1F52BC63"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vaccine was inoculated subcutaneously three times weekly to hu-NOG mouse and then -irradiated HTLV-1 </w:t>
            </w:r>
            <w:r w:rsidRPr="006374D2">
              <w:rPr>
                <w:rFonts w:asciiTheme="minorBidi" w:hAnsiTheme="minorBidi"/>
                <w:sz w:val="12"/>
                <w:szCs w:val="12"/>
              </w:rPr>
              <w:lastRenderedPageBreak/>
              <w:t xml:space="preserve">producing Jurkat cells were intraperitoneally injected to infect HTLV-1 </w:t>
            </w:r>
          </w:p>
        </w:tc>
        <w:tc>
          <w:tcPr>
            <w:tcW w:w="0" w:type="auto"/>
            <w:hideMark/>
          </w:tcPr>
          <w:p w14:paraId="4411E80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lastRenderedPageBreak/>
              <w:t>NA</w:t>
            </w:r>
          </w:p>
        </w:tc>
        <w:tc>
          <w:tcPr>
            <w:tcW w:w="0" w:type="auto"/>
            <w:hideMark/>
          </w:tcPr>
          <w:p w14:paraId="7DFF01A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3AEF247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leukemia suppression, retardation of  the out growth of human lymphocytes in response to Tax-immunization after HTLV-1 infection, survival of  two out of five mice with alimited number of infected T-cells,  IL-12 induction and enhanced expression of Tax-specific CD8 T-cell in immunized mice before infection</w:t>
            </w:r>
          </w:p>
        </w:tc>
      </w:tr>
      <w:tr w:rsidR="006374D2" w:rsidRPr="006374D2" w14:paraId="036976F4" w14:textId="77777777" w:rsidTr="006374D2">
        <w:trPr>
          <w:trHeight w:val="1399"/>
        </w:trPr>
        <w:tc>
          <w:tcPr>
            <w:tcW w:w="0" w:type="auto"/>
            <w:hideMark/>
          </w:tcPr>
          <w:p w14:paraId="4A378A55"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Lucchese</w:t>
            </w:r>
          </w:p>
        </w:tc>
        <w:tc>
          <w:tcPr>
            <w:tcW w:w="0" w:type="auto"/>
            <w:hideMark/>
          </w:tcPr>
          <w:p w14:paraId="4FC2C54E"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2021</w:t>
            </w:r>
          </w:p>
        </w:tc>
        <w:tc>
          <w:tcPr>
            <w:tcW w:w="0" w:type="auto"/>
            <w:hideMark/>
          </w:tcPr>
          <w:p w14:paraId="7E1826C9"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Germany</w:t>
            </w:r>
          </w:p>
        </w:tc>
        <w:tc>
          <w:tcPr>
            <w:tcW w:w="0" w:type="auto"/>
            <w:hideMark/>
          </w:tcPr>
          <w:p w14:paraId="7F94EAF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in vitro</w:t>
            </w:r>
          </w:p>
        </w:tc>
        <w:tc>
          <w:tcPr>
            <w:tcW w:w="0" w:type="auto"/>
            <w:hideMark/>
          </w:tcPr>
          <w:p w14:paraId="0F073956"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32F5AD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6ABD4964"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mRNA and Peptide-Based Vaccines</w:t>
            </w:r>
          </w:p>
        </w:tc>
        <w:tc>
          <w:tcPr>
            <w:tcW w:w="0" w:type="auto"/>
            <w:hideMark/>
          </w:tcPr>
          <w:p w14:paraId="7AB5664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Epitope Platform</w:t>
            </w:r>
          </w:p>
        </w:tc>
        <w:tc>
          <w:tcPr>
            <w:tcW w:w="0" w:type="auto"/>
            <w:hideMark/>
          </w:tcPr>
          <w:p w14:paraId="1C20BF28"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2F52189B"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B86B930"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7A7B603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6A263E72"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583684FD"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NA</w:t>
            </w:r>
          </w:p>
        </w:tc>
        <w:tc>
          <w:tcPr>
            <w:tcW w:w="0" w:type="auto"/>
            <w:hideMark/>
          </w:tcPr>
          <w:p w14:paraId="3E98B521" w14:textId="77777777" w:rsidR="006374D2" w:rsidRPr="006374D2" w:rsidRDefault="006374D2" w:rsidP="006374D2">
            <w:pPr>
              <w:rPr>
                <w:rFonts w:asciiTheme="minorBidi" w:hAnsiTheme="minorBidi"/>
                <w:sz w:val="12"/>
                <w:szCs w:val="12"/>
              </w:rPr>
            </w:pPr>
            <w:r w:rsidRPr="006374D2">
              <w:rPr>
                <w:rFonts w:asciiTheme="minorBidi" w:hAnsiTheme="minorBidi"/>
                <w:sz w:val="12"/>
                <w:szCs w:val="12"/>
              </w:rPr>
              <w:t xml:space="preserve">An epitope platform for HTLV-1 vaccine have been presented to reduce post-vaccination adverse events, cross-reactivity with human antigens </w:t>
            </w:r>
          </w:p>
        </w:tc>
      </w:tr>
    </w:tbl>
    <w:p w14:paraId="0180A7AD" w14:textId="77777777" w:rsidR="006374D2" w:rsidRDefault="006374D2" w:rsidP="008C73AC"/>
    <w:sectPr w:rsidR="006374D2" w:rsidSect="00951FE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3AC"/>
    <w:rsid w:val="001B565A"/>
    <w:rsid w:val="00284E16"/>
    <w:rsid w:val="002D2AD7"/>
    <w:rsid w:val="003453B0"/>
    <w:rsid w:val="003C04B7"/>
    <w:rsid w:val="003F3B38"/>
    <w:rsid w:val="00473D61"/>
    <w:rsid w:val="004A0367"/>
    <w:rsid w:val="00537570"/>
    <w:rsid w:val="00587EC2"/>
    <w:rsid w:val="006374D2"/>
    <w:rsid w:val="006C4C39"/>
    <w:rsid w:val="008C73AC"/>
    <w:rsid w:val="00905C9E"/>
    <w:rsid w:val="00A32585"/>
    <w:rsid w:val="00AC3A34"/>
    <w:rsid w:val="00B05196"/>
    <w:rsid w:val="00BB0A8F"/>
    <w:rsid w:val="00CA2BF4"/>
    <w:rsid w:val="00CF615C"/>
    <w:rsid w:val="00D20F0A"/>
    <w:rsid w:val="00DC6429"/>
    <w:rsid w:val="00DF4A2F"/>
    <w:rsid w:val="00E13373"/>
    <w:rsid w:val="00E76AAF"/>
    <w:rsid w:val="00FC6B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D0E37"/>
  <w15:chartTrackingRefBased/>
  <w15:docId w15:val="{449CC2D2-70D6-4E2E-B2BA-43E7826FD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C39"/>
  </w:style>
  <w:style w:type="paragraph" w:styleId="Heading1">
    <w:name w:val="heading 1"/>
    <w:basedOn w:val="Normal"/>
    <w:next w:val="Normal"/>
    <w:link w:val="Heading1Char"/>
    <w:uiPriority w:val="9"/>
    <w:qFormat/>
    <w:rsid w:val="00E13373"/>
    <w:pPr>
      <w:keepNext/>
      <w:keepLines/>
      <w:spacing w:before="240" w:after="0" w:line="256" w:lineRule="auto"/>
      <w:outlineLvl w:val="0"/>
    </w:pPr>
    <w:rPr>
      <w:rFonts w:ascii="Times New Roman" w:eastAsiaTheme="majorEastAsia" w:hAnsi="Times New Roman" w:cstheme="majorBidi"/>
      <w:b/>
      <w:sz w:val="32"/>
      <w:szCs w:val="3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73AC"/>
    <w:pPr>
      <w:spacing w:after="0" w:line="240" w:lineRule="auto"/>
    </w:pPr>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C73AC"/>
    <w:rPr>
      <w:b/>
      <w:bCs/>
    </w:rPr>
  </w:style>
  <w:style w:type="character" w:customStyle="1" w:styleId="row-boolean">
    <w:name w:val="row-boolean"/>
    <w:basedOn w:val="DefaultParagraphFont"/>
    <w:rsid w:val="008C73AC"/>
  </w:style>
  <w:style w:type="paragraph" w:customStyle="1" w:styleId="Default">
    <w:name w:val="Default"/>
    <w:rsid w:val="00E13373"/>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customStyle="1" w:styleId="Heading1Char">
    <w:name w:val="Heading 1 Char"/>
    <w:basedOn w:val="DefaultParagraphFont"/>
    <w:link w:val="Heading1"/>
    <w:uiPriority w:val="9"/>
    <w:rsid w:val="00E13373"/>
    <w:rPr>
      <w:rFonts w:ascii="Times New Roman" w:eastAsiaTheme="majorEastAsia" w:hAnsi="Times New Roman" w:cstheme="majorBidi"/>
      <w:b/>
      <w:sz w:val="32"/>
      <w:szCs w:val="32"/>
      <w:lang w:val="en-GB"/>
    </w:rPr>
  </w:style>
  <w:style w:type="character" w:styleId="Hyperlink">
    <w:name w:val="Hyperlink"/>
    <w:basedOn w:val="DefaultParagraphFont"/>
    <w:uiPriority w:val="99"/>
    <w:semiHidden/>
    <w:unhideWhenUsed/>
    <w:rsid w:val="006374D2"/>
    <w:rPr>
      <w:color w:val="0563C1"/>
      <w:u w:val="single"/>
    </w:rPr>
  </w:style>
  <w:style w:type="character" w:styleId="FollowedHyperlink">
    <w:name w:val="FollowedHyperlink"/>
    <w:basedOn w:val="DefaultParagraphFont"/>
    <w:uiPriority w:val="99"/>
    <w:semiHidden/>
    <w:unhideWhenUsed/>
    <w:rsid w:val="006374D2"/>
    <w:rPr>
      <w:color w:val="954F72"/>
      <w:u w:val="single"/>
    </w:rPr>
  </w:style>
  <w:style w:type="paragraph" w:customStyle="1" w:styleId="msonormal0">
    <w:name w:val="msonormal"/>
    <w:basedOn w:val="Normal"/>
    <w:rsid w:val="006374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6374D2"/>
    <w:pPr>
      <w:spacing w:before="100" w:beforeAutospacing="1" w:after="100" w:afterAutospacing="1" w:line="240" w:lineRule="auto"/>
    </w:pPr>
    <w:rPr>
      <w:rFonts w:ascii="Arial" w:eastAsia="Times New Roman" w:hAnsi="Arial" w:cs="Arial"/>
      <w:color w:val="000000"/>
    </w:rPr>
  </w:style>
  <w:style w:type="paragraph" w:customStyle="1" w:styleId="font6">
    <w:name w:val="font6"/>
    <w:basedOn w:val="Normal"/>
    <w:rsid w:val="006374D2"/>
    <w:pPr>
      <w:spacing w:before="100" w:beforeAutospacing="1" w:after="100" w:afterAutospacing="1" w:line="240" w:lineRule="auto"/>
    </w:pPr>
    <w:rPr>
      <w:rFonts w:ascii="Calibri" w:eastAsia="Times New Roman" w:hAnsi="Calibri" w:cs="Calibri"/>
      <w:color w:val="000000"/>
    </w:rPr>
  </w:style>
  <w:style w:type="paragraph" w:customStyle="1" w:styleId="xl65">
    <w:name w:val="xl65"/>
    <w:basedOn w:val="Normal"/>
    <w:rsid w:val="006374D2"/>
    <w:pP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66">
    <w:name w:val="xl66"/>
    <w:basedOn w:val="Normal"/>
    <w:rsid w:val="006374D2"/>
    <w:pPr>
      <w:spacing w:before="100" w:beforeAutospacing="1" w:after="100" w:afterAutospacing="1" w:line="240" w:lineRule="auto"/>
    </w:pPr>
    <w:rPr>
      <w:rFonts w:ascii="Arial" w:eastAsia="Times New Roman" w:hAnsi="Arial" w:cs="Arial"/>
      <w:sz w:val="24"/>
      <w:szCs w:val="24"/>
    </w:rPr>
  </w:style>
  <w:style w:type="paragraph" w:customStyle="1" w:styleId="xl67">
    <w:name w:val="xl67"/>
    <w:basedOn w:val="Normal"/>
    <w:rsid w:val="006374D2"/>
    <w:pP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68">
    <w:name w:val="xl68"/>
    <w:basedOn w:val="Normal"/>
    <w:rsid w:val="006374D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6374D2"/>
    <w:pPr>
      <w:shd w:val="clear" w:color="000000" w:fill="FFC00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70">
    <w:name w:val="xl70"/>
    <w:basedOn w:val="Normal"/>
    <w:rsid w:val="006374D2"/>
    <w:pPr>
      <w:shd w:val="clear" w:color="000000" w:fill="FFC000"/>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71">
    <w:name w:val="xl71"/>
    <w:basedOn w:val="Normal"/>
    <w:rsid w:val="006374D2"/>
    <w:pPr>
      <w:shd w:val="clear" w:color="000000" w:fill="FFC000"/>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72">
    <w:name w:val="xl72"/>
    <w:basedOn w:val="Normal"/>
    <w:rsid w:val="006374D2"/>
    <w:pPr>
      <w:shd w:val="clear" w:color="000000" w:fill="FFC00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73">
    <w:name w:val="xl73"/>
    <w:basedOn w:val="Normal"/>
    <w:rsid w:val="006374D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Normal"/>
    <w:rsid w:val="006374D2"/>
    <w:pPr>
      <w:spacing w:before="100" w:beforeAutospacing="1" w:after="100" w:afterAutospacing="1" w:line="240" w:lineRule="auto"/>
    </w:pPr>
    <w:rPr>
      <w:rFonts w:ascii="Arial" w:eastAsia="Times New Roman" w:hAnsi="Arial" w:cs="Arial"/>
      <w:sz w:val="24"/>
      <w:szCs w:val="24"/>
    </w:rPr>
  </w:style>
  <w:style w:type="paragraph" w:customStyle="1" w:styleId="xl75">
    <w:name w:val="xl75"/>
    <w:basedOn w:val="Normal"/>
    <w:rsid w:val="006374D2"/>
    <w:pPr>
      <w:spacing w:before="100" w:beforeAutospacing="1" w:after="100" w:afterAutospacing="1" w:line="240" w:lineRule="auto"/>
      <w:jc w:val="center"/>
      <w:textAlignment w:val="center"/>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60270">
      <w:bodyDiv w:val="1"/>
      <w:marLeft w:val="0"/>
      <w:marRight w:val="0"/>
      <w:marTop w:val="0"/>
      <w:marBottom w:val="0"/>
      <w:divBdr>
        <w:top w:val="none" w:sz="0" w:space="0" w:color="auto"/>
        <w:left w:val="none" w:sz="0" w:space="0" w:color="auto"/>
        <w:bottom w:val="none" w:sz="0" w:space="0" w:color="auto"/>
        <w:right w:val="none" w:sz="0" w:space="0" w:color="auto"/>
      </w:divBdr>
    </w:div>
    <w:div w:id="304896177">
      <w:bodyDiv w:val="1"/>
      <w:marLeft w:val="0"/>
      <w:marRight w:val="0"/>
      <w:marTop w:val="0"/>
      <w:marBottom w:val="0"/>
      <w:divBdr>
        <w:top w:val="none" w:sz="0" w:space="0" w:color="auto"/>
        <w:left w:val="none" w:sz="0" w:space="0" w:color="auto"/>
        <w:bottom w:val="none" w:sz="0" w:space="0" w:color="auto"/>
        <w:right w:val="none" w:sz="0" w:space="0" w:color="auto"/>
      </w:divBdr>
    </w:div>
    <w:div w:id="484275915">
      <w:bodyDiv w:val="1"/>
      <w:marLeft w:val="0"/>
      <w:marRight w:val="0"/>
      <w:marTop w:val="0"/>
      <w:marBottom w:val="0"/>
      <w:divBdr>
        <w:top w:val="none" w:sz="0" w:space="0" w:color="auto"/>
        <w:left w:val="none" w:sz="0" w:space="0" w:color="auto"/>
        <w:bottom w:val="none" w:sz="0" w:space="0" w:color="auto"/>
        <w:right w:val="none" w:sz="0" w:space="0" w:color="auto"/>
      </w:divBdr>
    </w:div>
    <w:div w:id="602764496">
      <w:bodyDiv w:val="1"/>
      <w:marLeft w:val="0"/>
      <w:marRight w:val="0"/>
      <w:marTop w:val="0"/>
      <w:marBottom w:val="0"/>
      <w:divBdr>
        <w:top w:val="none" w:sz="0" w:space="0" w:color="auto"/>
        <w:left w:val="none" w:sz="0" w:space="0" w:color="auto"/>
        <w:bottom w:val="none" w:sz="0" w:space="0" w:color="auto"/>
        <w:right w:val="none" w:sz="0" w:space="0" w:color="auto"/>
      </w:divBdr>
    </w:div>
    <w:div w:id="1049233333">
      <w:bodyDiv w:val="1"/>
      <w:marLeft w:val="0"/>
      <w:marRight w:val="0"/>
      <w:marTop w:val="0"/>
      <w:marBottom w:val="0"/>
      <w:divBdr>
        <w:top w:val="none" w:sz="0" w:space="0" w:color="auto"/>
        <w:left w:val="none" w:sz="0" w:space="0" w:color="auto"/>
        <w:bottom w:val="none" w:sz="0" w:space="0" w:color="auto"/>
        <w:right w:val="none" w:sz="0" w:space="0" w:color="auto"/>
      </w:divBdr>
    </w:div>
    <w:div w:id="1460611615">
      <w:bodyDiv w:val="1"/>
      <w:marLeft w:val="0"/>
      <w:marRight w:val="0"/>
      <w:marTop w:val="0"/>
      <w:marBottom w:val="0"/>
      <w:divBdr>
        <w:top w:val="none" w:sz="0" w:space="0" w:color="auto"/>
        <w:left w:val="none" w:sz="0" w:space="0" w:color="auto"/>
        <w:bottom w:val="none" w:sz="0" w:space="0" w:color="auto"/>
        <w:right w:val="none" w:sz="0" w:space="0" w:color="auto"/>
      </w:divBdr>
    </w:div>
    <w:div w:id="1773477244">
      <w:bodyDiv w:val="1"/>
      <w:marLeft w:val="0"/>
      <w:marRight w:val="0"/>
      <w:marTop w:val="0"/>
      <w:marBottom w:val="0"/>
      <w:divBdr>
        <w:top w:val="none" w:sz="0" w:space="0" w:color="auto"/>
        <w:left w:val="none" w:sz="0" w:space="0" w:color="auto"/>
        <w:bottom w:val="none" w:sz="0" w:space="0" w:color="auto"/>
        <w:right w:val="none" w:sz="0" w:space="0" w:color="auto"/>
      </w:divBdr>
    </w:div>
    <w:div w:id="1852911129">
      <w:bodyDiv w:val="1"/>
      <w:marLeft w:val="0"/>
      <w:marRight w:val="0"/>
      <w:marTop w:val="0"/>
      <w:marBottom w:val="0"/>
      <w:divBdr>
        <w:top w:val="none" w:sz="0" w:space="0" w:color="auto"/>
        <w:left w:val="none" w:sz="0" w:space="0" w:color="auto"/>
        <w:bottom w:val="none" w:sz="0" w:space="0" w:color="auto"/>
        <w:right w:val="none" w:sz="0" w:space="0" w:color="auto"/>
      </w:divBdr>
    </w:div>
    <w:div w:id="1855345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30</Pages>
  <Words>6975</Words>
  <Characters>39760</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 Shafiee</dc:creator>
  <cp:keywords/>
  <dc:description/>
  <cp:lastModifiedBy>Arman Shafiee</cp:lastModifiedBy>
  <cp:revision>19</cp:revision>
  <dcterms:created xsi:type="dcterms:W3CDTF">2022-04-07T17:56:00Z</dcterms:created>
  <dcterms:modified xsi:type="dcterms:W3CDTF">2023-04-18T13:50:00Z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950d4b3902f393ab3d75682d0f77a320321194ef91282a12ac8c4215e212a2f6</vt:lpwstr>
  </property>
</Properties>
</file>