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338" w:rsidRDefault="00560338" w:rsidP="00560338">
      <w:pPr>
        <w:spacing w:after="198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b/>
          <w:sz w:val="21"/>
          <w:szCs w:val="21"/>
        </w:rPr>
        <w:t>Figure S3</w:t>
      </w:r>
      <w:r>
        <w:rPr>
          <w:sz w:val="21"/>
          <w:szCs w:val="21"/>
        </w:rPr>
        <w:t xml:space="preserve">: Proximity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cluster analysis at Follow-ups 2 to </w:t>
      </w:r>
      <w:proofErr w:type="gramStart"/>
      <w:r>
        <w:rPr>
          <w:rFonts w:ascii="Arial" w:eastAsia="Arial" w:hAnsi="Arial" w:cs="Arial"/>
          <w:color w:val="000000"/>
          <w:sz w:val="21"/>
          <w:szCs w:val="21"/>
        </w:rPr>
        <w:t>4</w:t>
      </w:r>
      <w:proofErr w:type="gramEnd"/>
      <w:r>
        <w:rPr>
          <w:rFonts w:ascii="Arial" w:eastAsia="Arial" w:hAnsi="Arial" w:cs="Arial"/>
          <w:color w:val="000000"/>
          <w:sz w:val="21"/>
          <w:szCs w:val="21"/>
        </w:rPr>
        <w:t>. The grey points and curves show the distribution of mean within-cluster variances for 10,000 random permutations of cluster assignments. The horizontal lines show the observed values. Cluster variables are households, buildings,</w:t>
      </w:r>
      <w:r>
        <w:rPr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and geospatial clusters of different sizes. Household membership </w:t>
      </w:r>
      <w:proofErr w:type="gramStart"/>
      <w:r>
        <w:rPr>
          <w:rFonts w:ascii="Arial" w:eastAsia="Arial" w:hAnsi="Arial" w:cs="Arial"/>
          <w:color w:val="000000"/>
          <w:sz w:val="21"/>
          <w:szCs w:val="21"/>
        </w:rPr>
        <w:t>was left</w:t>
      </w:r>
      <w:proofErr w:type="gramEnd"/>
      <w:r>
        <w:rPr>
          <w:rFonts w:ascii="Arial" w:eastAsia="Arial" w:hAnsi="Arial" w:cs="Arial"/>
          <w:color w:val="000000"/>
          <w:sz w:val="21"/>
          <w:szCs w:val="21"/>
        </w:rPr>
        <w:t xml:space="preserve"> invariant when considering buildings and geospatial clusters. </w:t>
      </w:r>
      <w:proofErr w:type="gramStart"/>
      <w:r>
        <w:rPr>
          <w:rFonts w:ascii="Arial" w:eastAsia="Arial" w:hAnsi="Arial" w:cs="Arial"/>
          <w:color w:val="000000"/>
          <w:sz w:val="21"/>
          <w:szCs w:val="21"/>
        </w:rPr>
        <w:t>p-values</w:t>
      </w:r>
      <w:proofErr w:type="gramEnd"/>
      <w:r>
        <w:rPr>
          <w:rFonts w:ascii="Arial" w:eastAsia="Arial" w:hAnsi="Arial" w:cs="Arial"/>
          <w:color w:val="000000"/>
          <w:sz w:val="21"/>
          <w:szCs w:val="21"/>
        </w:rPr>
        <w:t xml:space="preserve"> indicate the one-sided probability of observing smaller than observed values under random cluster assignments. Results indicate within-household clustering and suggest neighbourhood transmission only in the cluster with 500m.</w:t>
      </w:r>
    </w:p>
    <w:p w:rsidR="00A619EA" w:rsidRDefault="00EA4F4B">
      <w:bookmarkStart w:id="0" w:name="_GoBack"/>
      <w:bookmarkEnd w:id="0"/>
      <w:r>
        <w:rPr>
          <w:noProof/>
          <w:lang w:eastAsia="de-DE"/>
        </w:rPr>
        <w:lastRenderedPageBreak/>
        <w:drawing>
          <wp:inline distT="0" distB="0" distL="0" distR="0" wp14:anchorId="2C067412">
            <wp:extent cx="5937885" cy="7724140"/>
            <wp:effectExtent l="0" t="0" r="571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24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619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9EA"/>
    <w:rsid w:val="00560338"/>
    <w:rsid w:val="00674681"/>
    <w:rsid w:val="00A619EA"/>
    <w:rsid w:val="00EA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4C19A1-9729-4BEE-95CB-9A9AB527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60338"/>
    <w:pPr>
      <w:spacing w:after="200" w:line="276" w:lineRule="auto"/>
    </w:pPr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Plank</dc:creator>
  <cp:keywords/>
  <dc:description/>
  <cp:lastModifiedBy>Michael Plank</cp:lastModifiedBy>
  <cp:revision>3</cp:revision>
  <dcterms:created xsi:type="dcterms:W3CDTF">2023-02-06T14:02:00Z</dcterms:created>
  <dcterms:modified xsi:type="dcterms:W3CDTF">2023-02-21T09:43:00Z</dcterms:modified>
</cp:coreProperties>
</file>