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Supplementary appendix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12" w:lineRule="auto"/>
        <w:rPr>
          <w:rFonts w:ascii="Times New Roman" w:eastAsia="Times New Roman" w:hAnsi="Times New Roman" w:cs="Times New Roman"/>
          <w:sz w:val="18"/>
          <w:szCs w:val="18"/>
        </w:rPr>
      </w:pPr>
      <w:r>
        <w:rPr>
          <w:rFonts w:ascii="Times New Roman" w:eastAsia="Times New Roman" w:hAnsi="Times New Roman" w:cs="Times New Roman"/>
          <w:b/>
        </w:rPr>
        <w:t>Appendix A. Data extracted from the included studies</w:t>
      </w:r>
      <w:r>
        <w:rPr>
          <w:rFonts w:ascii="Times New Roman" w:eastAsia="Times New Roman" w:hAnsi="Times New Roman" w:cs="Times New Roman"/>
        </w:rPr>
        <w:t xml:space="preserve"> This file contains information we extracted from the included papers. This was used as an input for the statistical analysis. </w:t>
      </w:r>
      <w:r>
        <w:rPr>
          <w:rFonts w:ascii="Times New Roman" w:eastAsia="Times New Roman" w:hAnsi="Times New Roman" w:cs="Times New Roman"/>
          <w:sz w:val="18"/>
          <w:szCs w:val="18"/>
        </w:rPr>
        <w:t>(Author = author name; Year = publication year; Study = year and author, Country = country,  Exposures =  details of exposure, Measures = level of exposure; JMP WASH Category = classified category using JMP WASH category; Brockett Category = category used in the previous review; Crude OR = odds ratio from univariate analysis; Crude OR CI = confidence interval of odds ratio from univariate analysis; Adjusted OR = odds ratio from multivariate analysis; Adjusted OR CI = confidence interval of odds ratio from multivariate analysis; Diagnostic Methods = diagnostic methods used to define typhoid fever; Blood Culture = blood culture-based diagnosis of typhoid; Controlled Variable (All) = controlled variables in the meta-analysis; Controlled variables (other WASH factors) = other WASH exposures controlled)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b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18"/>
          <w:szCs w:val="18"/>
        </w:rPr>
      </w:pPr>
      <w:hyperlink r:id="rId4">
        <w:r>
          <w:rPr>
            <w:rFonts w:ascii="Times New Roman" w:eastAsia="Times New Roman" w:hAnsi="Times New Roman" w:cs="Times New Roman"/>
            <w:color w:val="1155CC"/>
            <w:u w:val="single"/>
          </w:rPr>
          <w:t>Download</w:t>
        </w:r>
      </w:hyperlink>
      <w:r>
        <w:rPr>
          <w:rFonts w:ascii="Times New Roman" w:eastAsia="Times New Roman" w:hAnsi="Times New Roman" w:cs="Times New Roman"/>
        </w:rPr>
        <w:t xml:space="preserve"> (download cvs file)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sz w:val="18"/>
          <w:szCs w:val="18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</w:rPr>
      </w:pPr>
      <w:r>
        <w:br w:type="page"/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b/>
        </w:rPr>
        <w:lastRenderedPageBreak/>
        <w:t>Appendix</w:t>
      </w:r>
      <w:r>
        <w:rPr>
          <w:rFonts w:ascii="Times New Roman" w:eastAsia="Times New Roman" w:hAnsi="Times New Roman" w:cs="Times New Roman"/>
          <w:b/>
          <w:color w:val="333333"/>
        </w:rPr>
        <w:t xml:space="preserve"> B. Funnel plots </w:t>
      </w:r>
      <w:r>
        <w:rPr>
          <w:rFonts w:ascii="Times New Roman" w:eastAsia="Times New Roman" w:hAnsi="Times New Roman" w:cs="Times New Roman"/>
          <w:color w:val="333333"/>
        </w:rPr>
        <w:t>To assess publication bias, we evaluated funnel plot asymmetry. Significant funnel plot asymmetry was not detected in our analyses.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noProof/>
          <w:color w:val="333333"/>
          <w:lang w:val="en-US" w:eastAsia="en-US"/>
        </w:rPr>
        <w:drawing>
          <wp:inline distT="114300" distB="114300" distL="114300" distR="114300" wp14:anchorId="6089106A" wp14:editId="05478F20">
            <wp:extent cx="2743200" cy="2401355"/>
            <wp:effectExtent l="0" t="0" r="0" b="0"/>
            <wp:docPr id="50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0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lang w:val="en-US" w:eastAsia="en-US"/>
        </w:rPr>
        <w:drawing>
          <wp:inline distT="114300" distB="114300" distL="114300" distR="114300" wp14:anchorId="254A5F39" wp14:editId="3133C1B5">
            <wp:extent cx="2743200" cy="2401355"/>
            <wp:effectExtent l="0" t="0" r="0" b="0"/>
            <wp:docPr id="48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0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noProof/>
          <w:color w:val="333333"/>
          <w:lang w:val="en-US" w:eastAsia="en-US"/>
        </w:rPr>
        <w:drawing>
          <wp:inline distT="114300" distB="114300" distL="114300" distR="114300" wp14:anchorId="299B18D8" wp14:editId="3E14D303">
            <wp:extent cx="2743200" cy="2401355"/>
            <wp:effectExtent l="0" t="0" r="0" b="0"/>
            <wp:docPr id="49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0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lang w:val="en-US" w:eastAsia="en-US"/>
        </w:rPr>
        <w:drawing>
          <wp:inline distT="114300" distB="114300" distL="114300" distR="114300" wp14:anchorId="3FEFEAF0" wp14:editId="7214D2A6">
            <wp:extent cx="2743200" cy="2401355"/>
            <wp:effectExtent l="0" t="0" r="0" b="0"/>
            <wp:docPr id="51" name="image1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8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0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noProof/>
          <w:color w:val="333333"/>
          <w:lang w:val="en-US" w:eastAsia="en-US"/>
        </w:rPr>
        <w:drawing>
          <wp:inline distT="114300" distB="114300" distL="114300" distR="114300" wp14:anchorId="23E225DD" wp14:editId="35D356FE">
            <wp:extent cx="2743200" cy="2401355"/>
            <wp:effectExtent l="0" t="0" r="0" b="0"/>
            <wp:docPr id="52" name="image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8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0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noProof/>
          <w:color w:val="333333"/>
          <w:lang w:val="en-US" w:eastAsia="en-US"/>
        </w:rPr>
        <w:lastRenderedPageBreak/>
        <w:drawing>
          <wp:inline distT="114300" distB="114300" distL="114300" distR="114300" wp14:anchorId="07BD2199" wp14:editId="7DBE9D74">
            <wp:extent cx="2743200" cy="2401355"/>
            <wp:effectExtent l="0" t="0" r="0" b="0"/>
            <wp:docPr id="53" name="image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7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0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333333"/>
          <w:lang w:val="en-US" w:eastAsia="en-US"/>
        </w:rPr>
        <w:drawing>
          <wp:inline distT="114300" distB="114300" distL="114300" distR="114300" wp14:anchorId="14AB7829" wp14:editId="112D6AAE">
            <wp:extent cx="2743200" cy="2401355"/>
            <wp:effectExtent l="0" t="0" r="0" b="0"/>
            <wp:docPr id="54" name="image10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0.pn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240135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333333"/>
        </w:rPr>
      </w:pPr>
      <w:r>
        <w:br w:type="page"/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Appendix C. Risk of bias assessment results </w:t>
      </w:r>
      <w:r>
        <w:rPr>
          <w:rFonts w:ascii="Times New Roman" w:eastAsia="Times New Roman" w:hAnsi="Times New Roman" w:cs="Times New Roman"/>
        </w:rPr>
        <w:t>This is risk of bias assessment results broken down for each risk of bias criterion.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jc w:val="center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noProof/>
          <w:lang w:val="en-US" w:eastAsia="en-US"/>
        </w:rPr>
        <w:drawing>
          <wp:inline distT="114300" distB="114300" distL="114300" distR="114300" wp14:anchorId="16624804" wp14:editId="53717AC6">
            <wp:extent cx="4795838" cy="3005084"/>
            <wp:effectExtent l="0" t="0" r="0" b="0"/>
            <wp:docPr id="55" name="image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5.png"/>
                    <pic:cNvPicPr preferRelativeResize="0"/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795838" cy="3005084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  <w:b/>
        </w:rPr>
      </w:pPr>
      <w:r>
        <w:br w:type="page"/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lastRenderedPageBreak/>
        <w:t>Appendix D. Model description</w:t>
      </w:r>
      <w:r>
        <w:rPr>
          <w:rFonts w:ascii="Times New Roman" w:eastAsia="Times New Roman" w:hAnsi="Times New Roman" w:cs="Times New Roman"/>
        </w:rPr>
        <w:t xml:space="preserve"> This model describes the Bayesian random effects model used in our study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</w:rPr>
      </w:pPr>
    </w:p>
    <w:p w:rsidR="00AA36DE" w:rsidRDefault="00AA36DE" w:rsidP="00AA36DE">
      <w:pPr>
        <w:spacing w:after="200" w:line="480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333333"/>
        </w:rPr>
        <w:t xml:space="preserve">As below, </w:t>
      </w:r>
      <w:r>
        <w:rPr>
          <w:rFonts w:ascii="Times New Roman" w:eastAsia="Times New Roman" w:hAnsi="Times New Roman" w:cs="Times New Roman"/>
        </w:rPr>
        <w:t xml:space="preserve">observation, </w:t>
      </w:r>
      <m:oMath>
        <m:sSub>
          <m:sSubPr>
            <m:ctrlPr>
              <w:rPr>
                <w:rFonts w:ascii="Times New Roman" w:eastAsia="Times New Roman" w:hAnsi="Times New Roman" w:cs="Times New Roman"/>
              </w:rPr>
            </m:ctrlPr>
          </m:sSubPr>
          <m:e>
            <m:r>
              <w:rPr>
                <w:rFonts w:ascii="Times New Roman" w:eastAsia="Times New Roman" w:hAnsi="Times New Roman" w:cs="Times New Roman"/>
              </w:rPr>
              <m:t>y</m:t>
            </m:r>
          </m:e>
          <m:sub>
            <m:r>
              <w:rPr>
                <w:rFonts w:ascii="Times New Roman" w:eastAsia="Times New Roman" w:hAnsi="Times New Roman" w:cs="Times New Roman"/>
              </w:rPr>
              <m:t>i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 (i.e., the log(</w:t>
      </w:r>
      <w:r>
        <w:rPr>
          <w:rFonts w:ascii="Times New Roman" w:eastAsia="Times New Roman" w:hAnsi="Times New Roman" w:cs="Times New Roman"/>
          <w:color w:val="333333"/>
        </w:rPr>
        <w:t>ORs)</w:t>
      </w:r>
      <w:r>
        <w:rPr>
          <w:rFonts w:ascii="Times New Roman" w:eastAsia="Times New Roman" w:hAnsi="Times New Roman" w:cs="Times New Roman"/>
        </w:rPr>
        <w:t xml:space="preserve"> from the study </w:t>
      </w:r>
      <m:oMath>
        <m:r>
          <w:rPr>
            <w:rFonts w:ascii="Times New Roman" w:eastAsia="Times New Roman" w:hAnsi="Times New Roman" w:cs="Times New Roman"/>
          </w:rPr>
          <m:t>i</m:t>
        </m:r>
      </m:oMath>
      <w:r>
        <w:rPr>
          <w:rFonts w:ascii="Times New Roman" w:eastAsia="Times New Roman" w:hAnsi="Times New Roman" w:cs="Times New Roman"/>
        </w:rPr>
        <w:t xml:space="preserve">) is assumed to be normally distributed for a given mean </w:t>
      </w:r>
      <m:oMath>
        <m:sSub>
          <m:sSubPr>
            <m:ctrlPr>
              <w:rPr>
                <w:rFonts w:ascii="Times New Roman" w:eastAsia="Times New Roman" w:hAnsi="Times New Roman" w:cs="Times New Roman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Times New Roman" w:eastAsia="Times New Roman" w:hAnsi="Times New Roman" w:cs="Times New Roman"/>
              </w:rPr>
              <m:t>i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and standard error </w:t>
      </w:r>
      <m:oMath>
        <m:sSub>
          <m:sSubPr>
            <m:ctrlPr>
              <w:rPr>
                <w:rFonts w:ascii="Times New Roman" w:eastAsia="Times New Roman" w:hAnsi="Times New Roman" w:cs="Times New Roman"/>
              </w:rPr>
            </m:ctrlPr>
          </m:sSubPr>
          <m:e>
            <m:r>
              <w:rPr>
                <w:rFonts w:ascii="Cambria Math" w:hAnsi="Cambria Math"/>
              </w:rPr>
              <m:t>σ</m:t>
            </m:r>
          </m:e>
          <m:sub>
            <m:r>
              <w:rPr>
                <w:rFonts w:ascii="Times New Roman" w:eastAsia="Times New Roman" w:hAnsi="Times New Roman" w:cs="Times New Roman"/>
              </w:rPr>
              <m:t>i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. Here, </w:t>
      </w:r>
      <m:oMath>
        <m:sSub>
          <m:sSubPr>
            <m:ctrlPr>
              <w:rPr>
                <w:rFonts w:ascii="Times New Roman" w:eastAsia="Times New Roman" w:hAnsi="Times New Roman" w:cs="Times New Roman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Times New Roman" w:eastAsia="Times New Roman" w:hAnsi="Times New Roman" w:cs="Times New Roman"/>
              </w:rPr>
              <m:t>i</m:t>
            </m:r>
          </m:sub>
        </m:sSub>
      </m:oMath>
      <w:r>
        <w:rPr>
          <w:rFonts w:ascii="Times New Roman" w:eastAsia="Times New Roman" w:hAnsi="Times New Roman" w:cs="Times New Roman"/>
        </w:rPr>
        <w:t xml:space="preserve">is again assumed to be a normal random variable with a mean </w:t>
      </w:r>
      <m:oMath>
        <m:r>
          <w:rPr>
            <w:rFonts w:ascii="Cambria Math" w:hAnsi="Cambria Math"/>
          </w:rPr>
          <m:t>μ</m:t>
        </m:r>
      </m:oMath>
      <w:r>
        <w:rPr>
          <w:rFonts w:ascii="Times New Roman" w:eastAsia="Times New Roman" w:hAnsi="Times New Roman" w:cs="Times New Roman"/>
        </w:rPr>
        <w:t xml:space="preserve"> and variance </w:t>
      </w:r>
      <m:oMath>
        <m:sSup>
          <m:sSupPr>
            <m:ctrlPr>
              <w:rPr>
                <w:rFonts w:ascii="Times New Roman" w:eastAsia="Times New Roman" w:hAnsi="Times New Roman" w:cs="Times New Roman"/>
              </w:rPr>
            </m:ctrlPr>
          </m:sSupPr>
          <m:e>
            <m:r>
              <w:rPr>
                <w:rFonts w:ascii="Cambria Math" w:hAnsi="Cambria Math"/>
              </w:rPr>
              <m:t>τ</m:t>
            </m:r>
          </m:e>
          <m:sup>
            <m:r>
              <w:rPr>
                <w:rFonts w:ascii="Times New Roman" w:eastAsia="Times New Roman" w:hAnsi="Times New Roman" w:cs="Times New Roman"/>
              </w:rPr>
              <m:t>2</m:t>
            </m:r>
          </m:sup>
        </m:sSup>
      </m:oMath>
      <w:r>
        <w:rPr>
          <w:rFonts w:ascii="Times New Roman" w:eastAsia="Times New Roman" w:hAnsi="Times New Roman" w:cs="Times New Roman"/>
        </w:rPr>
        <w:t>.</w:t>
      </w:r>
    </w:p>
    <w:p w:rsidR="00AA36DE" w:rsidRDefault="00AA36DE" w:rsidP="00AA36DE">
      <w:pPr>
        <w:spacing w:after="200"/>
        <w:jc w:val="center"/>
        <w:rPr>
          <w:rFonts w:ascii="Times New Roman" w:eastAsia="Times New Roman" w:hAnsi="Times New Roman" w:cs="Times New Roman"/>
        </w:rPr>
      </w:pPr>
      <m:oMath>
        <m:sSub>
          <m:sSubPr>
            <m:ctrlPr>
              <w:rPr>
                <w:rFonts w:ascii="Times New Roman" w:eastAsia="Times New Roman" w:hAnsi="Times New Roman" w:cs="Times New Roman"/>
              </w:rPr>
            </m:ctrlPr>
          </m:sSubPr>
          <m:e>
            <m:r>
              <w:rPr>
                <w:rFonts w:ascii="Times New Roman" w:eastAsia="Times New Roman" w:hAnsi="Times New Roman" w:cs="Times New Roman"/>
              </w:rPr>
              <m:t>y</m:t>
            </m:r>
          </m:e>
          <m:sub>
            <m:r>
              <w:rPr>
                <w:rFonts w:ascii="Times New Roman" w:eastAsia="Times New Roman" w:hAnsi="Times New Roman" w:cs="Times New Roman"/>
              </w:rPr>
              <m:t>i</m:t>
            </m:r>
          </m:sub>
        </m:sSub>
        <m:r>
          <w:rPr>
            <w:rFonts w:ascii="Times New Roman" w:eastAsia="Times New Roman" w:hAnsi="Times New Roman" w:cs="Times New Roman"/>
          </w:rPr>
          <m:t>∼</m:t>
        </m:r>
      </m:oMath>
      <w:r>
        <w:rPr>
          <w:rFonts w:ascii="Times New Roman" w:eastAsia="Times New Roman" w:hAnsi="Times New Roman" w:cs="Times New Roman"/>
        </w:rPr>
        <w:t xml:space="preserve"> Normal</w:t>
      </w:r>
      <m:oMath>
        <m:r>
          <m:rPr>
            <m:sty m:val="p"/>
          </m:rPr>
          <w:rPr>
            <w:rFonts w:ascii="Cambria Math" w:eastAsia="Times New Roman" w:hAnsi="Cambria Math" w:cs="Times New Roman"/>
          </w:rPr>
          <m:t>(</m:t>
        </m:r>
        <m:sSub>
          <m:sSubPr>
            <m:ctrlPr>
              <w:rPr>
                <w:rFonts w:ascii="Times New Roman" w:eastAsia="Times New Roman" w:hAnsi="Times New Roman" w:cs="Times New Roman"/>
              </w:rPr>
            </m:ctrlPr>
          </m:sSubPr>
          <m:e>
            <m:r>
              <w:rPr>
                <w:rFonts w:ascii="Times New Roman" w:eastAsia="Times New Roman" w:hAnsi="Times New Roman" w:cs="Times New Roman"/>
              </w:rPr>
              <m:t>θ</m:t>
            </m:r>
          </m:e>
          <m:sub>
            <m:r>
              <w:rPr>
                <w:rFonts w:ascii="Times New Roman" w:eastAsia="Times New Roman" w:hAnsi="Times New Roman" w:cs="Times New Roman"/>
              </w:rPr>
              <m:t>i</m:t>
            </m:r>
          </m:sub>
        </m:sSub>
        <m:r>
          <w:rPr>
            <w:rFonts w:ascii="Times New Roman" w:eastAsia="Times New Roman" w:hAnsi="Times New Roman" w:cs="Times New Roman"/>
          </w:rPr>
          <m:t>,</m:t>
        </m:r>
        <m:r>
          <w:rPr>
            <w:rFonts w:ascii="Cambria Math" w:eastAsia="Times New Roman" w:hAnsi="Times New Roman" w:cs="Times New Roman"/>
          </w:rPr>
          <m:t xml:space="preserve">  </m:t>
        </m:r>
        <m:sSup>
          <m:sSupPr>
            <m:ctrlPr>
              <w:rPr>
                <w:rFonts w:ascii="Times New Roman" w:eastAsia="Times New Roman" w:hAnsi="Times New Roman" w:cs="Times New Roman"/>
              </w:rPr>
            </m:ctrlPr>
          </m:sSupPr>
          <m:e>
            <m:sSub>
              <m:sSubPr>
                <m:ctrlPr>
                  <w:rPr>
                    <w:rFonts w:ascii="Times New Roman" w:eastAsia="Times New Roman" w:hAnsi="Times New Roman" w:cs="Times New Roman"/>
                  </w:rPr>
                </m:ctrlPr>
              </m:sSubPr>
              <m:e>
                <m:r>
                  <w:rPr>
                    <w:rFonts w:ascii="Times New Roman" w:eastAsia="Times New Roman" w:hAnsi="Times New Roman" w:cs="Times New Roman"/>
                  </w:rPr>
                  <m:t>σ</m:t>
                </m:r>
              </m:e>
              <m:sub>
                <m:r>
                  <w:rPr>
                    <w:rFonts w:ascii="Times New Roman" w:eastAsia="Times New Roman" w:hAnsi="Times New Roman" w:cs="Times New Roman"/>
                  </w:rPr>
                  <m:t>i</m:t>
                </m:r>
              </m:sub>
            </m:sSub>
          </m:e>
          <m:sup>
            <m:r>
              <w:rPr>
                <w:rFonts w:ascii="Times New Roman" w:eastAsia="Times New Roman" w:hAnsi="Times New Roman" w:cs="Times New Roman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</w:rPr>
          <m:t>)</m:t>
        </m:r>
      </m:oMath>
    </w:p>
    <w:p w:rsidR="00AA36DE" w:rsidRDefault="00AA36DE" w:rsidP="00AA36DE">
      <w:pPr>
        <w:spacing w:after="200"/>
        <w:jc w:val="center"/>
        <w:rPr>
          <w:rFonts w:ascii="Times New Roman" w:eastAsia="Times New Roman" w:hAnsi="Times New Roman" w:cs="Times New Roman"/>
        </w:rPr>
      </w:pPr>
      <m:oMath>
        <m:sSub>
          <m:sSubPr>
            <m:ctrlPr>
              <w:rPr>
                <w:rFonts w:ascii="Times New Roman" w:eastAsia="Times New Roman" w:hAnsi="Times New Roman" w:cs="Times New Roman"/>
              </w:rPr>
            </m:ctrlPr>
          </m:sSubPr>
          <m:e>
            <m:r>
              <w:rPr>
                <w:rFonts w:ascii="Cambria Math" w:hAnsi="Cambria Math"/>
              </w:rPr>
              <m:t>θ</m:t>
            </m:r>
          </m:e>
          <m:sub>
            <m:r>
              <w:rPr>
                <w:rFonts w:ascii="Times New Roman" w:eastAsia="Times New Roman" w:hAnsi="Times New Roman" w:cs="Times New Roman"/>
              </w:rPr>
              <m:t>i</m:t>
            </m:r>
          </m:sub>
        </m:sSub>
        <m:r>
          <w:rPr>
            <w:rFonts w:ascii="Times New Roman" w:eastAsia="Times New Roman" w:hAnsi="Times New Roman" w:cs="Times New Roman"/>
          </w:rPr>
          <m:t>∼</m:t>
        </m:r>
      </m:oMath>
      <w:r>
        <w:rPr>
          <w:rFonts w:ascii="Times New Roman" w:eastAsia="Times New Roman" w:hAnsi="Times New Roman" w:cs="Times New Roman"/>
        </w:rPr>
        <w:t xml:space="preserve">  Normal</w:t>
      </w:r>
      <m:oMath>
        <m:r>
          <m:rPr>
            <m:sty m:val="p"/>
          </m:rPr>
          <w:rPr>
            <w:rFonts w:ascii="Cambria Math" w:eastAsia="Times New Roman" w:hAnsi="Cambria Math" w:cs="Times New Roman"/>
          </w:rPr>
          <m:t>(</m:t>
        </m:r>
        <m:r>
          <w:rPr>
            <w:rFonts w:ascii="Times New Roman" w:eastAsia="Times New Roman" w:hAnsi="Times New Roman" w:cs="Times New Roman"/>
          </w:rPr>
          <m:t>μ,</m:t>
        </m:r>
        <m:r>
          <w:rPr>
            <w:rFonts w:ascii="Cambria Math" w:eastAsia="Times New Roman" w:hAnsi="Times New Roman" w:cs="Times New Roman"/>
          </w:rPr>
          <m:t xml:space="preserve"> </m:t>
        </m:r>
        <m:sSup>
          <m:sSupPr>
            <m:ctrlPr>
              <w:rPr>
                <w:rFonts w:ascii="Times New Roman" w:eastAsia="Times New Roman" w:hAnsi="Times New Roman" w:cs="Times New Roman"/>
              </w:rPr>
            </m:ctrlPr>
          </m:sSupPr>
          <m:e>
            <m:r>
              <w:rPr>
                <w:rFonts w:ascii="Times New Roman" w:eastAsia="Times New Roman" w:hAnsi="Times New Roman" w:cs="Times New Roman"/>
              </w:rPr>
              <m:t>τ</m:t>
            </m:r>
          </m:e>
          <m:sup>
            <m:r>
              <w:rPr>
                <w:rFonts w:ascii="Times New Roman" w:eastAsia="Times New Roman" w:hAnsi="Times New Roman" w:cs="Times New Roman"/>
              </w:rPr>
              <m:t>2</m:t>
            </m:r>
          </m:sup>
        </m:sSup>
        <m:r>
          <m:rPr>
            <m:sty m:val="p"/>
          </m:rPr>
          <w:rPr>
            <w:rFonts w:ascii="Cambria Math" w:eastAsia="Times New Roman" w:hAnsi="Cambria Math" w:cs="Times New Roman"/>
          </w:rPr>
          <m:t>)</m:t>
        </m:r>
      </m:oMath>
    </w:p>
    <w:p w:rsidR="00AA36DE" w:rsidRDefault="00AA36DE" w:rsidP="00AA36DE">
      <w:pPr>
        <w:spacing w:after="200"/>
        <w:jc w:val="center"/>
        <w:rPr>
          <w:rFonts w:ascii="Times New Roman" w:eastAsia="Times New Roman" w:hAnsi="Times New Roman" w:cs="Times New Roman"/>
        </w:rPr>
      </w:pPr>
      <m:oMath>
        <m:r>
          <w:rPr>
            <w:rFonts w:ascii="Cambria Math" w:hAnsi="Cambria Math"/>
          </w:rPr>
          <m:t>μ∼</m:t>
        </m:r>
      </m:oMath>
      <w:r>
        <w:rPr>
          <w:rFonts w:ascii="Times New Roman" w:eastAsia="Times New Roman" w:hAnsi="Times New Roman" w:cs="Times New Roman"/>
        </w:rPr>
        <w:t xml:space="preserve">  Normal</w:t>
      </w:r>
      <m:oMath>
        <m:r>
          <m:rPr>
            <m:sty m:val="p"/>
          </m:rPr>
          <w:rPr>
            <w:rFonts w:ascii="Cambria Math" w:eastAsia="Times New Roman" w:hAnsi="Cambria Math" w:cs="Times New Roman"/>
          </w:rPr>
          <m:t>(0, 1)</m:t>
        </m:r>
      </m:oMath>
    </w:p>
    <w:p w:rsidR="00AA36DE" w:rsidRDefault="00AA36DE" w:rsidP="00AA36DE">
      <w:pPr>
        <w:spacing w:after="200"/>
        <w:jc w:val="center"/>
        <w:rPr>
          <w:rFonts w:ascii="Times New Roman" w:eastAsia="Times New Roman" w:hAnsi="Times New Roman" w:cs="Times New Roman"/>
        </w:rPr>
      </w:pPr>
      <m:oMath>
        <m:r>
          <w:rPr>
            <w:rFonts w:ascii="Cambria Math" w:hAnsi="Cambria Math"/>
          </w:rPr>
          <m:t>τ∼</m:t>
        </m:r>
      </m:oMath>
      <w:r>
        <w:rPr>
          <w:rFonts w:ascii="Times New Roman" w:eastAsia="Times New Roman" w:hAnsi="Times New Roman" w:cs="Times New Roman"/>
        </w:rPr>
        <w:t xml:space="preserve"> Half-Cauchy</w:t>
      </w:r>
      <m:oMath>
        <m:r>
          <m:rPr>
            <m:sty m:val="p"/>
          </m:rPr>
          <w:rPr>
            <w:rFonts w:ascii="Cambria Math" w:eastAsia="Times New Roman" w:hAnsi="Cambria Math" w:cs="Times New Roman"/>
          </w:rPr>
          <m:t>(0, 0.5)</m:t>
        </m:r>
      </m:oMath>
    </w:p>
    <w:p w:rsidR="00AA36DE" w:rsidRDefault="00AA36DE" w:rsidP="00AA36DE">
      <w:pPr>
        <w:spacing w:after="200" w:line="480" w:lineRule="auto"/>
        <w:jc w:val="center"/>
        <w:rPr>
          <w:rFonts w:ascii="Times New Roman" w:eastAsia="Times New Roman" w:hAnsi="Times New Roman" w:cs="Times New Roman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480" w:lineRule="auto"/>
        <w:rPr>
          <w:rFonts w:ascii="Times New Roman" w:eastAsia="Times New Roman" w:hAnsi="Times New Roman" w:cs="Times New Roman"/>
          <w:color w:val="333333"/>
        </w:rPr>
      </w:pPr>
      <w:r>
        <w:rPr>
          <w:rFonts w:ascii="Times New Roman" w:eastAsia="Times New Roman" w:hAnsi="Times New Roman" w:cs="Times New Roman"/>
          <w:color w:val="333333"/>
        </w:rPr>
        <w:t>Our main interest is to estimate</w:t>
      </w:r>
      <w:r>
        <w:rPr>
          <w:rFonts w:ascii="Times New Roman" w:eastAsia="Times New Roman" w:hAnsi="Times New Roman" w:cs="Times New Roman"/>
        </w:rPr>
        <w:t xml:space="preserve"> the true pooled effect size </w:t>
      </w:r>
      <m:oMath>
        <m:r>
          <w:rPr>
            <w:rFonts w:ascii="Cambria Math" w:hAnsi="Cambria Math"/>
          </w:rPr>
          <m:t>μ</m:t>
        </m:r>
      </m:oMath>
      <w:r>
        <w:rPr>
          <w:rFonts w:ascii="Times New Roman" w:eastAsia="Times New Roman" w:hAnsi="Times New Roman" w:cs="Times New Roman"/>
        </w:rPr>
        <w:t xml:space="preserve"> and the between-study heterogeneity</w:t>
      </w:r>
      <m:oMath>
        <m:r>
          <w:rPr>
            <w:rFonts w:ascii="Times New Roman" w:eastAsia="Times New Roman" w:hAnsi="Times New Roman" w:cs="Times New Roman"/>
          </w:rPr>
          <m:t xml:space="preserve">, </m:t>
        </m:r>
        <m:sSup>
          <m:sSupPr>
            <m:ctrlPr>
              <w:rPr>
                <w:rFonts w:ascii="Times New Roman" w:eastAsia="Times New Roman" w:hAnsi="Times New Roman" w:cs="Times New Roman"/>
              </w:rPr>
            </m:ctrlPr>
          </m:sSupPr>
          <m:e>
            <m:r>
              <w:rPr>
                <w:rFonts w:ascii="Times New Roman" w:eastAsia="Times New Roman" w:hAnsi="Times New Roman" w:cs="Times New Roman"/>
              </w:rPr>
              <m:t>τ</m:t>
            </m:r>
          </m:e>
          <m:sup/>
        </m:sSup>
      </m:oMath>
      <w:r>
        <w:rPr>
          <w:rFonts w:ascii="Times New Roman" w:eastAsia="Times New Roman" w:hAnsi="Times New Roman" w:cs="Times New Roman"/>
        </w:rPr>
        <w:t xml:space="preserve">. We defined prior distribution of μ as a normal distribution and τ as a half-Cauchy distribution with the location parameter of 0 and the scaling parameter of 0.5. The overall </w:t>
      </w:r>
      <w:r>
        <w:rPr>
          <w:rFonts w:ascii="Times New Roman" w:eastAsia="Times New Roman" w:hAnsi="Times New Roman" w:cs="Times New Roman"/>
          <w:color w:val="333333"/>
        </w:rPr>
        <w:t>convergence and validity of the model were confirmed using the potential scale reduction factor and posterior predictive checks. Based on the assessments, we used 10,000 iterations of the MCMC algorithm.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480" w:lineRule="auto"/>
        <w:rPr>
          <w:rFonts w:ascii="Times New Roman" w:eastAsia="Times New Roman" w:hAnsi="Times New Roman" w:cs="Times New Roman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312" w:lineRule="auto"/>
        <w:rPr>
          <w:rFonts w:ascii="Times New Roman" w:eastAsia="Times New Roman" w:hAnsi="Times New Roman" w:cs="Times New Roman"/>
        </w:rPr>
      </w:pPr>
      <w:r>
        <w:br w:type="page"/>
      </w:r>
    </w:p>
    <w:p w:rsidR="00AA36DE" w:rsidRDefault="00AA36DE" w:rsidP="00AA36DE">
      <w:pPr>
        <w:spacing w:after="200"/>
        <w:rPr>
          <w:rFonts w:ascii="Times New Roman" w:eastAsia="Times New Roman" w:hAnsi="Times New Roman" w:cs="Times New Roman"/>
          <w:color w:val="202020"/>
        </w:rPr>
      </w:pPr>
      <w:r>
        <w:rPr>
          <w:rFonts w:ascii="Times New Roman" w:eastAsia="Times New Roman" w:hAnsi="Times New Roman" w:cs="Times New Roman"/>
          <w:b/>
        </w:rPr>
        <w:lastRenderedPageBreak/>
        <w:t xml:space="preserve">Appendix E. Association between potential protective/risk WASH factors and typhoid fever. </w:t>
      </w:r>
      <w:r>
        <w:rPr>
          <w:rFonts w:ascii="Times New Roman" w:eastAsia="Times New Roman" w:hAnsi="Times New Roman" w:cs="Times New Roman"/>
        </w:rPr>
        <w:t>The forest plot illustrates the association between potential protective/risk WASH factors and typhoid fever.</w:t>
      </w:r>
      <w:r>
        <w:rPr>
          <w:rFonts w:ascii="Times New Roman" w:eastAsia="Times New Roman" w:hAnsi="Times New Roman" w:cs="Times New Roman"/>
          <w:b/>
        </w:rPr>
        <w:t xml:space="preserve"> </w:t>
      </w:r>
      <w:r>
        <w:rPr>
          <w:rFonts w:ascii="Times New Roman" w:eastAsia="Times New Roman" w:hAnsi="Times New Roman" w:cs="Times New Roman"/>
        </w:rPr>
        <w:t>Filled circles are posterior median values. Thick and thin black lines show 80% and 95% credible intervals, respectively.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312" w:lineRule="auto"/>
        <w:rPr>
          <w:rFonts w:ascii="Times New Roman" w:eastAsia="Times New Roman" w:hAnsi="Times New Roman" w:cs="Times New Roman"/>
          <w:color w:val="202020"/>
        </w:rPr>
      </w:pPr>
      <w:r>
        <w:rPr>
          <w:rFonts w:ascii="Times New Roman" w:eastAsia="Times New Roman" w:hAnsi="Times New Roman" w:cs="Times New Roman"/>
          <w:color w:val="202020"/>
        </w:rPr>
        <w:t>(A)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312" w:lineRule="auto"/>
        <w:jc w:val="center"/>
        <w:rPr>
          <w:rFonts w:ascii="Times New Roman" w:eastAsia="Times New Roman" w:hAnsi="Times New Roman" w:cs="Times New Roman"/>
          <w:color w:val="202020"/>
        </w:rPr>
      </w:pPr>
      <w:r>
        <w:rPr>
          <w:rFonts w:ascii="Times New Roman" w:eastAsia="Times New Roman" w:hAnsi="Times New Roman" w:cs="Times New Roman"/>
          <w:noProof/>
          <w:color w:val="202020"/>
          <w:lang w:val="en-US" w:eastAsia="en-US"/>
        </w:rPr>
        <w:drawing>
          <wp:inline distT="114300" distB="114300" distL="114300" distR="114300" wp14:anchorId="437FD60C" wp14:editId="1A435537">
            <wp:extent cx="5943600" cy="2971800"/>
            <wp:effectExtent l="0" t="0" r="0" b="0"/>
            <wp:docPr id="56" name="image17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7.png"/>
                    <pic:cNvPicPr preferRelativeResize="0"/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718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312" w:lineRule="auto"/>
        <w:rPr>
          <w:rFonts w:ascii="Times New Roman" w:eastAsia="Times New Roman" w:hAnsi="Times New Roman" w:cs="Times New Roman"/>
          <w:color w:val="202020"/>
        </w:rPr>
      </w:pPr>
      <w:r>
        <w:rPr>
          <w:rFonts w:ascii="Times New Roman" w:eastAsia="Times New Roman" w:hAnsi="Times New Roman" w:cs="Times New Roman"/>
          <w:color w:val="202020"/>
        </w:rPr>
        <w:t>(B)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312" w:lineRule="auto"/>
        <w:jc w:val="center"/>
        <w:rPr>
          <w:rFonts w:ascii="Times New Roman" w:eastAsia="Times New Roman" w:hAnsi="Times New Roman" w:cs="Times New Roman"/>
          <w:color w:val="202020"/>
        </w:rPr>
      </w:pPr>
      <w:r>
        <w:rPr>
          <w:rFonts w:ascii="Times New Roman" w:eastAsia="Times New Roman" w:hAnsi="Times New Roman" w:cs="Times New Roman"/>
          <w:noProof/>
          <w:color w:val="202020"/>
          <w:lang w:val="en-US" w:eastAsia="en-US"/>
        </w:rPr>
        <w:drawing>
          <wp:inline distT="114300" distB="114300" distL="114300" distR="114300" wp14:anchorId="2428E411" wp14:editId="4FC225C9">
            <wp:extent cx="5943600" cy="2958147"/>
            <wp:effectExtent l="0" t="0" r="0" b="0"/>
            <wp:docPr id="57" name="image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5.png"/>
                    <pic:cNvPicPr preferRelativeResize="0"/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9581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312" w:lineRule="auto"/>
        <w:rPr>
          <w:rFonts w:ascii="Times New Roman" w:eastAsia="Times New Roman" w:hAnsi="Times New Roman" w:cs="Times New Roman"/>
          <w:color w:val="202020"/>
        </w:rPr>
      </w:pP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312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  <w:color w:val="202020"/>
        </w:rPr>
        <w:lastRenderedPageBreak/>
        <w:t xml:space="preserve">Appendix F. Meta-analyses of WASH exposures and typhoid fever. </w:t>
      </w:r>
      <w:r>
        <w:rPr>
          <w:rFonts w:ascii="Times New Roman" w:eastAsia="Times New Roman" w:hAnsi="Times New Roman" w:cs="Times New Roman"/>
          <w:color w:val="202020"/>
        </w:rPr>
        <w:t xml:space="preserve">This table shows the pooled estimates using both frequentist and Bayesian approaches. </w:t>
      </w:r>
      <w:r>
        <w:rPr>
          <w:rFonts w:ascii="Times New Roman" w:eastAsia="Times New Roman" w:hAnsi="Times New Roman" w:cs="Times New Roman"/>
        </w:rPr>
        <w:t xml:space="preserve">The results of the Bayesian meta-analyses of WASH exposures and typhoid fever are shown with pooled odds ratio and 95% credible intervals. Standard deviation (SD) of true effects represents τ value. </w:t>
      </w:r>
      <w:r>
        <w:rPr>
          <w:rFonts w:ascii="Times New Roman" w:eastAsia="Times New Roman" w:hAnsi="Times New Roman" w:cs="Times New Roman"/>
          <w:color w:val="202020"/>
        </w:rPr>
        <w:t xml:space="preserve">Heterogeneity in frequentist meta-analysis was assessed by using the </w:t>
      </w:r>
      <m:oMath>
        <m:sSup>
          <m:sSupPr>
            <m:ctrlP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m:ctrlPr>
          </m:sSupPr>
          <m:e>
            <m:r>
              <m:rPr>
                <m:sty m:val="bi"/>
              </m:rP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m:t>I</m:t>
            </m:r>
          </m:e>
          <m:sup>
            <m:r>
              <m:rPr>
                <m:sty m:val="bi"/>
              </m:rP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m:t>2</m:t>
            </m:r>
          </m:sup>
        </m:sSup>
      </m:oMath>
      <w:r>
        <w:rPr>
          <w:rFonts w:ascii="Times New Roman" w:eastAsia="Times New Roman" w:hAnsi="Times New Roman" w:cs="Times New Roman"/>
          <w:color w:val="202020"/>
        </w:rPr>
        <w:t xml:space="preserve"> statistic.</w:t>
      </w:r>
      <w:r>
        <w:rPr>
          <w:rFonts w:ascii="Times New Roman" w:eastAsia="Times New Roman" w:hAnsi="Times New Roman" w:cs="Times New Roman"/>
          <w:b/>
          <w:color w:val="202020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The results were also compared with the previous studies of Brockett et al </w:t>
      </w:r>
      <w:hyperlink r:id="rId15">
        <w:r>
          <w:rPr>
            <w:rFonts w:ascii="Times New Roman" w:eastAsia="Times New Roman" w:hAnsi="Times New Roman" w:cs="Times New Roman"/>
            <w:color w:val="000000"/>
          </w:rPr>
          <w:t>(12)</w:t>
        </w:r>
      </w:hyperlink>
      <w:r>
        <w:rPr>
          <w:rFonts w:ascii="Times New Roman" w:eastAsia="Times New Roman" w:hAnsi="Times New Roman" w:cs="Times New Roman"/>
        </w:rPr>
        <w:t xml:space="preserve"> and Mogasale et al (6).</w:t>
      </w:r>
    </w:p>
    <w:tbl>
      <w:tblPr>
        <w:tblW w:w="933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15"/>
        <w:gridCol w:w="645"/>
        <w:gridCol w:w="1485"/>
        <w:gridCol w:w="720"/>
        <w:gridCol w:w="1485"/>
        <w:gridCol w:w="810"/>
        <w:gridCol w:w="1470"/>
        <w:gridCol w:w="1500"/>
      </w:tblGrid>
      <w:tr w:rsidR="00AA36DE" w:rsidTr="008A030F">
        <w:trPr>
          <w:trHeight w:val="380"/>
        </w:trPr>
        <w:tc>
          <w:tcPr>
            <w:tcW w:w="1215" w:type="dxa"/>
            <w:vMerge w:val="restart"/>
            <w:tcBorders>
              <w:top w:val="single" w:sz="8" w:space="0" w:color="202020"/>
              <w:left w:val="nil"/>
              <w:bottom w:val="single" w:sz="8" w:space="0" w:color="20202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</w:p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WASH indicators</w:t>
            </w:r>
          </w:p>
        </w:tc>
        <w:tc>
          <w:tcPr>
            <w:tcW w:w="5145" w:type="dxa"/>
            <w:gridSpan w:val="5"/>
            <w:tcBorders>
              <w:top w:val="single" w:sz="8" w:space="0" w:color="202020"/>
              <w:left w:val="single" w:sz="8" w:space="0" w:color="000000"/>
              <w:bottom w:val="single" w:sz="8" w:space="0" w:color="20202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02020"/>
                <w:sz w:val="18"/>
                <w:szCs w:val="18"/>
              </w:rPr>
              <w:t>Current study</w:t>
            </w:r>
          </w:p>
        </w:tc>
        <w:tc>
          <w:tcPr>
            <w:tcW w:w="2970" w:type="dxa"/>
            <w:gridSpan w:val="2"/>
            <w:tcBorders>
              <w:top w:val="single" w:sz="8" w:space="0" w:color="202020"/>
              <w:left w:val="single" w:sz="8" w:space="0" w:color="000000"/>
              <w:bottom w:val="single" w:sz="8" w:space="0" w:color="20202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02020"/>
                <w:sz w:val="18"/>
                <w:szCs w:val="18"/>
              </w:rPr>
              <w:t>Previous studies</w:t>
            </w:r>
          </w:p>
        </w:tc>
      </w:tr>
      <w:tr w:rsidR="00AA36DE" w:rsidTr="008A030F">
        <w:trPr>
          <w:trHeight w:val="380"/>
        </w:trPr>
        <w:tc>
          <w:tcPr>
            <w:tcW w:w="1215" w:type="dxa"/>
            <w:vMerge/>
            <w:tcBorders>
              <w:top w:val="single" w:sz="8" w:space="0" w:color="202020"/>
              <w:left w:val="nil"/>
              <w:bottom w:val="single" w:sz="8" w:space="0" w:color="20202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b/>
                <w:i/>
                <w:color w:val="202020"/>
                <w:sz w:val="18"/>
                <w:szCs w:val="18"/>
              </w:rPr>
            </w:pPr>
          </w:p>
        </w:tc>
        <w:tc>
          <w:tcPr>
            <w:tcW w:w="645" w:type="dxa"/>
            <w:tcBorders>
              <w:top w:val="single" w:sz="8" w:space="0" w:color="202020"/>
              <w:left w:val="single" w:sz="8" w:space="0" w:color="000000"/>
              <w:bottom w:val="single" w:sz="8" w:space="0" w:color="20202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202020"/>
                <w:sz w:val="18"/>
                <w:szCs w:val="18"/>
              </w:rPr>
              <w:t>N</w:t>
            </w: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*</w:t>
            </w:r>
          </w:p>
        </w:tc>
        <w:tc>
          <w:tcPr>
            <w:tcW w:w="1485" w:type="dxa"/>
            <w:tcBorders>
              <w:top w:val="single" w:sz="8" w:space="0" w:color="202020"/>
              <w:left w:val="single" w:sz="8" w:space="0" w:color="000000"/>
              <w:bottom w:val="single" w:sz="8" w:space="0" w:color="20202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Pooled OR</w:t>
            </w:r>
          </w:p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[95% CrI]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†</w:t>
            </w:r>
          </w:p>
        </w:tc>
        <w:tc>
          <w:tcPr>
            <w:tcW w:w="720" w:type="dxa"/>
            <w:tcBorders>
              <w:top w:val="single" w:sz="8" w:space="0" w:color="202020"/>
              <w:left w:val="nil"/>
              <w:bottom w:val="single" w:sz="8" w:space="0" w:color="20202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SD</w:t>
            </w:r>
          </w:p>
        </w:tc>
        <w:tc>
          <w:tcPr>
            <w:tcW w:w="1485" w:type="dxa"/>
            <w:tcBorders>
              <w:top w:val="single" w:sz="8" w:space="0" w:color="202020"/>
              <w:left w:val="single" w:sz="8" w:space="0" w:color="000000"/>
              <w:bottom w:val="single" w:sz="8" w:space="0" w:color="20202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Pooled OR</w:t>
            </w:r>
          </w:p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[95% CI]</w:t>
            </w:r>
            <w:r>
              <w:rPr>
                <w:rFonts w:ascii="Times New Roman" w:eastAsia="Times New Roman" w:hAnsi="Times New Roman" w:cs="Times New Roman"/>
                <w:color w:val="333333"/>
                <w:sz w:val="18"/>
                <w:szCs w:val="18"/>
              </w:rPr>
              <w:t>††</w:t>
            </w:r>
          </w:p>
        </w:tc>
        <w:tc>
          <w:tcPr>
            <w:tcW w:w="810" w:type="dxa"/>
            <w:tcBorders>
              <w:top w:val="single" w:sz="8" w:space="0" w:color="202020"/>
              <w:left w:val="nil"/>
              <w:bottom w:val="single" w:sz="8" w:space="0" w:color="20202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m:oMathPara>
              <m:oMath>
                <m:sSup>
                  <m:sSupPr>
                    <m:ctrlPr>
                      <w:rPr>
                        <w:rFonts w:ascii="Times New Roman" w:eastAsia="Times New Roman" w:hAnsi="Times New Roman" w:cs="Times New Roman"/>
                        <w:b/>
                        <w:color w:val="202020"/>
                        <w:sz w:val="18"/>
                        <w:szCs w:val="18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Times New Roman" w:eastAsia="Times New Roman" w:hAnsi="Times New Roman" w:cs="Times New Roman"/>
                        <w:color w:val="202020"/>
                        <w:sz w:val="18"/>
                        <w:szCs w:val="18"/>
                      </w:rPr>
                      <m:t>I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Times New Roman" w:eastAsia="Times New Roman" w:hAnsi="Times New Roman" w:cs="Times New Roman"/>
                        <w:color w:val="202020"/>
                        <w:sz w:val="18"/>
                        <w:szCs w:val="18"/>
                      </w:rPr>
                      <m:t>2</m:t>
                    </m:r>
                  </m:sup>
                </m:sSup>
              </m:oMath>
            </m:oMathPara>
          </w:p>
        </w:tc>
        <w:tc>
          <w:tcPr>
            <w:tcW w:w="1470" w:type="dxa"/>
            <w:tcBorders>
              <w:top w:val="single" w:sz="8" w:space="0" w:color="202020"/>
              <w:left w:val="single" w:sz="8" w:space="0" w:color="000000"/>
              <w:bottom w:val="single" w:sz="8" w:space="0" w:color="20202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Brockett</w:t>
            </w:r>
          </w:p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(2020)</w:t>
            </w:r>
          </w:p>
        </w:tc>
        <w:tc>
          <w:tcPr>
            <w:tcW w:w="1500" w:type="dxa"/>
            <w:tcBorders>
              <w:top w:val="single" w:sz="8" w:space="0" w:color="202020"/>
              <w:left w:val="nil"/>
              <w:bottom w:val="single" w:sz="8" w:space="0" w:color="20202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>Mogasale</w:t>
            </w:r>
          </w:p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b/>
                <w:color w:val="202020"/>
                <w:sz w:val="18"/>
                <w:szCs w:val="18"/>
              </w:rPr>
              <w:t xml:space="preserve"> (2018)</w:t>
            </w:r>
          </w:p>
        </w:tc>
      </w:tr>
      <w:tr w:rsidR="00AA36DE" w:rsidTr="008A030F">
        <w:tc>
          <w:tcPr>
            <w:tcW w:w="1215" w:type="dxa"/>
            <w:tcBorders>
              <w:top w:val="single" w:sz="8" w:space="0" w:color="202020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Improved water source</w:t>
            </w:r>
          </w:p>
        </w:tc>
        <w:tc>
          <w:tcPr>
            <w:tcW w:w="645" w:type="dxa"/>
            <w:tcBorders>
              <w:top w:val="single" w:sz="8" w:space="0" w:color="202020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3</w:t>
            </w:r>
          </w:p>
        </w:tc>
        <w:tc>
          <w:tcPr>
            <w:tcW w:w="1485" w:type="dxa"/>
            <w:tcBorders>
              <w:top w:val="single" w:sz="8" w:space="0" w:color="202020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0.54 [0.31, 1.08]</w:t>
            </w:r>
          </w:p>
        </w:tc>
        <w:tc>
          <w:tcPr>
            <w:tcW w:w="720" w:type="dxa"/>
            <w:tcBorders>
              <w:top w:val="single" w:sz="8" w:space="0" w:color="202020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0.29</w:t>
            </w:r>
          </w:p>
        </w:tc>
        <w:tc>
          <w:tcPr>
            <w:tcW w:w="1485" w:type="dxa"/>
            <w:tcBorders>
              <w:top w:val="single" w:sz="8" w:space="0" w:color="202020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0.51 [0.31, 0.83]</w:t>
            </w:r>
          </w:p>
        </w:tc>
        <w:tc>
          <w:tcPr>
            <w:tcW w:w="810" w:type="dxa"/>
            <w:tcBorders>
              <w:top w:val="single" w:sz="8" w:space="0" w:color="202020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0.00 %</w:t>
            </w:r>
          </w:p>
        </w:tc>
        <w:tc>
          <w:tcPr>
            <w:tcW w:w="1470" w:type="dxa"/>
            <w:tcBorders>
              <w:top w:val="single" w:sz="8" w:space="0" w:color="202020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0.73 [0.56, 0.95]</w:t>
            </w:r>
          </w:p>
        </w:tc>
        <w:tc>
          <w:tcPr>
            <w:tcW w:w="1500" w:type="dxa"/>
            <w:tcBorders>
              <w:top w:val="single" w:sz="8" w:space="0" w:color="202020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0.70 [0.46, 1.05]</w:t>
            </w:r>
          </w:p>
        </w:tc>
      </w:tr>
      <w:tr w:rsidR="00AA36DE" w:rsidTr="008A030F">
        <w:trPr>
          <w:trHeight w:val="9"/>
        </w:trPr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Treated Water</w:t>
            </w:r>
          </w:p>
        </w:tc>
        <w:tc>
          <w:tcPr>
            <w:tcW w:w="6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7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0.54 [0.36, 0.8]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0.37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0.52 [0.36, 0.76]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54.83%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0.59 [0.45, 0.75]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NA</w:t>
            </w:r>
          </w:p>
        </w:tc>
      </w:tr>
      <w:tr w:rsidR="00AA36DE" w:rsidTr="008A030F">
        <w:trPr>
          <w:trHeight w:val="129"/>
        </w:trPr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Basic hygiene</w:t>
            </w:r>
          </w:p>
        </w:tc>
        <w:tc>
          <w:tcPr>
            <w:tcW w:w="6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3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0.60 [0.38, 0.97]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0.24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0.59 [0.44, 0.81]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0.00%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0.52 [0.40, 0.67]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NA</w:t>
            </w:r>
          </w:p>
        </w:tc>
      </w:tr>
      <w:tr w:rsidR="00AA36DE" w:rsidTr="008A030F">
        <w:trPr>
          <w:trHeight w:val="144"/>
        </w:trPr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Surface water</w:t>
            </w:r>
          </w:p>
        </w:tc>
        <w:tc>
          <w:tcPr>
            <w:tcW w:w="6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3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2.14 [1.03, 4.06]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0.35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2.35 [1.36, 4.08]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0.00 %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1.85 [1.37, 2.49]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NA</w:t>
            </w:r>
          </w:p>
        </w:tc>
      </w:tr>
      <w:tr w:rsidR="00AA36DE" w:rsidTr="008A030F"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Untreated water</w:t>
            </w:r>
          </w:p>
        </w:tc>
        <w:tc>
          <w:tcPr>
            <w:tcW w:w="6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9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1.96 [1.28, 3.27]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0.55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2.09 [1.33, 3.29]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73.97%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2.39 [1.95, 2.93]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NA</w:t>
            </w:r>
          </w:p>
        </w:tc>
      </w:tr>
      <w:tr w:rsidR="00AA36DE" w:rsidTr="008A030F">
        <w:trPr>
          <w:trHeight w:val="189"/>
        </w:trPr>
        <w:tc>
          <w:tcPr>
            <w:tcW w:w="1215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Open defecation</w:t>
            </w:r>
          </w:p>
        </w:tc>
        <w:tc>
          <w:tcPr>
            <w:tcW w:w="645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4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1.21 [0.64, 3.41]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0.56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1.40 [0.66, 2.97]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66.43%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0.99 [0.84, 1.18]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NA</w:t>
            </w:r>
          </w:p>
        </w:tc>
      </w:tr>
      <w:tr w:rsidR="00AA36DE" w:rsidTr="008A030F">
        <w:trPr>
          <w:trHeight w:val="244"/>
        </w:trPr>
        <w:tc>
          <w:tcPr>
            <w:tcW w:w="121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Limited hygiene</w:t>
            </w:r>
          </w:p>
        </w:tc>
        <w:tc>
          <w:tcPr>
            <w:tcW w:w="64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4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2.26 [1.38, 3.64]</w:t>
            </w:r>
          </w:p>
        </w:tc>
        <w:tc>
          <w:tcPr>
            <w:tcW w:w="72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0.29</w:t>
            </w:r>
          </w:p>
        </w:tc>
        <w:tc>
          <w:tcPr>
            <w:tcW w:w="14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2.32 [1.60, 3.36]</w:t>
            </w:r>
          </w:p>
        </w:tc>
        <w:tc>
          <w:tcPr>
            <w:tcW w:w="81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15.95%</w:t>
            </w:r>
          </w:p>
        </w:tc>
        <w:tc>
          <w:tcPr>
            <w:tcW w:w="147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2.20 [1.86, 2.60]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:rsidR="00AA36DE" w:rsidRDefault="00AA36DE" w:rsidP="008A030F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  <w:between w:val="none" w:sz="0" w:space="0" w:color="000000"/>
              </w:pBdr>
              <w:shd w:val="clear" w:color="auto" w:fill="FFFFFF"/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color w:val="202020"/>
                <w:sz w:val="18"/>
                <w:szCs w:val="18"/>
              </w:rPr>
              <w:t>NA</w:t>
            </w:r>
          </w:p>
        </w:tc>
      </w:tr>
    </w:tbl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312" w:lineRule="auto"/>
        <w:rPr>
          <w:rFonts w:ascii="Times New Roman" w:eastAsia="Times New Roman" w:hAnsi="Times New Roman" w:cs="Times New Roman"/>
          <w:color w:val="202020"/>
          <w:sz w:val="16"/>
          <w:szCs w:val="16"/>
        </w:rPr>
      </w:pPr>
      <w:r>
        <w:rPr>
          <w:rFonts w:ascii="Times New Roman" w:eastAsia="Times New Roman" w:hAnsi="Times New Roman" w:cs="Times New Roman"/>
          <w:color w:val="202020"/>
          <w:sz w:val="16"/>
          <w:szCs w:val="16"/>
        </w:rPr>
        <w:t>*Number of exposures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† Pooled estimates using Bayesian meta-analysis approach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line="240" w:lineRule="auto"/>
        <w:rPr>
          <w:rFonts w:ascii="Times New Roman" w:eastAsia="Times New Roman" w:hAnsi="Times New Roman" w:cs="Times New Roman"/>
          <w:color w:val="333333"/>
          <w:sz w:val="18"/>
          <w:szCs w:val="18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†† Pooled estimates using frequentist meta-analysis approach</w:t>
      </w:r>
    </w:p>
    <w:p w:rsidR="00AA36DE" w:rsidRDefault="00AA36DE" w:rsidP="00AA36D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spacing w:after="200" w:line="312" w:lineRule="auto"/>
        <w:rPr>
          <w:rFonts w:ascii="Times New Roman" w:eastAsia="Times New Roman" w:hAnsi="Times New Roman" w:cs="Times New Roman"/>
          <w:color w:val="000000"/>
          <w:sz w:val="18"/>
          <w:szCs w:val="18"/>
        </w:rPr>
      </w:pPr>
      <w:r>
        <w:rPr>
          <w:rFonts w:ascii="Times New Roman" w:eastAsia="Times New Roman" w:hAnsi="Times New Roman" w:cs="Times New Roman"/>
          <w:color w:val="333333"/>
          <w:sz w:val="18"/>
          <w:szCs w:val="18"/>
        </w:rPr>
        <w:t>NA - not available</w:t>
      </w:r>
    </w:p>
    <w:p w:rsidR="005A5676" w:rsidRDefault="005A5676">
      <w:bookmarkStart w:id="0" w:name="_GoBack"/>
      <w:bookmarkEnd w:id="0"/>
    </w:p>
    <w:sectPr w:rsidR="005A5676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6DE"/>
    <w:rsid w:val="000D0768"/>
    <w:rsid w:val="00133BF7"/>
    <w:rsid w:val="001D415C"/>
    <w:rsid w:val="00347CDE"/>
    <w:rsid w:val="003C584C"/>
    <w:rsid w:val="003C5D6C"/>
    <w:rsid w:val="004724DC"/>
    <w:rsid w:val="00515BAA"/>
    <w:rsid w:val="0052149C"/>
    <w:rsid w:val="00550FF5"/>
    <w:rsid w:val="005A5676"/>
    <w:rsid w:val="006D73A8"/>
    <w:rsid w:val="008D0A40"/>
    <w:rsid w:val="00952A34"/>
    <w:rsid w:val="00AA36DE"/>
    <w:rsid w:val="00AC7429"/>
    <w:rsid w:val="00C87B4B"/>
    <w:rsid w:val="00CE7BB6"/>
    <w:rsid w:val="00D40FD5"/>
    <w:rsid w:val="00EC21E9"/>
    <w:rsid w:val="00EE4FBA"/>
    <w:rsid w:val="00F35837"/>
    <w:rsid w:val="00F73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3E2741D-3051-40AA-AB45-A11F323F2D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A36DE"/>
    <w:pPr>
      <w:spacing w:after="0" w:line="276" w:lineRule="auto"/>
    </w:pPr>
    <w:rPr>
      <w:rFonts w:ascii="Arial" w:eastAsia="Arial" w:hAnsi="Arial" w:cs="Arial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hyperlink" Target="https://sciwheel.com/work/citation?ids=12117344&amp;pre=&amp;suf=&amp;sa=0" TargetMode="External"/><Relationship Id="rId10" Type="http://schemas.openxmlformats.org/officeDocument/2006/relationships/image" Target="media/image6.png"/><Relationship Id="rId4" Type="http://schemas.openxmlformats.org/officeDocument/2006/relationships/hyperlink" Target="https://spreadsheets.google.com/feeds/download/spreadsheets/Export?key=1ArKNfpa124oPdrbGK1-9PnzRWWvffsxgOUfgCVs_p2Q&amp;exportFormat=csv" TargetMode="Externa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650</Words>
  <Characters>3705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Neriza Juslin Buenavista</dc:creator>
  <cp:keywords/>
  <dc:description/>
  <cp:lastModifiedBy>Neriza Juslin Buenavista</cp:lastModifiedBy>
  <cp:revision>1</cp:revision>
  <dcterms:created xsi:type="dcterms:W3CDTF">2023-07-12T02:37:00Z</dcterms:created>
  <dcterms:modified xsi:type="dcterms:W3CDTF">2023-07-12T02:38:00Z</dcterms:modified>
</cp:coreProperties>
</file>