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23E89" w14:textId="16E762D9" w:rsidR="007903F7" w:rsidRDefault="00215A9C" w:rsidP="00215A9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6. Intervention outcomes (n=27)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8"/>
        <w:gridCol w:w="1710"/>
        <w:gridCol w:w="1710"/>
        <w:gridCol w:w="6948"/>
      </w:tblGrid>
      <w:tr w:rsidR="00215A9C" w14:paraId="73608165" w14:textId="77777777" w:rsidTr="00215A9C">
        <w:tc>
          <w:tcPr>
            <w:tcW w:w="2808" w:type="dxa"/>
          </w:tcPr>
          <w:p w14:paraId="18318F5E" w14:textId="58054FBB" w:rsidR="00215A9C" w:rsidRPr="00215A9C" w:rsidRDefault="00215A9C" w:rsidP="00215A9C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5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Author, Publication year</w:t>
            </w:r>
          </w:p>
        </w:tc>
        <w:tc>
          <w:tcPr>
            <w:tcW w:w="1710" w:type="dxa"/>
          </w:tcPr>
          <w:p w14:paraId="4055B92E" w14:textId="4CAFEF76" w:rsidR="00215A9C" w:rsidRPr="00215A9C" w:rsidRDefault="00215A9C" w:rsidP="00215A9C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5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Disease targeted: HBV, HCV, or integrated</w:t>
            </w:r>
          </w:p>
        </w:tc>
        <w:tc>
          <w:tcPr>
            <w:tcW w:w="1710" w:type="dxa"/>
          </w:tcPr>
          <w:p w14:paraId="33ADDDBF" w14:textId="62627296" w:rsidR="00215A9C" w:rsidRPr="00215A9C" w:rsidRDefault="00215A9C" w:rsidP="00215A9C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5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Intervention</w:t>
            </w:r>
          </w:p>
        </w:tc>
        <w:tc>
          <w:tcPr>
            <w:tcW w:w="6948" w:type="dxa"/>
          </w:tcPr>
          <w:p w14:paraId="3020BF88" w14:textId="67480A55" w:rsidR="00215A9C" w:rsidRPr="00215A9C" w:rsidRDefault="00215A9C" w:rsidP="00215A9C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5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Outcome</w:t>
            </w:r>
          </w:p>
        </w:tc>
      </w:tr>
      <w:tr w:rsidR="00215A9C" w14:paraId="51586AA0" w14:textId="77777777" w:rsidTr="00406B7F">
        <w:tc>
          <w:tcPr>
            <w:tcW w:w="13176" w:type="dxa"/>
            <w:gridSpan w:val="4"/>
          </w:tcPr>
          <w:p w14:paraId="77A35DF5" w14:textId="13442B8E" w:rsidR="00215A9C" w:rsidRPr="00215A9C" w:rsidRDefault="00215A9C" w:rsidP="00215A9C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hAnsi="Times New Roman" w:cs="Times New Roman"/>
                <w:sz w:val="24"/>
                <w:szCs w:val="24"/>
              </w:rPr>
              <w:t>Educational outcomes</w:t>
            </w:r>
          </w:p>
        </w:tc>
      </w:tr>
      <w:tr w:rsidR="006A03E0" w14:paraId="570D2462" w14:textId="77777777" w:rsidTr="00215A9C">
        <w:tc>
          <w:tcPr>
            <w:tcW w:w="2808" w:type="dxa"/>
            <w:vAlign w:val="bottom"/>
          </w:tcPr>
          <w:p w14:paraId="47FF683F" w14:textId="3007013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Sievert, 2018</w:t>
            </w:r>
          </w:p>
        </w:tc>
        <w:tc>
          <w:tcPr>
            <w:tcW w:w="1710" w:type="dxa"/>
            <w:vAlign w:val="bottom"/>
          </w:tcPr>
          <w:p w14:paraId="2C4F16D9" w14:textId="17C6CCDD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710" w:type="dxa"/>
            <w:vAlign w:val="bottom"/>
          </w:tcPr>
          <w:p w14:paraId="712C5420" w14:textId="40ADF601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6948" w:type="dxa"/>
            <w:vAlign w:val="bottom"/>
          </w:tcPr>
          <w:p w14:paraId="4CA452E6" w14:textId="25B04DE4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There were 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participants in the </w:t>
            </w:r>
            <w:proofErr w:type="spellStart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Rohingyan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forum and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 participants in the Afghan forum. Participants in the Afghan and Rohingya community forums showed significant increase in HBV knowledge improvement 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 pre- and post-forum surveys, including i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mproved knowledge on correct HBV transmission routes. However, incorrect perception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that HBV could be cured persisted in the </w:t>
            </w:r>
            <w:proofErr w:type="spellStart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Rohingyan</w:t>
            </w:r>
            <w:proofErr w:type="spellEnd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group. One </w:t>
            </w:r>
            <w:proofErr w:type="spellStart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Rohingyan</w:t>
            </w:r>
            <w:proofErr w:type="spellEnd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patient visited his GP to initiate follow‐up for his previou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diagnos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 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and unmanaged HBV after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forum. The HBV focused radio progra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was downloaded 5000 times per month and streamed 2000 times per month nationally.</w:t>
            </w:r>
          </w:p>
        </w:tc>
      </w:tr>
      <w:tr w:rsidR="006A03E0" w14:paraId="4831DA48" w14:textId="77777777" w:rsidTr="00BA4372">
        <w:tc>
          <w:tcPr>
            <w:tcW w:w="13176" w:type="dxa"/>
            <w:gridSpan w:val="4"/>
          </w:tcPr>
          <w:p w14:paraId="2A924370" w14:textId="61F4CA08" w:rsidR="006A03E0" w:rsidRPr="00215A9C" w:rsidRDefault="006A03E0" w:rsidP="006A03E0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Screening uptake</w:t>
            </w:r>
          </w:p>
        </w:tc>
      </w:tr>
      <w:tr w:rsidR="006A03E0" w14:paraId="590E1F00" w14:textId="77777777" w:rsidTr="004520CD">
        <w:tc>
          <w:tcPr>
            <w:tcW w:w="2808" w:type="dxa"/>
            <w:vAlign w:val="bottom"/>
          </w:tcPr>
          <w:p w14:paraId="3B8FD7A5" w14:textId="1DB6DF5C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Bertelsen, 2018</w:t>
            </w:r>
          </w:p>
        </w:tc>
        <w:tc>
          <w:tcPr>
            <w:tcW w:w="1710" w:type="dxa"/>
            <w:vAlign w:val="bottom"/>
          </w:tcPr>
          <w:p w14:paraId="1850A677" w14:textId="0BA39B8D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710" w:type="dxa"/>
            <w:vAlign w:val="bottom"/>
          </w:tcPr>
          <w:p w14:paraId="690EEEAE" w14:textId="1E931C82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Testing, Referral to care, Treatment, Vaccination</w:t>
            </w:r>
          </w:p>
        </w:tc>
        <w:tc>
          <w:tcPr>
            <w:tcW w:w="6948" w:type="dxa"/>
            <w:vAlign w:val="bottom"/>
          </w:tcPr>
          <w:p w14:paraId="7CE7860A" w14:textId="2728C14D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96% (n=202*/210) HBV screening coverage</w:t>
            </w:r>
          </w:p>
        </w:tc>
      </w:tr>
      <w:tr w:rsidR="006A03E0" w14:paraId="3E22A404" w14:textId="77777777" w:rsidTr="004520CD">
        <w:tc>
          <w:tcPr>
            <w:tcW w:w="2808" w:type="dxa"/>
            <w:vAlign w:val="bottom"/>
          </w:tcPr>
          <w:p w14:paraId="0DC81619" w14:textId="3FDC05E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Buonfrate</w:t>
            </w:r>
            <w:proofErr w:type="spellEnd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, 2018</w:t>
            </w:r>
          </w:p>
        </w:tc>
        <w:tc>
          <w:tcPr>
            <w:tcW w:w="1710" w:type="dxa"/>
            <w:vAlign w:val="bottom"/>
          </w:tcPr>
          <w:p w14:paraId="5004816A" w14:textId="76DBB2A1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710" w:type="dxa"/>
            <w:vAlign w:val="bottom"/>
          </w:tcPr>
          <w:p w14:paraId="57E5B286" w14:textId="6560B569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6948" w:type="dxa"/>
            <w:vAlign w:val="bottom"/>
          </w:tcPr>
          <w:p w14:paraId="21FE918D" w14:textId="4A1C5EC7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95%* (n=457/481) HBsAg screening coverage, 25%* (n=118/481) HCV screening coverage</w:t>
            </w:r>
          </w:p>
        </w:tc>
      </w:tr>
      <w:tr w:rsidR="006A03E0" w14:paraId="5C2B2EDE" w14:textId="77777777" w:rsidTr="004520CD">
        <w:tc>
          <w:tcPr>
            <w:tcW w:w="2808" w:type="dxa"/>
            <w:vAlign w:val="bottom"/>
          </w:tcPr>
          <w:p w14:paraId="51FB0678" w14:textId="3D6CC5C5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Chandrasekar, 2016</w:t>
            </w:r>
          </w:p>
        </w:tc>
        <w:tc>
          <w:tcPr>
            <w:tcW w:w="1710" w:type="dxa"/>
            <w:vAlign w:val="bottom"/>
          </w:tcPr>
          <w:p w14:paraId="2633FB58" w14:textId="10EBE95E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710" w:type="dxa"/>
            <w:vAlign w:val="bottom"/>
          </w:tcPr>
          <w:p w14:paraId="333E18F7" w14:textId="4564639C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Testing, Referral to care, Vaccination</w:t>
            </w:r>
          </w:p>
        </w:tc>
        <w:tc>
          <w:tcPr>
            <w:tcW w:w="6948" w:type="dxa"/>
            <w:vAlign w:val="bottom"/>
          </w:tcPr>
          <w:p w14:paraId="705085D5" w14:textId="374E34CF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45% (n=445/1000) HBV screening coverage</w:t>
            </w:r>
          </w:p>
        </w:tc>
      </w:tr>
      <w:tr w:rsidR="006A03E0" w14:paraId="0F997700" w14:textId="77777777" w:rsidTr="004520CD">
        <w:tc>
          <w:tcPr>
            <w:tcW w:w="2808" w:type="dxa"/>
            <w:vAlign w:val="bottom"/>
          </w:tcPr>
          <w:p w14:paraId="7FB1E977" w14:textId="4E4CBA92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Coppola, 2015</w:t>
            </w:r>
          </w:p>
        </w:tc>
        <w:tc>
          <w:tcPr>
            <w:tcW w:w="1710" w:type="dxa"/>
            <w:vAlign w:val="bottom"/>
          </w:tcPr>
          <w:p w14:paraId="67566CDE" w14:textId="709E56E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Integrated (HBV and 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HCV included)</w:t>
            </w:r>
          </w:p>
        </w:tc>
        <w:tc>
          <w:tcPr>
            <w:tcW w:w="1710" w:type="dxa"/>
            <w:vAlign w:val="bottom"/>
          </w:tcPr>
          <w:p w14:paraId="799B7D8D" w14:textId="05795416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Education, Testing, 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Referral to care</w:t>
            </w:r>
          </w:p>
        </w:tc>
        <w:tc>
          <w:tcPr>
            <w:tcW w:w="6948" w:type="dxa"/>
            <w:vAlign w:val="bottom"/>
          </w:tcPr>
          <w:p w14:paraId="5D2C828E" w14:textId="1A9B73E3" w:rsidR="006A03E0" w:rsidRPr="00215A9C" w:rsidRDefault="006A03E0" w:rsidP="006A03E0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95%* (n=882/926) screening coverage</w:t>
            </w:r>
          </w:p>
        </w:tc>
      </w:tr>
      <w:tr w:rsidR="006A03E0" w14:paraId="5E4743DD" w14:textId="77777777" w:rsidTr="004520CD">
        <w:tc>
          <w:tcPr>
            <w:tcW w:w="2808" w:type="dxa"/>
            <w:vAlign w:val="bottom"/>
          </w:tcPr>
          <w:p w14:paraId="345A6E8F" w14:textId="6F035C62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Cortier, 2022</w:t>
            </w:r>
          </w:p>
        </w:tc>
        <w:tc>
          <w:tcPr>
            <w:tcW w:w="1710" w:type="dxa"/>
            <w:vAlign w:val="bottom"/>
          </w:tcPr>
          <w:p w14:paraId="0C503EFE" w14:textId="6EFC1967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710" w:type="dxa"/>
            <w:vAlign w:val="bottom"/>
          </w:tcPr>
          <w:p w14:paraId="7D8D3DFB" w14:textId="586783B8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6948" w:type="dxa"/>
            <w:vAlign w:val="bottom"/>
          </w:tcPr>
          <w:p w14:paraId="2E8FD0BA" w14:textId="0C519E9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26% (n=49/188)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screening coverage</w:t>
            </w:r>
          </w:p>
        </w:tc>
      </w:tr>
      <w:tr w:rsidR="006A03E0" w14:paraId="1D7814D3" w14:textId="77777777" w:rsidTr="004520CD">
        <w:tc>
          <w:tcPr>
            <w:tcW w:w="2808" w:type="dxa"/>
            <w:vAlign w:val="bottom"/>
          </w:tcPr>
          <w:p w14:paraId="07B86CE8" w14:textId="22C3A770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Nyirahabihirwe</w:t>
            </w:r>
            <w:proofErr w:type="spellEnd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, 2022</w:t>
            </w:r>
          </w:p>
        </w:tc>
        <w:tc>
          <w:tcPr>
            <w:tcW w:w="1710" w:type="dxa"/>
            <w:vAlign w:val="bottom"/>
          </w:tcPr>
          <w:p w14:paraId="4936A465" w14:textId="46FB43C9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Both</w:t>
            </w:r>
          </w:p>
        </w:tc>
        <w:tc>
          <w:tcPr>
            <w:tcW w:w="1710" w:type="dxa"/>
            <w:vAlign w:val="bottom"/>
          </w:tcPr>
          <w:p w14:paraId="504DA5A9" w14:textId="30645687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Testing, Referral to care, Treatment</w:t>
            </w:r>
          </w:p>
        </w:tc>
        <w:tc>
          <w:tcPr>
            <w:tcW w:w="6948" w:type="dxa"/>
            <w:vAlign w:val="bottom"/>
          </w:tcPr>
          <w:p w14:paraId="4DD91E9C" w14:textId="792D7C5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255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% (n=26498/34000) screening coverage</w:t>
            </w:r>
          </w:p>
        </w:tc>
      </w:tr>
      <w:tr w:rsidR="006A03E0" w14:paraId="2B563B83" w14:textId="77777777" w:rsidTr="004520CD">
        <w:tc>
          <w:tcPr>
            <w:tcW w:w="2808" w:type="dxa"/>
            <w:vAlign w:val="bottom"/>
          </w:tcPr>
          <w:p w14:paraId="7E046279" w14:textId="2635C797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Raines-</w:t>
            </w:r>
            <w:proofErr w:type="spellStart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Milenkov</w:t>
            </w:r>
            <w:proofErr w:type="spellEnd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, 2021</w:t>
            </w:r>
          </w:p>
        </w:tc>
        <w:tc>
          <w:tcPr>
            <w:tcW w:w="1710" w:type="dxa"/>
            <w:vAlign w:val="bottom"/>
          </w:tcPr>
          <w:p w14:paraId="0942BC9D" w14:textId="7836ABC4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710" w:type="dxa"/>
            <w:vAlign w:val="bottom"/>
          </w:tcPr>
          <w:p w14:paraId="604A81DD" w14:textId="64687C15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Testing, Referral to care</w:t>
            </w:r>
          </w:p>
        </w:tc>
        <w:tc>
          <w:tcPr>
            <w:tcW w:w="6948" w:type="dxa"/>
            <w:vAlign w:val="bottom"/>
          </w:tcPr>
          <w:p w14:paraId="2564E948" w14:textId="176D1177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38% (n=409/1069) HBV screening coverage</w:t>
            </w:r>
          </w:p>
        </w:tc>
      </w:tr>
      <w:tr w:rsidR="006A03E0" w14:paraId="6204144D" w14:textId="77777777" w:rsidTr="004520CD">
        <w:tc>
          <w:tcPr>
            <w:tcW w:w="2808" w:type="dxa"/>
            <w:vAlign w:val="bottom"/>
          </w:tcPr>
          <w:p w14:paraId="05409B9E" w14:textId="518BB78C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Tocco-</w:t>
            </w:r>
            <w:proofErr w:type="spellStart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Tussardi</w:t>
            </w:r>
            <w:proofErr w:type="spellEnd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, 2021</w:t>
            </w:r>
          </w:p>
        </w:tc>
        <w:tc>
          <w:tcPr>
            <w:tcW w:w="1710" w:type="dxa"/>
            <w:vAlign w:val="bottom"/>
          </w:tcPr>
          <w:p w14:paraId="1A9EB353" w14:textId="780D4D13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710" w:type="dxa"/>
            <w:vAlign w:val="bottom"/>
          </w:tcPr>
          <w:p w14:paraId="55523019" w14:textId="3152BC3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6948" w:type="dxa"/>
            <w:vAlign w:val="bottom"/>
          </w:tcPr>
          <w:p w14:paraId="4D0C0AB8" w14:textId="5A3DF545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255D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% (n=211/593) of refugees accepted screening for HBV</w:t>
            </w:r>
          </w:p>
        </w:tc>
      </w:tr>
      <w:tr w:rsidR="006A03E0" w14:paraId="5A35DB38" w14:textId="77777777" w:rsidTr="004520CD">
        <w:tc>
          <w:tcPr>
            <w:tcW w:w="2808" w:type="dxa"/>
            <w:vAlign w:val="bottom"/>
          </w:tcPr>
          <w:p w14:paraId="6C4C7C75" w14:textId="4051F71B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Tittala</w:t>
            </w:r>
            <w:proofErr w:type="spellEnd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, 2018</w:t>
            </w:r>
          </w:p>
        </w:tc>
        <w:tc>
          <w:tcPr>
            <w:tcW w:w="1710" w:type="dxa"/>
            <w:vAlign w:val="bottom"/>
          </w:tcPr>
          <w:p w14:paraId="4D4F8B1D" w14:textId="23819EC7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Integrated (HBV 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included)</w:t>
            </w:r>
          </w:p>
        </w:tc>
        <w:tc>
          <w:tcPr>
            <w:tcW w:w="1710" w:type="dxa"/>
            <w:vAlign w:val="bottom"/>
          </w:tcPr>
          <w:p w14:paraId="7F98C60D" w14:textId="3EB4F536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Testing</w:t>
            </w:r>
          </w:p>
        </w:tc>
        <w:tc>
          <w:tcPr>
            <w:tcW w:w="6948" w:type="dxa"/>
            <w:vAlign w:val="bottom"/>
          </w:tcPr>
          <w:p w14:paraId="22F2DDDB" w14:textId="4D299A7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255D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% screening coverage for HBV, HIV, or syphilis.</w:t>
            </w:r>
          </w:p>
        </w:tc>
      </w:tr>
      <w:tr w:rsidR="006A03E0" w14:paraId="3E616999" w14:textId="77777777" w:rsidTr="003D7E2D">
        <w:tc>
          <w:tcPr>
            <w:tcW w:w="13176" w:type="dxa"/>
            <w:gridSpan w:val="4"/>
            <w:vAlign w:val="bottom"/>
          </w:tcPr>
          <w:p w14:paraId="73271BC6" w14:textId="25951A45" w:rsidR="006A03E0" w:rsidRPr="00215A9C" w:rsidRDefault="006A03E0" w:rsidP="006A03E0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Linkage to care</w:t>
            </w:r>
          </w:p>
        </w:tc>
      </w:tr>
      <w:tr w:rsidR="006A03E0" w14:paraId="0C3DA2FC" w14:textId="77777777" w:rsidTr="004520CD">
        <w:tc>
          <w:tcPr>
            <w:tcW w:w="2808" w:type="dxa"/>
            <w:vAlign w:val="bottom"/>
          </w:tcPr>
          <w:p w14:paraId="604B9ABE" w14:textId="05CDACA4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Chandrasekar, 2015</w:t>
            </w:r>
          </w:p>
        </w:tc>
        <w:tc>
          <w:tcPr>
            <w:tcW w:w="1710" w:type="dxa"/>
            <w:vAlign w:val="bottom"/>
          </w:tcPr>
          <w:p w14:paraId="4F7C4D54" w14:textId="3E64CE4B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710" w:type="dxa"/>
            <w:vAlign w:val="bottom"/>
          </w:tcPr>
          <w:p w14:paraId="6EAF7557" w14:textId="3C4AEE5C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Testing, Referral to care</w:t>
            </w:r>
          </w:p>
        </w:tc>
        <w:tc>
          <w:tcPr>
            <w:tcW w:w="6948" w:type="dxa"/>
            <w:vAlign w:val="bottom"/>
          </w:tcPr>
          <w:p w14:paraId="5C358509" w14:textId="528F3E71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In the clinical setting, 56% (9/16) 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BsAg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+ individuals referred to follow up care, 19%* (3/16) refused further care, and 25%* (4/16) could not be contacted. In the non-clinical settings: 77% (30/39) 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BsAg+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individuals referred to follow-up medical care and 23%* (9/39) could not be contacted</w:t>
            </w:r>
          </w:p>
        </w:tc>
      </w:tr>
      <w:tr w:rsidR="006A03E0" w14:paraId="4FE353F7" w14:textId="77777777" w:rsidTr="004520CD">
        <w:tc>
          <w:tcPr>
            <w:tcW w:w="2808" w:type="dxa"/>
            <w:vAlign w:val="bottom"/>
          </w:tcPr>
          <w:p w14:paraId="5094D205" w14:textId="5F18FFEC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Linde, 2016</w:t>
            </w:r>
          </w:p>
        </w:tc>
        <w:tc>
          <w:tcPr>
            <w:tcW w:w="1710" w:type="dxa"/>
            <w:vAlign w:val="bottom"/>
          </w:tcPr>
          <w:p w14:paraId="7849E5E6" w14:textId="5D1EEEB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710" w:type="dxa"/>
            <w:vAlign w:val="bottom"/>
          </w:tcPr>
          <w:p w14:paraId="4605B1D3" w14:textId="06B9484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Referral to care</w:t>
            </w:r>
          </w:p>
        </w:tc>
        <w:tc>
          <w:tcPr>
            <w:tcW w:w="6948" w:type="dxa"/>
            <w:vAlign w:val="bottom"/>
          </w:tcPr>
          <w:p w14:paraId="6383BC80" w14:textId="419CBE4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Before intervention (1 year): 64% (56/87) 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BsAg+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individuals received follow-up care, 14% (12/87) did not receive follow-up care, 22% (19/87) could not be located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After intervention (1 year): 93% (162/174) HB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sAg+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received follow-up care, 4% (7/174) did not receive follow up care, and 3% (5/174) could not be located</w:t>
            </w:r>
          </w:p>
        </w:tc>
      </w:tr>
      <w:tr w:rsidR="006A03E0" w14:paraId="3AEE18D9" w14:textId="77777777" w:rsidTr="004520CD">
        <w:tc>
          <w:tcPr>
            <w:tcW w:w="2808" w:type="dxa"/>
            <w:vAlign w:val="bottom"/>
          </w:tcPr>
          <w:p w14:paraId="36E70CA7" w14:textId="5B3C1E2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Payton, 2021</w:t>
            </w:r>
          </w:p>
        </w:tc>
        <w:tc>
          <w:tcPr>
            <w:tcW w:w="1710" w:type="dxa"/>
            <w:vAlign w:val="bottom"/>
          </w:tcPr>
          <w:p w14:paraId="58DD2461" w14:textId="2C5E093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710" w:type="dxa"/>
            <w:vAlign w:val="bottom"/>
          </w:tcPr>
          <w:p w14:paraId="36C9828B" w14:textId="2E94B2FD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6948" w:type="dxa"/>
            <w:vAlign w:val="bottom"/>
          </w:tcPr>
          <w:p w14:paraId="6BA1D826" w14:textId="07516CEF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Of the 682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HBsAg+ individuals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: 20% had HBV specialist referrals within 30 days and 36% were seen within 6 months</w:t>
            </w:r>
          </w:p>
        </w:tc>
      </w:tr>
      <w:tr w:rsidR="006A03E0" w14:paraId="1EF28809" w14:textId="77777777" w:rsidTr="004520CD">
        <w:tc>
          <w:tcPr>
            <w:tcW w:w="2808" w:type="dxa"/>
            <w:vAlign w:val="bottom"/>
          </w:tcPr>
          <w:p w14:paraId="3C0BEA61" w14:textId="59597EA2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Walters, 2016</w:t>
            </w:r>
          </w:p>
        </w:tc>
        <w:tc>
          <w:tcPr>
            <w:tcW w:w="1710" w:type="dxa"/>
            <w:vAlign w:val="bottom"/>
          </w:tcPr>
          <w:p w14:paraId="302B6634" w14:textId="595C03FC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710" w:type="dxa"/>
            <w:vAlign w:val="bottom"/>
          </w:tcPr>
          <w:p w14:paraId="0BFCA000" w14:textId="3A11D368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Education, 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Testing, Referral to care, Treatment</w:t>
            </w:r>
          </w:p>
        </w:tc>
        <w:tc>
          <w:tcPr>
            <w:tcW w:w="6948" w:type="dxa"/>
            <w:vAlign w:val="bottom"/>
          </w:tcPr>
          <w:p w14:paraId="7592E1EF" w14:textId="366CF460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94% (72/77)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HBsAg+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individuals 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were successfully linked to care; 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94% (68/72) attended their first follow-up visit. Patients were seen for follow-up within 90 days of their positive test</w:t>
            </w:r>
          </w:p>
        </w:tc>
      </w:tr>
      <w:tr w:rsidR="006A03E0" w14:paraId="095E33A3" w14:textId="77777777" w:rsidTr="004520CD">
        <w:tc>
          <w:tcPr>
            <w:tcW w:w="2808" w:type="dxa"/>
            <w:vAlign w:val="bottom"/>
          </w:tcPr>
          <w:p w14:paraId="611EB5BA" w14:textId="7DEFB254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Young, 2020</w:t>
            </w:r>
          </w:p>
        </w:tc>
        <w:tc>
          <w:tcPr>
            <w:tcW w:w="1710" w:type="dxa"/>
            <w:vAlign w:val="bottom"/>
          </w:tcPr>
          <w:p w14:paraId="722E9694" w14:textId="6F99309B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710" w:type="dxa"/>
            <w:vAlign w:val="bottom"/>
          </w:tcPr>
          <w:p w14:paraId="0053AF32" w14:textId="62EAA052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Testing, Referral to care, Treatment</w:t>
            </w:r>
          </w:p>
        </w:tc>
        <w:tc>
          <w:tcPr>
            <w:tcW w:w="6948" w:type="dxa"/>
            <w:vAlign w:val="bottom"/>
          </w:tcPr>
          <w:p w14:paraId="2574B55B" w14:textId="495A01CC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Clinic A: 29% (60/204) of HB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sAg+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patients linked to care, 12% (24/204) retained in care, 84% (172/ 204) not receiving optimal care, and 1 person died.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Clinic B: 21% (29/137) of HB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sAg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+ patients retained in care and 79% (108/137) not receiving optimal care.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Clinic C: 53% (28/53) of HB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sAg+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patients linked to care, 11% (6/53) retained in care, 89% (47/53) not receiving optimal care</w:t>
            </w:r>
          </w:p>
        </w:tc>
      </w:tr>
      <w:tr w:rsidR="006A03E0" w14:paraId="5229083A" w14:textId="77777777" w:rsidTr="00117137">
        <w:tc>
          <w:tcPr>
            <w:tcW w:w="13176" w:type="dxa"/>
            <w:gridSpan w:val="4"/>
            <w:vAlign w:val="bottom"/>
          </w:tcPr>
          <w:p w14:paraId="5D95AD5F" w14:textId="320DC917" w:rsidR="006A03E0" w:rsidRPr="00215A9C" w:rsidRDefault="006A03E0" w:rsidP="006A03E0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Screening uptake and linkage to care</w:t>
            </w:r>
          </w:p>
        </w:tc>
      </w:tr>
      <w:tr w:rsidR="006A03E0" w14:paraId="66BF5873" w14:textId="77777777" w:rsidTr="004520CD">
        <w:tc>
          <w:tcPr>
            <w:tcW w:w="2808" w:type="dxa"/>
            <w:vAlign w:val="bottom"/>
          </w:tcPr>
          <w:p w14:paraId="30E544E4" w14:textId="315CFB77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Fiore, 2021</w:t>
            </w:r>
          </w:p>
        </w:tc>
        <w:tc>
          <w:tcPr>
            <w:tcW w:w="1710" w:type="dxa"/>
            <w:vAlign w:val="bottom"/>
          </w:tcPr>
          <w:p w14:paraId="6690A18D" w14:textId="5727D1C8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710" w:type="dxa"/>
            <w:vAlign w:val="bottom"/>
          </w:tcPr>
          <w:p w14:paraId="559281B0" w14:textId="2DA7BF6C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Testing, Referral to care, Treatment</w:t>
            </w:r>
          </w:p>
        </w:tc>
        <w:tc>
          <w:tcPr>
            <w:tcW w:w="6948" w:type="dxa"/>
            <w:vAlign w:val="bottom"/>
          </w:tcPr>
          <w:p w14:paraId="70862ED3" w14:textId="451AE463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255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(62/81) HCV screening coverage. 1 person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diagnosed with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HCV and dropped out before treatment. 7</w:t>
            </w:r>
            <w:r w:rsidR="00A255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% (58/81) HBV screening coverage and all 3 patients who needed HBV treatment dropped out without receiving treatment</w:t>
            </w:r>
          </w:p>
        </w:tc>
      </w:tr>
      <w:tr w:rsidR="006A03E0" w14:paraId="7AAD65D3" w14:textId="77777777" w:rsidTr="00FA1D95">
        <w:tc>
          <w:tcPr>
            <w:tcW w:w="13176" w:type="dxa"/>
            <w:gridSpan w:val="4"/>
            <w:vAlign w:val="bottom"/>
          </w:tcPr>
          <w:p w14:paraId="214BF973" w14:textId="615C943D" w:rsidR="006A03E0" w:rsidRPr="00215A9C" w:rsidRDefault="006A03E0" w:rsidP="006A03E0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Screening uptake and treatment outcomes</w:t>
            </w:r>
          </w:p>
        </w:tc>
      </w:tr>
      <w:tr w:rsidR="006A03E0" w14:paraId="3CF15352" w14:textId="77777777" w:rsidTr="004520CD">
        <w:tc>
          <w:tcPr>
            <w:tcW w:w="2808" w:type="dxa"/>
            <w:vAlign w:val="bottom"/>
          </w:tcPr>
          <w:p w14:paraId="5E5F4E6B" w14:textId="144C48D1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Sagnelli</w:t>
            </w:r>
            <w:proofErr w:type="spellEnd"/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, 2018</w:t>
            </w:r>
          </w:p>
        </w:tc>
        <w:tc>
          <w:tcPr>
            <w:tcW w:w="1710" w:type="dxa"/>
            <w:vAlign w:val="bottom"/>
          </w:tcPr>
          <w:p w14:paraId="09503D36" w14:textId="4D9223F6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HCV</w:t>
            </w:r>
          </w:p>
        </w:tc>
        <w:tc>
          <w:tcPr>
            <w:tcW w:w="1710" w:type="dxa"/>
            <w:vAlign w:val="bottom"/>
          </w:tcPr>
          <w:p w14:paraId="6648E807" w14:textId="7A7A6A62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Testing, Referral to care, Treatment</w:t>
            </w:r>
          </w:p>
        </w:tc>
        <w:tc>
          <w:tcPr>
            <w:tcW w:w="6948" w:type="dxa"/>
            <w:vAlign w:val="bottom"/>
          </w:tcPr>
          <w:p w14:paraId="15FA4337" w14:textId="45501F85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85% (1727/2032) screening coverage.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2/2 patients who received interferon-free treatment were cured after 6 months. 4/6 patients who received interferon-based treatment were cured.</w:t>
            </w:r>
          </w:p>
        </w:tc>
      </w:tr>
      <w:tr w:rsidR="006A03E0" w14:paraId="75CCB8D4" w14:textId="77777777" w:rsidTr="00312666">
        <w:tc>
          <w:tcPr>
            <w:tcW w:w="13176" w:type="dxa"/>
            <w:gridSpan w:val="4"/>
            <w:vAlign w:val="bottom"/>
          </w:tcPr>
          <w:p w14:paraId="6D808073" w14:textId="3B289D31" w:rsidR="006A03E0" w:rsidRPr="00215A9C" w:rsidRDefault="006A03E0" w:rsidP="006A03E0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Screening uptake, linkage to care, and treatment outcomes</w:t>
            </w:r>
          </w:p>
        </w:tc>
      </w:tr>
      <w:tr w:rsidR="006A03E0" w14:paraId="6EB27DE0" w14:textId="77777777" w:rsidTr="004520CD">
        <w:tc>
          <w:tcPr>
            <w:tcW w:w="2808" w:type="dxa"/>
            <w:vAlign w:val="bottom"/>
          </w:tcPr>
          <w:p w14:paraId="49DBA35D" w14:textId="04E46C4A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Coppola, 2017</w:t>
            </w:r>
          </w:p>
        </w:tc>
        <w:tc>
          <w:tcPr>
            <w:tcW w:w="1710" w:type="dxa"/>
            <w:vAlign w:val="bottom"/>
          </w:tcPr>
          <w:p w14:paraId="0A16F47D" w14:textId="4A1B017D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710" w:type="dxa"/>
            <w:vAlign w:val="bottom"/>
          </w:tcPr>
          <w:p w14:paraId="2DAE20C0" w14:textId="0914F181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Testing, Referral to care, Treatment</w:t>
            </w:r>
          </w:p>
        </w:tc>
        <w:tc>
          <w:tcPr>
            <w:tcW w:w="6948" w:type="dxa"/>
            <w:vAlign w:val="bottom"/>
          </w:tcPr>
          <w:p w14:paraId="0C2B2837" w14:textId="774B78FB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91% (1212/1331) screening coverage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7</w:t>
            </w:r>
            <w:r w:rsidR="00A255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% (90/116) of HBsAg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individuals completed their diagnostic itinerary at a tertiary infectious disease unit.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1/5 patients treated with peginterferon α-2a for 12-24 months obtained a favorable response (HBV treatment)</w:t>
            </w:r>
            <w:r w:rsidRPr="00215A9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9/9 patients treated with nucleoside or nucleotide analogues were serum HBV DNA negative within the 48th week of treatment</w:t>
            </w:r>
          </w:p>
        </w:tc>
      </w:tr>
      <w:tr w:rsidR="006A03E0" w14:paraId="1EDFE7C8" w14:textId="77777777" w:rsidTr="00640B6C">
        <w:tc>
          <w:tcPr>
            <w:tcW w:w="13176" w:type="dxa"/>
            <w:gridSpan w:val="4"/>
            <w:vAlign w:val="bottom"/>
          </w:tcPr>
          <w:p w14:paraId="1FEE953C" w14:textId="42350516" w:rsidR="006A03E0" w:rsidRPr="00982397" w:rsidRDefault="006A03E0" w:rsidP="006A03E0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Vaccine uptake</w:t>
            </w:r>
          </w:p>
        </w:tc>
      </w:tr>
      <w:tr w:rsidR="006A03E0" w14:paraId="2D3609F6" w14:textId="77777777" w:rsidTr="004520CD">
        <w:tc>
          <w:tcPr>
            <w:tcW w:w="2808" w:type="dxa"/>
            <w:vAlign w:val="bottom"/>
          </w:tcPr>
          <w:p w14:paraId="0ECB93FD" w14:textId="35CA95AA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Berman, 2017</w:t>
            </w:r>
          </w:p>
        </w:tc>
        <w:tc>
          <w:tcPr>
            <w:tcW w:w="1710" w:type="dxa"/>
            <w:vAlign w:val="bottom"/>
          </w:tcPr>
          <w:p w14:paraId="32F90A75" w14:textId="37DC671C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710" w:type="dxa"/>
            <w:vAlign w:val="bottom"/>
          </w:tcPr>
          <w:p w14:paraId="1712F12A" w14:textId="1D6C7A89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Vaccination</w:t>
            </w:r>
          </w:p>
        </w:tc>
        <w:tc>
          <w:tcPr>
            <w:tcW w:w="6948" w:type="dxa"/>
            <w:vAlign w:val="bottom"/>
          </w:tcPr>
          <w:p w14:paraId="4CBA96BF" w14:textId="65A599AE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n=2269 refugees (adults and children)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At least 1 dose: 91%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doses: 63%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 doses: 10%</w:t>
            </w:r>
          </w:p>
        </w:tc>
      </w:tr>
      <w:tr w:rsidR="006A03E0" w14:paraId="512F840D" w14:textId="77777777" w:rsidTr="004520CD">
        <w:tc>
          <w:tcPr>
            <w:tcW w:w="2808" w:type="dxa"/>
            <w:vAlign w:val="bottom"/>
          </w:tcPr>
          <w:p w14:paraId="0D28DD6A" w14:textId="1D05A618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Mellou</w:t>
            </w:r>
            <w:proofErr w:type="spellEnd"/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, 2019</w:t>
            </w:r>
          </w:p>
        </w:tc>
        <w:tc>
          <w:tcPr>
            <w:tcW w:w="1710" w:type="dxa"/>
            <w:vAlign w:val="bottom"/>
          </w:tcPr>
          <w:p w14:paraId="73C2E413" w14:textId="7CC1A02F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710" w:type="dxa"/>
            <w:vAlign w:val="bottom"/>
          </w:tcPr>
          <w:p w14:paraId="16B4B26D" w14:textId="2B2B377E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Vaccination</w:t>
            </w:r>
          </w:p>
        </w:tc>
        <w:tc>
          <w:tcPr>
            <w:tcW w:w="6948" w:type="dxa"/>
            <w:vAlign w:val="bottom"/>
          </w:tcPr>
          <w:p w14:paraId="2D2DCD73" w14:textId="33FC9F89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n=1509 children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First dose: 49% (733)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Second dose: 25% (372)</w:t>
            </w:r>
          </w:p>
        </w:tc>
      </w:tr>
      <w:tr w:rsidR="006A03E0" w14:paraId="20330B58" w14:textId="77777777" w:rsidTr="004520CD">
        <w:tc>
          <w:tcPr>
            <w:tcW w:w="2808" w:type="dxa"/>
            <w:vAlign w:val="bottom"/>
          </w:tcPr>
          <w:p w14:paraId="26E9C74F" w14:textId="7D811E89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Mitchell, 2021</w:t>
            </w:r>
          </w:p>
        </w:tc>
        <w:tc>
          <w:tcPr>
            <w:tcW w:w="1710" w:type="dxa"/>
            <w:vAlign w:val="bottom"/>
          </w:tcPr>
          <w:p w14:paraId="718FDA58" w14:textId="5D7D70D1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710" w:type="dxa"/>
            <w:vAlign w:val="bottom"/>
          </w:tcPr>
          <w:p w14:paraId="36B84819" w14:textId="305DF64A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Testing, Referral to care, Treatment, Vaccination</w:t>
            </w:r>
          </w:p>
        </w:tc>
        <w:tc>
          <w:tcPr>
            <w:tcW w:w="6948" w:type="dxa"/>
            <w:vAlign w:val="bottom"/>
          </w:tcPr>
          <w:p w14:paraId="56B2B0BC" w14:textId="1FBE5219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n=28478 refugees (adults and children)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First dose: 87%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Second dose: 77%</w:t>
            </w:r>
          </w:p>
        </w:tc>
      </w:tr>
      <w:tr w:rsidR="006A03E0" w14:paraId="14EB5075" w14:textId="77777777" w:rsidTr="004520CD">
        <w:tc>
          <w:tcPr>
            <w:tcW w:w="2808" w:type="dxa"/>
            <w:vAlign w:val="bottom"/>
          </w:tcPr>
          <w:p w14:paraId="51245DE0" w14:textId="63603B0F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Vita, 2019</w:t>
            </w:r>
          </w:p>
        </w:tc>
        <w:tc>
          <w:tcPr>
            <w:tcW w:w="1710" w:type="dxa"/>
            <w:vAlign w:val="bottom"/>
          </w:tcPr>
          <w:p w14:paraId="7B323722" w14:textId="7DC68E34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710" w:type="dxa"/>
            <w:vAlign w:val="bottom"/>
          </w:tcPr>
          <w:p w14:paraId="507A0E9C" w14:textId="454A6657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Vaccination</w:t>
            </w:r>
          </w:p>
        </w:tc>
        <w:tc>
          <w:tcPr>
            <w:tcW w:w="6948" w:type="dxa"/>
            <w:vAlign w:val="bottom"/>
          </w:tcPr>
          <w:p w14:paraId="758F48DE" w14:textId="67EB3CA0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n=118 minors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First dose: 51%* (60)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Second dose: 34%* (40)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Third dose: </w:t>
            </w:r>
            <w:r w:rsidR="00A255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%* (8)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n=3823* adults**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First dose: 0.5%* (18)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Second dose: 0.2%* (</w:t>
            </w:r>
            <w:proofErr w:type="gramStart"/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7)*</w:t>
            </w:r>
            <w:proofErr w:type="gramEnd"/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Third dose 0.03%* (1)</w:t>
            </w:r>
          </w:p>
        </w:tc>
      </w:tr>
      <w:tr w:rsidR="006A03E0" w14:paraId="4606C549" w14:textId="77777777" w:rsidTr="004520CD">
        <w:tc>
          <w:tcPr>
            <w:tcW w:w="2808" w:type="dxa"/>
            <w:vAlign w:val="bottom"/>
          </w:tcPr>
          <w:p w14:paraId="227A49E2" w14:textId="136196C9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Contact tracing and vaccine uptake </w:t>
            </w:r>
          </w:p>
        </w:tc>
        <w:tc>
          <w:tcPr>
            <w:tcW w:w="1710" w:type="dxa"/>
            <w:vAlign w:val="bottom"/>
          </w:tcPr>
          <w:p w14:paraId="4871317A" w14:textId="77777777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Align w:val="bottom"/>
          </w:tcPr>
          <w:p w14:paraId="3983EF03" w14:textId="77777777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8" w:type="dxa"/>
            <w:vAlign w:val="bottom"/>
          </w:tcPr>
          <w:p w14:paraId="157509D4" w14:textId="77777777" w:rsidR="006A03E0" w:rsidRPr="00215A9C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03E0" w14:paraId="57F118EC" w14:textId="77777777" w:rsidTr="007110AB">
        <w:tc>
          <w:tcPr>
            <w:tcW w:w="13176" w:type="dxa"/>
            <w:gridSpan w:val="4"/>
            <w:vAlign w:val="bottom"/>
          </w:tcPr>
          <w:p w14:paraId="722A32F0" w14:textId="6CD6C8C5" w:rsidR="006A03E0" w:rsidRPr="00982397" w:rsidRDefault="006A03E0" w:rsidP="006A03E0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Contact tracing and vaccine uptake</w:t>
            </w:r>
          </w:p>
        </w:tc>
      </w:tr>
      <w:tr w:rsidR="006A03E0" w14:paraId="0A3374E6" w14:textId="77777777" w:rsidTr="004520CD">
        <w:tc>
          <w:tcPr>
            <w:tcW w:w="2808" w:type="dxa"/>
            <w:vAlign w:val="bottom"/>
          </w:tcPr>
          <w:p w14:paraId="5755F9C3" w14:textId="2CF8C7A0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Ash, 2018</w:t>
            </w:r>
          </w:p>
        </w:tc>
        <w:tc>
          <w:tcPr>
            <w:tcW w:w="1710" w:type="dxa"/>
            <w:vAlign w:val="bottom"/>
          </w:tcPr>
          <w:p w14:paraId="185B9A7D" w14:textId="5F0F05B6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710" w:type="dxa"/>
            <w:vAlign w:val="bottom"/>
          </w:tcPr>
          <w:p w14:paraId="0D426F6D" w14:textId="5E5B06FC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Testing, Referral to care, Vaccination</w:t>
            </w:r>
          </w:p>
        </w:tc>
        <w:tc>
          <w:tcPr>
            <w:tcW w:w="6948" w:type="dxa"/>
            <w:vAlign w:val="bottom"/>
          </w:tcPr>
          <w:p w14:paraId="48B95D0C" w14:textId="5C12A94E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Of the 420 contacts, 90% were successfully traced and 6% (27) of susceptible contacts were immunized (adults and children)</w:t>
            </w:r>
          </w:p>
        </w:tc>
      </w:tr>
      <w:tr w:rsidR="006A03E0" w14:paraId="08EFA201" w14:textId="77777777" w:rsidTr="00355184">
        <w:tc>
          <w:tcPr>
            <w:tcW w:w="13176" w:type="dxa"/>
            <w:gridSpan w:val="4"/>
            <w:vAlign w:val="bottom"/>
          </w:tcPr>
          <w:p w14:paraId="65B26C3F" w14:textId="1702D5DE" w:rsidR="006A03E0" w:rsidRPr="00982397" w:rsidRDefault="006A03E0" w:rsidP="006A03E0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Screening uptake, linkage to care rates, vaccine uptake</w:t>
            </w:r>
          </w:p>
        </w:tc>
      </w:tr>
      <w:tr w:rsidR="006A03E0" w14:paraId="3625D309" w14:textId="77777777" w:rsidTr="004520CD">
        <w:tc>
          <w:tcPr>
            <w:tcW w:w="2808" w:type="dxa"/>
            <w:vAlign w:val="bottom"/>
          </w:tcPr>
          <w:p w14:paraId="6C26B02A" w14:textId="78844B51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Mazzitelli, 2021</w:t>
            </w:r>
          </w:p>
        </w:tc>
        <w:tc>
          <w:tcPr>
            <w:tcW w:w="1710" w:type="dxa"/>
            <w:vAlign w:val="bottom"/>
          </w:tcPr>
          <w:p w14:paraId="2341371E" w14:textId="064A4BEE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710" w:type="dxa"/>
            <w:vAlign w:val="bottom"/>
          </w:tcPr>
          <w:p w14:paraId="17EC371E" w14:textId="6B4F9358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Testing, Referral to care, Treatment, Vaccination</w:t>
            </w:r>
          </w:p>
        </w:tc>
        <w:tc>
          <w:tcPr>
            <w:tcW w:w="6948" w:type="dxa"/>
            <w:vAlign w:val="bottom"/>
          </w:tcPr>
          <w:p w14:paraId="5C0B3CBC" w14:textId="5C7BCC8F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88%* screening coverage (203*/231).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After 6 months, 2</w:t>
            </w:r>
            <w:r w:rsidR="00A255D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% (5/23) of HB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sAg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+ patients were lost to follow up or transferred from their hosting centers.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After 12 months, 43% (10/23) of patients were retained in care.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At 6 months follow up, 5</w:t>
            </w:r>
            <w:r w:rsidR="00A255D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(116/204) adults and children had been 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vaccinated, 1</w:t>
            </w:r>
            <w:r w:rsidR="00A255D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% (35/304) had the vaccination course ongoing, and 17% (35/204) had not started vaccination course.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At 12 months, 92% (131/142 migrants still residing at the centers) vaccination coverage, 1% (2/142) had the vaccination course ongoing, and 6% (9/142) had not started vaccination course.</w:t>
            </w:r>
          </w:p>
        </w:tc>
      </w:tr>
      <w:tr w:rsidR="006A03E0" w14:paraId="6046565C" w14:textId="77777777" w:rsidTr="004520CD">
        <w:tc>
          <w:tcPr>
            <w:tcW w:w="2808" w:type="dxa"/>
            <w:vAlign w:val="bottom"/>
          </w:tcPr>
          <w:p w14:paraId="641DD8D5" w14:textId="020F0376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Mitchell, 2018</w:t>
            </w:r>
          </w:p>
        </w:tc>
        <w:tc>
          <w:tcPr>
            <w:tcW w:w="1710" w:type="dxa"/>
            <w:vAlign w:val="bottom"/>
          </w:tcPr>
          <w:p w14:paraId="6814580A" w14:textId="15047214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710" w:type="dxa"/>
            <w:vAlign w:val="bottom"/>
          </w:tcPr>
          <w:p w14:paraId="6F8270B7" w14:textId="6699232F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Testing, Referral to care, Treatment, Vaccination</w:t>
            </w:r>
          </w:p>
        </w:tc>
        <w:tc>
          <w:tcPr>
            <w:tcW w:w="6948" w:type="dxa"/>
            <w:vAlign w:val="bottom"/>
          </w:tcPr>
          <w:p w14:paraId="7A2B0AB2" w14:textId="42DC633E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57% (2004/3419) screening coverage.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191 tested HBsAg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received evaluation and counseling.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99% (1564/1576 eligible adults and children) received at least 1 dose of HBV vaccine</w:t>
            </w:r>
          </w:p>
        </w:tc>
      </w:tr>
      <w:tr w:rsidR="006A03E0" w14:paraId="67D4FA8A" w14:textId="77777777" w:rsidTr="008010FF">
        <w:tc>
          <w:tcPr>
            <w:tcW w:w="13176" w:type="dxa"/>
            <w:gridSpan w:val="4"/>
            <w:vAlign w:val="bottom"/>
          </w:tcPr>
          <w:p w14:paraId="3856750B" w14:textId="0DAB6472" w:rsidR="006A03E0" w:rsidRPr="00982397" w:rsidRDefault="006A03E0" w:rsidP="006A03E0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Screening uptake, screening timing, linkage to care rates, vaccine uptake</w:t>
            </w:r>
          </w:p>
        </w:tc>
      </w:tr>
      <w:tr w:rsidR="006A03E0" w14:paraId="4B12B1AD" w14:textId="77777777" w:rsidTr="004520CD">
        <w:tc>
          <w:tcPr>
            <w:tcW w:w="2808" w:type="dxa"/>
            <w:vAlign w:val="bottom"/>
          </w:tcPr>
          <w:p w14:paraId="21BAD3C0" w14:textId="0B7A3895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Bergevin, 2021</w:t>
            </w:r>
          </w:p>
        </w:tc>
        <w:tc>
          <w:tcPr>
            <w:tcW w:w="1710" w:type="dxa"/>
            <w:vAlign w:val="bottom"/>
          </w:tcPr>
          <w:p w14:paraId="175A2207" w14:textId="6AD9593C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710" w:type="dxa"/>
            <w:vAlign w:val="bottom"/>
          </w:tcPr>
          <w:p w14:paraId="77D81FA3" w14:textId="2F4139F9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Testing, Referral to care, Treatment, 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Vaccination</w:t>
            </w:r>
          </w:p>
        </w:tc>
        <w:tc>
          <w:tcPr>
            <w:tcW w:w="6948" w:type="dxa"/>
            <w:vAlign w:val="bottom"/>
          </w:tcPr>
          <w:p w14:paraId="394299CA" w14:textId="0439DCF7" w:rsidR="006A03E0" w:rsidRPr="00982397" w:rsidRDefault="006A03E0" w:rsidP="006A03E0">
            <w:pPr>
              <w:tabs>
                <w:tab w:val="left" w:pos="4726"/>
              </w:tabs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84%* (90/107) HBV screening coverage.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14%* (1/7) patients treated, 2</w:t>
            </w:r>
            <w:r w:rsidR="00A255D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%* (2/7) patients lost to follow-up, and 57%* (4/7) patients followed up elsewhere.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29% (31/107 children)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were vaccinated</w:t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Median time to COPEMI consultation after migration was 3 months; 40%* (43/107) did not attend the second consultation</w:t>
            </w:r>
          </w:p>
        </w:tc>
      </w:tr>
      <w:tr w:rsidR="006A03E0" w14:paraId="0C951353" w14:textId="77777777" w:rsidTr="00650E2C">
        <w:tc>
          <w:tcPr>
            <w:tcW w:w="13176" w:type="dxa"/>
            <w:gridSpan w:val="4"/>
            <w:vAlign w:val="bottom"/>
          </w:tcPr>
          <w:p w14:paraId="0A9EE3C8" w14:textId="649B3F86" w:rsidR="006A03E0" w:rsidRPr="00982397" w:rsidRDefault="006A03E0" w:rsidP="006A03E0">
            <w:pPr>
              <w:pStyle w:val="ListParagraph"/>
              <w:numPr>
                <w:ilvl w:val="0"/>
                <w:numId w:val="2"/>
              </w:numPr>
              <w:spacing w:line="48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Miscellaneous outcomes</w:t>
            </w:r>
          </w:p>
        </w:tc>
      </w:tr>
      <w:tr w:rsidR="006A03E0" w14:paraId="3F9C03D6" w14:textId="77777777" w:rsidTr="004520CD">
        <w:tc>
          <w:tcPr>
            <w:tcW w:w="2808" w:type="dxa"/>
            <w:vAlign w:val="bottom"/>
          </w:tcPr>
          <w:p w14:paraId="600D4E38" w14:textId="662650C5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Schulz, 2014</w:t>
            </w:r>
          </w:p>
        </w:tc>
        <w:tc>
          <w:tcPr>
            <w:tcW w:w="1710" w:type="dxa"/>
            <w:vAlign w:val="bottom"/>
          </w:tcPr>
          <w:p w14:paraId="797EB5F9" w14:textId="66F587AE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710" w:type="dxa"/>
            <w:vAlign w:val="bottom"/>
          </w:tcPr>
          <w:p w14:paraId="0D18066C" w14:textId="7463108C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Education, Treatment</w:t>
            </w:r>
          </w:p>
        </w:tc>
        <w:tc>
          <w:tcPr>
            <w:tcW w:w="6948" w:type="dxa"/>
            <w:vAlign w:val="bottom"/>
          </w:tcPr>
          <w:p w14:paraId="6DBB258A" w14:textId="177ED21C" w:rsidR="006A03E0" w:rsidRPr="00982397" w:rsidRDefault="006A03E0" w:rsidP="006A03E0">
            <w:pPr>
              <w:spacing w:line="48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397">
              <w:rPr>
                <w:rFonts w:ascii="Times New Roman" w:eastAsia="Times New Roman" w:hAnsi="Times New Roman" w:cs="Times New Roman"/>
                <w:sz w:val="24"/>
                <w:szCs w:val="24"/>
              </w:rPr>
              <w:t>Nearly 500km of travel was avoided per consultation</w:t>
            </w:r>
          </w:p>
        </w:tc>
      </w:tr>
    </w:tbl>
    <w:p w14:paraId="35B0A0DA" w14:textId="77777777" w:rsidR="00982397" w:rsidRPr="00982397" w:rsidRDefault="00982397" w:rsidP="009823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82397">
        <w:rPr>
          <w:rFonts w:ascii="Times New Roman" w:hAnsi="Times New Roman" w:cs="Times New Roman"/>
          <w:sz w:val="24"/>
          <w:szCs w:val="24"/>
        </w:rPr>
        <w:t>*</w:t>
      </w:r>
      <w:proofErr w:type="gramStart"/>
      <w:r w:rsidRPr="00982397">
        <w:rPr>
          <w:rFonts w:ascii="Times New Roman" w:hAnsi="Times New Roman" w:cs="Times New Roman"/>
          <w:sz w:val="24"/>
          <w:szCs w:val="24"/>
        </w:rPr>
        <w:t>these</w:t>
      </w:r>
      <w:proofErr w:type="gramEnd"/>
      <w:r w:rsidRPr="00982397">
        <w:rPr>
          <w:rFonts w:ascii="Times New Roman" w:hAnsi="Times New Roman" w:cs="Times New Roman"/>
          <w:sz w:val="24"/>
          <w:szCs w:val="24"/>
        </w:rPr>
        <w:t xml:space="preserve"> values were calculated based on data reported</w:t>
      </w:r>
    </w:p>
    <w:p w14:paraId="38B153E6" w14:textId="5417A928" w:rsidR="00215A9C" w:rsidRPr="00215A9C" w:rsidRDefault="00982397" w:rsidP="0098239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982397">
        <w:rPr>
          <w:rFonts w:ascii="Times New Roman" w:hAnsi="Times New Roman" w:cs="Times New Roman"/>
          <w:sz w:val="24"/>
          <w:szCs w:val="24"/>
        </w:rPr>
        <w:t>**in adults, vaccinations were given in response to epidemic events or post-exposure prophylaxis</w:t>
      </w:r>
    </w:p>
    <w:sectPr w:rsidR="00215A9C" w:rsidRPr="00215A9C" w:rsidSect="00215A9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10A49"/>
    <w:multiLevelType w:val="hybridMultilevel"/>
    <w:tmpl w:val="3446EE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80241"/>
    <w:multiLevelType w:val="hybridMultilevel"/>
    <w:tmpl w:val="21DA2A66"/>
    <w:lvl w:ilvl="0" w:tplc="F6F005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94375"/>
    <w:multiLevelType w:val="hybridMultilevel"/>
    <w:tmpl w:val="F0B27B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967527">
    <w:abstractNumId w:val="2"/>
  </w:num>
  <w:num w:numId="2" w16cid:durableId="1635794778">
    <w:abstractNumId w:val="0"/>
  </w:num>
  <w:num w:numId="3" w16cid:durableId="115412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5A4B"/>
    <w:rsid w:val="00215A9C"/>
    <w:rsid w:val="004F33A9"/>
    <w:rsid w:val="006A03E0"/>
    <w:rsid w:val="007903F7"/>
    <w:rsid w:val="00982397"/>
    <w:rsid w:val="00A255D7"/>
    <w:rsid w:val="00A55A4B"/>
    <w:rsid w:val="00B6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B7AD5"/>
  <w15:chartTrackingRefBased/>
  <w15:docId w15:val="{C0092A4E-E660-48CF-9326-3E08FEE0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5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5A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644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44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44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4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4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CEAAF-5713-4079-916F-E380047A1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10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Ankeeta</dc:creator>
  <cp:keywords/>
  <dc:description/>
  <cp:lastModifiedBy>Ankeeta</cp:lastModifiedBy>
  <cp:revision>6</cp:revision>
  <dcterms:created xsi:type="dcterms:W3CDTF">2023-08-27T21:06:00Z</dcterms:created>
  <dcterms:modified xsi:type="dcterms:W3CDTF">2023-09-07T18:59:00Z</dcterms:modified>
</cp:coreProperties>
</file>