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0F387" w14:textId="77777777" w:rsidR="00842255" w:rsidRPr="00130AFF" w:rsidRDefault="00842255" w:rsidP="00842255">
      <w:pPr>
        <w:pStyle w:val="Heading1"/>
        <w:spacing w:line="480" w:lineRule="auto"/>
        <w:jc w:val="both"/>
        <w:rPr>
          <w:sz w:val="24"/>
          <w:szCs w:val="24"/>
        </w:rPr>
      </w:pPr>
      <w:bookmarkStart w:id="0" w:name="_Hlk152242501"/>
      <w:r>
        <w:rPr>
          <w:sz w:val="24"/>
          <w:szCs w:val="24"/>
        </w:rPr>
        <w:t>Supplementary material</w:t>
      </w:r>
    </w:p>
    <w:bookmarkEnd w:id="0"/>
    <w:p w14:paraId="780B482C" w14:textId="77777777" w:rsidR="00842255" w:rsidRPr="00130AFF" w:rsidRDefault="00842255" w:rsidP="00842255">
      <w:pPr>
        <w:pStyle w:val="Heading1"/>
        <w:spacing w:line="480" w:lineRule="auto"/>
        <w:jc w:val="both"/>
        <w:rPr>
          <w:sz w:val="24"/>
          <w:szCs w:val="24"/>
        </w:rPr>
      </w:pPr>
      <w:r w:rsidRPr="00130AFF">
        <w:rPr>
          <w:sz w:val="24"/>
          <w:szCs w:val="24"/>
        </w:rPr>
        <w:t>Operational definitions</w:t>
      </w:r>
    </w:p>
    <w:p w14:paraId="63DCC0C9" w14:textId="77777777" w:rsidR="00842255" w:rsidRPr="00130AFF" w:rsidRDefault="00842255" w:rsidP="008422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A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Dyslipidemia: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dyslipidemia was defined as: TC ≥5.2 mmol/l, or HDL&lt;1 mmol/l for men and &lt;1.3 mmol/l for women, or TG ≥ 1.7 mmol/l, and LDL≥3.4 mmol/l 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&lt;EndNote&gt;&lt;Cite&gt;&lt;Author&gt;NCEP&lt;/Author&gt;&lt;Year&gt;2002&lt;/Year&gt;&lt;RecNum&gt;1163&lt;/RecNum&gt;&lt;DisplayText&gt;(38)&lt;/DisplayText&gt;&lt;record&gt;&lt;rec-number&gt;1163&lt;/rec-number&gt;&lt;foreign-keys&gt;&lt;key app="EN" db-id="sxd0vdzwl0xwepedtrlvxdzxp25dz5ee550p" timestamp="1663536668"&gt;1163&lt;/key&gt;&lt;/foreign-keys&gt;&lt;ref-type name="Book"&gt;6&lt;/ref-type&gt;&lt;contributors&gt;&lt;authors&gt;&lt;author&gt;NCEP&lt;/author&gt;&lt;/authors&gt;&lt;/contributors&gt;&lt;titles&gt;&lt;title&gt;Third report of the National Cholesterol Education Program (NCEP) Expert Panel on detection, evaluation, and treatment of high blood cholesterol in adults (Adult Treatment Panel III)&lt;/title&gt;&lt;/titles&gt;&lt;number&gt;2&lt;/number&gt;&lt;dates&gt;&lt;year&gt;2002&lt;/year&gt;&lt;/dates&gt;&lt;publisher&gt;The Program&lt;/publisher&gt;&lt;isbn&gt;158808003X&lt;/isbn&gt;&lt;urls&gt;&lt;/urls&gt;&lt;/record&gt;&lt;/Cite&gt;&lt;/EndNote&gt;</w:instrTex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130AF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(38)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t>. A participant was considered to have dyslipidemia if they had any of the lipid profile parameters in the above ranges.</w:t>
      </w:r>
    </w:p>
    <w:p w14:paraId="26DCC227" w14:textId="77777777" w:rsidR="00842255" w:rsidRPr="00130AFF" w:rsidRDefault="00842255" w:rsidP="008422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0AFF">
        <w:rPr>
          <w:rFonts w:ascii="Times New Roman" w:hAnsi="Times New Roman" w:cs="Times New Roman"/>
          <w:b/>
          <w:sz w:val="24"/>
          <w:szCs w:val="24"/>
        </w:rPr>
        <w:t>Cardiovascular diseases (CVDs):</w:t>
      </w:r>
      <w:r w:rsidRPr="00130AFF">
        <w:rPr>
          <w:rFonts w:ascii="Times New Roman" w:hAnsi="Times New Roman" w:cs="Times New Roman"/>
          <w:sz w:val="24"/>
          <w:szCs w:val="24"/>
        </w:rPr>
        <w:t xml:space="preserve"> CVDs referred to a group of disorders of the heart and blood vessels like heart attacks, coronary heart disease, strokes, 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venous thromboembolism, myocardial infarction and peripheral artery disease 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&lt;EndNote&gt;&lt;Cite&gt;&lt;Author&gt;WHO&lt;/Author&gt;&lt;Year&gt;2021&lt;/Year&gt;&lt;RecNum&gt;1125&lt;/RecNum&gt;&lt;DisplayText&gt;(39)&lt;/DisplayText&gt;&lt;record&gt;&lt;rec-number&gt;1125&lt;/rec-number&gt;&lt;foreign-keys&gt;&lt;key app="EN" db-id="sxd0vdzwl0xwepedtrlvxdzxp25dz5ee550p" timestamp="1650208942"&gt;1125&lt;/key&gt;&lt;/foreign-keys&gt;&lt;ref-type name="Journal Article"&gt;17&lt;/ref-type&gt;&lt;contributors&gt;&lt;authors&gt;&lt;author&gt;WHO&lt;/author&gt;&lt;/authors&gt;&lt;/contributors&gt;&lt;titles&gt;&lt;title&gt;Cardiovascular diseases (CVDs)&lt;/title&gt;&lt;/titles&gt;&lt;dates&gt;&lt;year&gt;2021&lt;/year&gt;&lt;pub-dates&gt;&lt;date&gt;11 June 2021&lt;/date&gt;&lt;/pub-dates&gt;&lt;/dates&gt;&lt;urls&gt;&lt;related-urls&gt;&lt;url&gt;https://www.who.int/news-room/fact-sheets/detail/cardiovascular-diseases-(cvds)&lt;/url&gt;&lt;/related-urls&gt;&lt;/urls&gt;&lt;/record&gt;&lt;/Cite&gt;&lt;/EndNote&gt;</w:instrTex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130AFF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>(39)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E11118E" w14:textId="77777777" w:rsidR="00842255" w:rsidRPr="00130AFF" w:rsidRDefault="00842255" w:rsidP="00842255">
      <w:pPr>
        <w:pStyle w:val="NormalWeb"/>
        <w:shd w:val="clear" w:color="auto" w:fill="FFFFFF"/>
        <w:spacing w:before="0" w:beforeAutospacing="0" w:after="360" w:afterAutospacing="0" w:line="480" w:lineRule="auto"/>
        <w:jc w:val="both"/>
      </w:pPr>
      <w:r w:rsidRPr="00130AFF">
        <w:rPr>
          <w:b/>
        </w:rPr>
        <w:t>Body mass index (BMI)</w:t>
      </w:r>
      <w:r w:rsidRPr="00130AFF">
        <w:t>: BMI was calculated as weight (kg) divided by height (m</w:t>
      </w:r>
      <w:r w:rsidRPr="00130AFF">
        <w:rPr>
          <w:vertAlign w:val="superscript"/>
        </w:rPr>
        <w:t>2</w:t>
      </w:r>
      <w:r w:rsidRPr="00130AFF">
        <w:t xml:space="preserve">) and was used </w:t>
      </w:r>
      <w:r w:rsidRPr="00130AFF">
        <w:rPr>
          <w:shd w:val="clear" w:color="auto" w:fill="FFFFFF"/>
        </w:rPr>
        <w:t>as indicator of normal weight (BMI ≤ 25.0 kg/m</w:t>
      </w:r>
      <w:r w:rsidRPr="00130AFF">
        <w:rPr>
          <w:shd w:val="clear" w:color="auto" w:fill="FFFFFF"/>
          <w:vertAlign w:val="superscript"/>
        </w:rPr>
        <w:t>2</w:t>
      </w:r>
      <w:r w:rsidRPr="00130AFF">
        <w:rPr>
          <w:shd w:val="clear" w:color="auto" w:fill="FFFFFF"/>
        </w:rPr>
        <w:t>), overweight (BMI: 25.0 – 29.9 kg/m</w:t>
      </w:r>
      <w:r w:rsidRPr="00130AFF">
        <w:rPr>
          <w:shd w:val="clear" w:color="auto" w:fill="FFFFFF"/>
          <w:vertAlign w:val="superscript"/>
        </w:rPr>
        <w:t>2</w:t>
      </w:r>
      <w:r w:rsidRPr="00130AFF">
        <w:rPr>
          <w:shd w:val="clear" w:color="auto" w:fill="FFFFFF"/>
        </w:rPr>
        <w:t>) and obesity (BMI ≥ 30.0 kg/m</w:t>
      </w:r>
      <w:r w:rsidRPr="00130AFF">
        <w:rPr>
          <w:shd w:val="clear" w:color="auto" w:fill="FFFFFF"/>
          <w:vertAlign w:val="superscript"/>
        </w:rPr>
        <w:t>2</w:t>
      </w:r>
      <w:r w:rsidRPr="00130AFF">
        <w:rPr>
          <w:shd w:val="clear" w:color="auto" w:fill="FFFFFF"/>
        </w:rPr>
        <w:t xml:space="preserve">) </w:t>
      </w:r>
      <w:r w:rsidRPr="00130AFF">
        <w:rPr>
          <w:shd w:val="clear" w:color="auto" w:fill="FFFFFF"/>
        </w:rPr>
        <w:fldChar w:fldCharType="begin"/>
      </w:r>
      <w:r w:rsidRPr="00130AFF">
        <w:rPr>
          <w:shd w:val="clear" w:color="auto" w:fill="FFFFFF"/>
        </w:rPr>
        <w:instrText xml:space="preserve"> ADDIN EN.CITE &lt;EndNote&gt;&lt;Cite&gt;&lt;Author&gt;WHO&lt;/Author&gt;&lt;Year&gt;1995&lt;/Year&gt;&lt;RecNum&gt;1101&lt;/RecNum&gt;&lt;DisplayText&gt;(40)&lt;/DisplayText&gt;&lt;record&gt;&lt;rec-number&gt;1101&lt;/rec-number&gt;&lt;foreign-keys&gt;&lt;key app="EN" db-id="sxd0vdzwl0xwepedtrlvxdzxp25dz5ee550p" timestamp="1647532323"&gt;1101&lt;/key&gt;&lt;/foreign-keys&gt;&lt;ref-type name="Book"&gt;6&lt;/ref-type&gt;&lt;contributors&gt;&lt;authors&gt;&lt;author&gt;WHO&lt;/author&gt;&lt;/authors&gt;&lt;/contributors&gt;&lt;titles&gt;&lt;title&gt;Physical status: The use of and interpretation of anthropometry, Report of a WHO Expert Committee&lt;/title&gt;&lt;/titles&gt;&lt;dates&gt;&lt;year&gt;1995&lt;/year&gt;&lt;/dates&gt;&lt;publisher&gt;World Health Organization&lt;/publisher&gt;&lt;isbn&gt;9241208546&lt;/isbn&gt;&lt;urls&gt;&lt;/urls&gt;&lt;/record&gt;&lt;/Cite&gt;&lt;/EndNote&gt;</w:instrText>
      </w:r>
      <w:r w:rsidRPr="00130AFF">
        <w:rPr>
          <w:shd w:val="clear" w:color="auto" w:fill="FFFFFF"/>
        </w:rPr>
        <w:fldChar w:fldCharType="separate"/>
      </w:r>
      <w:r w:rsidRPr="00130AFF">
        <w:rPr>
          <w:noProof/>
          <w:shd w:val="clear" w:color="auto" w:fill="FFFFFF"/>
        </w:rPr>
        <w:t>(40)</w:t>
      </w:r>
      <w:r w:rsidRPr="00130AFF">
        <w:rPr>
          <w:shd w:val="clear" w:color="auto" w:fill="FFFFFF"/>
        </w:rPr>
        <w:fldChar w:fldCharType="end"/>
      </w:r>
      <w:r w:rsidRPr="00130AFF">
        <w:rPr>
          <w:shd w:val="clear" w:color="auto" w:fill="FFFFFF"/>
        </w:rPr>
        <w:t>.</w:t>
      </w:r>
      <w:r w:rsidRPr="00130AFF">
        <w:t xml:space="preserve"> </w:t>
      </w:r>
    </w:p>
    <w:p w14:paraId="6FDB680C" w14:textId="77777777" w:rsidR="00842255" w:rsidRPr="00130AFF" w:rsidRDefault="00842255" w:rsidP="00842255">
      <w:pPr>
        <w:spacing w:before="6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AFF">
        <w:rPr>
          <w:rFonts w:ascii="Times New Roman" w:hAnsi="Times New Roman" w:cs="Times New Roman"/>
          <w:b/>
          <w:sz w:val="24"/>
          <w:szCs w:val="24"/>
        </w:rPr>
        <w:t>Physical activity: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30AFF">
        <w:rPr>
          <w:rFonts w:ascii="Times New Roman" w:hAnsi="Times New Roman" w:cs="Times New Roman"/>
          <w:sz w:val="24"/>
          <w:szCs w:val="24"/>
        </w:rPr>
        <w:t xml:space="preserve">high physical activity was defined as achieving at least 600 minutes of physical activity per week or at least 5 days a week of any combination of any vigorous or moderate-intensity sports, fitness or </w:t>
      </w:r>
      <w:r w:rsidRPr="00130AFF">
        <w:rPr>
          <w:rFonts w:ascii="Times New Roman" w:hAnsi="Times New Roman" w:cs="Times New Roman"/>
          <w:iCs/>
          <w:sz w:val="24"/>
          <w:szCs w:val="24"/>
        </w:rPr>
        <w:t xml:space="preserve">leisure </w:t>
      </w:r>
      <w:r w:rsidRPr="00130AFF">
        <w:rPr>
          <w:rFonts w:ascii="Times New Roman" w:hAnsi="Times New Roman" w:cs="Times New Roman"/>
          <w:sz w:val="24"/>
          <w:szCs w:val="24"/>
        </w:rPr>
        <w:t xml:space="preserve">activities that cause a large or small increase in breathing or heart rate such as </w:t>
      </w:r>
      <w:r w:rsidRPr="00130AFF">
        <w:rPr>
          <w:rFonts w:ascii="Times New Roman" w:hAnsi="Times New Roman" w:cs="Times New Roman"/>
          <w:iCs/>
          <w:sz w:val="24"/>
          <w:szCs w:val="24"/>
        </w:rPr>
        <w:t>cycling, running, football,</w:t>
      </w:r>
      <w:r w:rsidRPr="00130AFF">
        <w:rPr>
          <w:rFonts w:ascii="Times New Roman" w:hAnsi="Times New Roman" w:cs="Times New Roman"/>
          <w:sz w:val="24"/>
          <w:szCs w:val="24"/>
        </w:rPr>
        <w:t xml:space="preserve"> household chores, harvesting, fishing or hunting, </w:t>
      </w:r>
      <w:r w:rsidRPr="00130AFF">
        <w:rPr>
          <w:rFonts w:ascii="Times New Roman" w:hAnsi="Times New Roman" w:cs="Times New Roman"/>
          <w:iCs/>
          <w:sz w:val="24"/>
          <w:szCs w:val="24"/>
        </w:rPr>
        <w:t xml:space="preserve">swimming and volleyball using the </w:t>
      </w:r>
      <w:r w:rsidRPr="00130AFF">
        <w:rPr>
          <w:rFonts w:ascii="Times New Roman" w:hAnsi="Times New Roman" w:cs="Times New Roman"/>
          <w:sz w:val="24"/>
          <w:szCs w:val="24"/>
        </w:rPr>
        <w:t>WHO STEPS Instrument</w:t>
      </w:r>
      <w:r w:rsidRPr="00130AFF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130AFF">
        <w:rPr>
          <w:rFonts w:ascii="Times New Roman" w:hAnsi="Times New Roman" w:cs="Times New Roman"/>
          <w:sz w:val="24"/>
          <w:szCs w:val="24"/>
        </w:rPr>
        <w:fldChar w:fldCharType="begin"/>
      </w:r>
      <w:r w:rsidRPr="00130AF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&lt;EndNote&gt;&lt;Cite&gt;&lt;Author&gt;Riley&lt;/Author&gt;&lt;Year&gt;2015&lt;/Year&gt;&lt;RecNum&gt;1110&lt;/RecNum&gt;&lt;DisplayText&gt;(41)&lt;/DisplayText&gt;&lt;record&gt;&lt;rec-number&gt;1110&lt;/rec-number&gt;&lt;foreign-keys&gt;&lt;key app="EN" db-id="sxd0vdzwl0xwepedtrlvxdzxp25dz5ee550p" timestamp="1649782794"&gt;1110&lt;/key&gt;&lt;/foreign-keys&gt;&lt;ref-type name="Journal Article"&gt;17&lt;/ref-type&gt;&lt;contributors&gt;&lt;authors&gt;&lt;author&gt;Riley, Leanne&lt;/author&gt;&lt;author&gt;Guthold, Regina&lt;/author&gt;&lt;author&gt;Cowan, Melanie&lt;/author&gt;&lt;author&gt;Savin, Stefan&lt;/author&gt;&lt;author&gt;Bhatti, Lubna&lt;/author&gt;&lt;author&gt;Armstrong, Timothy&lt;/author&gt;&lt;author&gt;Bonita, Ruth&lt;/author&gt;&lt;/authors&gt;&lt;/contributors&gt;&lt;titles&gt;&lt;title&gt;The World Health Organization STEPwise Approach to Noncommunicable Disease Risk-Factor Surveillance: Methods, Challenges, and Opportunities&lt;/title&gt;&lt;secondary-title&gt;American Journal of Public Health&lt;/secondary-title&gt;&lt;/titles&gt;&lt;periodical&gt;&lt;full-title&gt;American Journal of Public Health&lt;/full-title&gt;&lt;/periodical&gt;&lt;pages&gt;74-78&lt;/pages&gt;&lt;volume&gt;106&lt;/volume&gt;&lt;number&gt;1&lt;/number&gt;&lt;dates&gt;&lt;year&gt;2015&lt;/year&gt;&lt;pub-dates&gt;&lt;date&gt;2016/01/01&lt;/date&gt;&lt;/pub-dates&gt;&lt;/dates&gt;&lt;publisher&gt;American Public Health Association&lt;/publisher&gt;&lt;isbn&gt;0090-0036&lt;/isbn&gt;&lt;urls&gt;&lt;related-urls&gt;&lt;url&gt;https://doi.org/10.2105/AJPH.2015.302962&lt;/url&gt;&lt;/related-urls&gt;&lt;/urls&gt;&lt;electronic-resource-num&gt;10.2105/AJPH.2015.302962&lt;/electronic-resource-num&gt;&lt;access-date&gt;2022/04/12&lt;/access-date&gt;&lt;/record&gt;&lt;/Cite&gt;&lt;/EndNote&gt;</w:instrText>
      </w:r>
      <w:r w:rsidRPr="00130AFF">
        <w:rPr>
          <w:rFonts w:ascii="Times New Roman" w:hAnsi="Times New Roman" w:cs="Times New Roman"/>
          <w:sz w:val="24"/>
          <w:szCs w:val="24"/>
        </w:rPr>
        <w:fldChar w:fldCharType="separate"/>
      </w:r>
      <w:r w:rsidRPr="00130AFF">
        <w:rPr>
          <w:rFonts w:ascii="Times New Roman" w:hAnsi="Times New Roman" w:cs="Times New Roman"/>
          <w:noProof/>
          <w:sz w:val="24"/>
          <w:szCs w:val="24"/>
        </w:rPr>
        <w:t>(41)</w:t>
      </w:r>
      <w:r w:rsidRPr="00130AFF">
        <w:rPr>
          <w:rFonts w:ascii="Times New Roman" w:hAnsi="Times New Roman" w:cs="Times New Roman"/>
          <w:sz w:val="24"/>
          <w:szCs w:val="24"/>
        </w:rPr>
        <w:fldChar w:fldCharType="end"/>
      </w:r>
      <w:r w:rsidRPr="00130AFF">
        <w:rPr>
          <w:rFonts w:ascii="Times New Roman" w:hAnsi="Times New Roman" w:cs="Times New Roman"/>
          <w:sz w:val="24"/>
          <w:szCs w:val="24"/>
        </w:rPr>
        <w:t>.</w:t>
      </w:r>
    </w:p>
    <w:p w14:paraId="4F33911D" w14:textId="77777777" w:rsidR="00842255" w:rsidRPr="00130AFF" w:rsidRDefault="00842255" w:rsidP="008422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AFF">
        <w:rPr>
          <w:rFonts w:ascii="Times New Roman" w:hAnsi="Times New Roman" w:cs="Times New Roman"/>
          <w:b/>
          <w:sz w:val="24"/>
          <w:szCs w:val="24"/>
        </w:rPr>
        <w:t>Drug abuse / substance use</w:t>
      </w:r>
      <w:r w:rsidRPr="00130AFF">
        <w:rPr>
          <w:rFonts w:ascii="Times New Roman" w:hAnsi="Times New Roman" w:cs="Times New Roman"/>
          <w:sz w:val="24"/>
          <w:szCs w:val="24"/>
        </w:rPr>
        <w:t xml:space="preserve"> referred to the use of any substances other than alcohol or tobacco products such as cannabis, marijuana, cocaine, acetaminophen, khat and petrol. </w:t>
      </w:r>
    </w:p>
    <w:p w14:paraId="0852F003" w14:textId="77777777" w:rsidR="00842255" w:rsidRPr="00130AFF" w:rsidRDefault="00842255" w:rsidP="0084225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AFF">
        <w:rPr>
          <w:rFonts w:ascii="Times New Roman" w:hAnsi="Times New Roman" w:cs="Times New Roman"/>
          <w:b/>
          <w:sz w:val="24"/>
          <w:szCs w:val="24"/>
        </w:rPr>
        <w:t>Alcohol use</w:t>
      </w:r>
      <w:r w:rsidRPr="00130AFF">
        <w:rPr>
          <w:rFonts w:ascii="Times New Roman" w:hAnsi="Times New Roman" w:cs="Times New Roman"/>
          <w:sz w:val="24"/>
          <w:szCs w:val="24"/>
        </w:rPr>
        <w:t xml:space="preserve"> referred to drinking alcohol at least three times a week as previously defined in other studies on alcohol use in Uganda </w:t>
      </w:r>
      <w:r w:rsidRPr="00130AFF">
        <w:rPr>
          <w:rFonts w:ascii="Times New Roman" w:hAnsi="Times New Roman" w:cs="Times New Roman"/>
          <w:sz w:val="24"/>
          <w:szCs w:val="24"/>
        </w:rPr>
        <w:fldChar w:fldCharType="begin"/>
      </w:r>
      <w:r w:rsidRPr="00130AF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&lt;EndNote&gt;&lt;Cite&gt;&lt;Author&gt;Kabwama&lt;/Author&gt;&lt;Year&gt;2016&lt;/Year&gt;&lt;RecNum&gt;1166&lt;/RecNum&gt;&lt;DisplayText&gt;(42)&lt;/DisplayText&gt;&lt;record&gt;&lt;rec-number&gt;1166&lt;/rec-number&gt;&lt;foreign-keys&gt;&lt;key app="EN" db-id="t9x99ws2tr0wacevwxlxfpe7exp9zrt0dwx5" timestamp="1652780402"&gt;1166&lt;/key&gt;&lt;/foreign-keys&gt;&lt;ref-type name="Journal Article"&gt;17&lt;/ref-type&gt;&lt;contributors&gt;&lt;authors&gt;&lt;author&gt;Kabwama, Steven Ndugwa&lt;/author&gt;&lt;author&gt;Ndyanabangi, Sheila&lt;/author&gt;&lt;author&gt;Mutungi, Gerald&lt;/author&gt;&lt;author&gt;Wesonga, Ronald&lt;/author&gt;&lt;author&gt;Bahendeka, Silver K.&lt;/author&gt;&lt;author&gt;Guwatudde, David&lt;/author&gt;&lt;/authors&gt;&lt;/contributors&gt;&lt;titles&gt;&lt;title&gt;Alcohol use among adults in Uganda: findings from the countrywide non-communicable diseases risk factor cross-sectional survey&lt;/title&gt;&lt;secondary-title&gt;Global health action&lt;/secondary-title&gt;&lt;alt-title&gt;Glob Health Action&lt;/alt-title&gt;&lt;/titles&gt;&lt;periodical&gt;&lt;full-title&gt;Global health action&lt;/full-title&gt;&lt;abbr-1&gt;Glob Health Action&lt;/abbr-1&gt;&lt;/periodical&gt;&lt;alt-periodical&gt;&lt;full-title&gt;Global health action&lt;/full-title&gt;&lt;abbr-1&gt;Glob Health Action&lt;/abbr-1&gt;&lt;/alt-periodical&gt;&lt;pages&gt;31302-31302&lt;/pages&gt;&lt;volume&gt;9&lt;/volume&gt;&lt;keywords&gt;&lt;keyword&gt;Uganda&lt;/keyword&gt;&lt;keyword&gt;WHO STEPS methodology&lt;/keyword&gt;&lt;keyword&gt;alcohol use&lt;/keyword&gt;&lt;keyword&gt;non-communicable diseases&lt;/keyword&gt;&lt;keyword&gt;sub-Saharan Africa&lt;/keyword&gt;&lt;/keywords&gt;&lt;dates&gt;&lt;year&gt;2016&lt;/year&gt;&lt;/dates&gt;&lt;publisher&gt;Co-Action Publishing&lt;/publisher&gt;&lt;isbn&gt;1654-9880&amp;#xD;1654-9716&lt;/isbn&gt;&lt;accession-num&gt;27491961&lt;/accession-num&gt;&lt;urls&gt;&lt;related-urls&gt;&lt;url&gt;https://pubmed.ncbi.nlm.nih.gov/27491961&lt;/url&gt;&lt;url&gt;https://www.ncbi.nlm.nih.gov/pmc/articles/PMC4974493/&lt;/url&gt;&lt;/related-urls&gt;&lt;/urls&gt;&lt;electronic-resource-num&gt;10.3402/gha.v9.31302&lt;/electronic-resource-num&gt;&lt;remote-database-name&gt;PubMed&lt;/remote-database-name&gt;&lt;language&gt;eng&lt;/language&gt;&lt;/record&gt;&lt;/Cite&gt;&lt;/EndNote&gt;</w:instrText>
      </w:r>
      <w:r w:rsidRPr="00130AFF">
        <w:rPr>
          <w:rFonts w:ascii="Times New Roman" w:hAnsi="Times New Roman" w:cs="Times New Roman"/>
          <w:sz w:val="24"/>
          <w:szCs w:val="24"/>
        </w:rPr>
        <w:fldChar w:fldCharType="separate"/>
      </w:r>
      <w:r w:rsidRPr="00130AFF">
        <w:rPr>
          <w:rFonts w:ascii="Times New Roman" w:hAnsi="Times New Roman" w:cs="Times New Roman"/>
          <w:noProof/>
          <w:sz w:val="24"/>
          <w:szCs w:val="24"/>
        </w:rPr>
        <w:t>(42)</w:t>
      </w:r>
      <w:r w:rsidRPr="00130AFF">
        <w:rPr>
          <w:rFonts w:ascii="Times New Roman" w:hAnsi="Times New Roman" w:cs="Times New Roman"/>
          <w:sz w:val="24"/>
          <w:szCs w:val="24"/>
        </w:rPr>
        <w:fldChar w:fldCharType="end"/>
      </w:r>
      <w:r w:rsidRPr="00130AFF">
        <w:rPr>
          <w:rFonts w:ascii="Times New Roman" w:hAnsi="Times New Roman" w:cs="Times New Roman"/>
          <w:sz w:val="24"/>
          <w:szCs w:val="24"/>
        </w:rPr>
        <w:fldChar w:fldCharType="begin"/>
      </w:r>
      <w:r w:rsidRPr="00130AFF">
        <w:rPr>
          <w:rFonts w:ascii="Times New Roman" w:hAnsi="Times New Roman" w:cs="Times New Roman"/>
          <w:sz w:val="24"/>
          <w:szCs w:val="24"/>
        </w:rPr>
        <w:fldChar w:fldCharType="separate"/>
      </w:r>
      <w:r w:rsidRPr="00130AFF">
        <w:rPr>
          <w:rFonts w:ascii="Times New Roman" w:hAnsi="Times New Roman" w:cs="Times New Roman"/>
          <w:sz w:val="24"/>
          <w:szCs w:val="24"/>
        </w:rPr>
        <w:t>{Kabwama, 2016 #1166}</w:t>
      </w:r>
      <w:r w:rsidRPr="00130AFF">
        <w:rPr>
          <w:rFonts w:ascii="Times New Roman" w:hAnsi="Times New Roman" w:cs="Times New Roman"/>
          <w:sz w:val="24"/>
          <w:szCs w:val="24"/>
        </w:rPr>
        <w:fldChar w:fldCharType="end"/>
      </w:r>
      <w:r w:rsidRPr="00130AFF">
        <w:rPr>
          <w:rFonts w:ascii="Times New Roman" w:hAnsi="Times New Roman" w:cs="Times New Roman"/>
          <w:sz w:val="24"/>
          <w:szCs w:val="24"/>
        </w:rPr>
        <w:t xml:space="preserve">. Binge drinking referred to taking alcohol three or more </w:t>
      </w:r>
      <w:r w:rsidRPr="00130AFF">
        <w:rPr>
          <w:rFonts w:ascii="Times New Roman" w:hAnsi="Times New Roman" w:cs="Times New Roman"/>
          <w:sz w:val="24"/>
          <w:szCs w:val="24"/>
        </w:rPr>
        <w:lastRenderedPageBreak/>
        <w:t xml:space="preserve">times per week while moderate consumption referred to less than three occasions of alcohol per week. </w:t>
      </w:r>
    </w:p>
    <w:p w14:paraId="5F67E715" w14:textId="70CE5AD5" w:rsidR="00887F74" w:rsidRDefault="00842255" w:rsidP="00842255">
      <w:r w:rsidRPr="00130AFF">
        <w:rPr>
          <w:rFonts w:ascii="Times New Roman" w:hAnsi="Times New Roman" w:cs="Times New Roman"/>
          <w:b/>
          <w:bCs/>
          <w:sz w:val="24"/>
          <w:szCs w:val="24"/>
        </w:rPr>
        <w:t>Employment status</w:t>
      </w:r>
      <w:r w:rsidRPr="00130AFF">
        <w:rPr>
          <w:rFonts w:ascii="Times New Roman" w:hAnsi="Times New Roman" w:cs="Times New Roman"/>
          <w:sz w:val="24"/>
          <w:szCs w:val="24"/>
        </w:rPr>
        <w:t xml:space="preserve"> was defined as unemployment if </w:t>
      </w:r>
      <w:r w:rsidRPr="00130AFF">
        <w:rPr>
          <w:rStyle w:val="hgkelc"/>
          <w:rFonts w:ascii="Times New Roman" w:hAnsi="Times New Roman" w:cs="Times New Roman"/>
          <w:sz w:val="24"/>
          <w:szCs w:val="24"/>
        </w:rPr>
        <w:t>people were jobless, whether they were searching for a job or not</w:t>
      </w:r>
      <w:r w:rsidRPr="00130AFF">
        <w:rPr>
          <w:rFonts w:ascii="Times New Roman" w:hAnsi="Times New Roman" w:cs="Times New Roman"/>
          <w:sz w:val="24"/>
          <w:szCs w:val="24"/>
        </w:rPr>
        <w:t>; formal employment was when an individual was working in an institution or company or organization as hired employment with a binding institution contract; i</w:t>
      </w:r>
      <w:r w:rsidRPr="00130AFF">
        <w:rPr>
          <w:rStyle w:val="hgkelc"/>
          <w:rFonts w:ascii="Times New Roman" w:hAnsi="Times New Roman" w:cs="Times New Roman"/>
          <w:sz w:val="24"/>
          <w:szCs w:val="24"/>
        </w:rPr>
        <w:t xml:space="preserve">nformal employment referred to work without a defined income (stable income) and an established working agreement; and self-employment was when a 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person </w:t>
      </w:r>
      <w:r w:rsidRPr="00130AF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did</w:t>
      </w:r>
      <w:r w:rsidRPr="00130AFF">
        <w:rPr>
          <w:rFonts w:ascii="Times New Roman" w:hAnsi="Times New Roman" w:cs="Times New Roman"/>
          <w:sz w:val="24"/>
          <w:szCs w:val="24"/>
          <w:shd w:val="clear" w:color="auto" w:fill="FFFFFF"/>
        </w:rPr>
        <w:t> not work for an employer but found work for themselves, or had their own business.</w:t>
      </w:r>
    </w:p>
    <w:sectPr w:rsidR="00887F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55"/>
    <w:rsid w:val="0021322E"/>
    <w:rsid w:val="00842255"/>
    <w:rsid w:val="0088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18CFE"/>
  <w15:chartTrackingRefBased/>
  <w15:docId w15:val="{103446E8-94E0-4B36-9293-1665D3D9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255"/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8422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255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gkelc">
    <w:name w:val="hgkelc"/>
    <w:basedOn w:val="DefaultParagraphFont"/>
    <w:rsid w:val="00842255"/>
  </w:style>
  <w:style w:type="paragraph" w:styleId="NormalWeb">
    <w:name w:val="Normal (Web)"/>
    <w:basedOn w:val="Normal"/>
    <w:uiPriority w:val="99"/>
    <w:unhideWhenUsed/>
    <w:rsid w:val="0084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1114</Words>
  <Characters>6350</Characters>
  <Application>Microsoft Office Word</Application>
  <DocSecurity>0</DocSecurity>
  <Lines>52</Lines>
  <Paragraphs>14</Paragraphs>
  <ScaleCrop>false</ScaleCrop>
  <Company>Springer Nature</Company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Hiralal Vijay Habbu</dc:creator>
  <cp:keywords/>
  <dc:description/>
  <cp:lastModifiedBy>Hiralal Vijay Habbu</cp:lastModifiedBy>
  <cp:revision>1</cp:revision>
  <dcterms:created xsi:type="dcterms:W3CDTF">2023-12-12T11:00:00Z</dcterms:created>
  <dcterms:modified xsi:type="dcterms:W3CDTF">2023-12-12T11:02:00Z</dcterms:modified>
</cp:coreProperties>
</file>