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Supplementary file </w:t>
      </w:r>
    </w:p>
    <w:p>
      <w:pP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>The command used in Stata Software: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ssc install midas</w:t>
      </w: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ssc install mylabels</w:t>
      </w: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midas tp fp fn tn, res(sum)</w:t>
      </w: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midas tp fp fn tn, id(author year) ms(0.75) ford fors bfor(dss)</w:t>
      </w: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midas tp fp fn tn, plot sroc(both)</w:t>
      </w: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midas tp fp fn tn, pubbias</w:t>
      </w:r>
    </w:p>
    <w:p>
      <w:pPr>
        <w:rPr>
          <w:rFonts w:hint="default" w:ascii="Times New Roman" w:hAnsi="Times New Roman" w:cs="Times New Roman"/>
        </w:rPr>
      </w:pPr>
    </w:p>
    <w:p>
      <w:pPr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5269230" cy="3219450"/>
            <wp:effectExtent l="0" t="0" r="1270" b="6350"/>
            <wp:docPr id="1" name="图片 1" descr="Should metagenomic next-generation sequencing be used to diagnose central nervous system infection i (1)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hould metagenomic next-generation sequencing be used to diagnose central nervous system infection i (1)_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Supplementary Figure 1:</w:t>
      </w:r>
      <w:r>
        <w:rPr>
          <w:rFonts w:hint="eastAsia" w:ascii="Times New Roman" w:hAnsi="Times New Roman" w:cs="Times New Roman"/>
          <w:lang w:val="en-US" w:eastAsia="zh-CN"/>
        </w:rPr>
        <w:t xml:space="preserve"> The certainty of evidence measure by GRADE score system</w:t>
      </w:r>
    </w:p>
    <w:p>
      <w:pPr>
        <w:rPr>
          <w:rFonts w:hint="eastAsia" w:ascii="Times New Roman" w:hAnsi="Times New Roman" w:cs="Times New Roman" w:eastAsiaTheme="minorEastAsia"/>
          <w:lang w:eastAsia="zh-CN"/>
        </w:rPr>
      </w:pPr>
    </w:p>
    <w:p>
      <w:pPr>
        <w:rPr>
          <w:rFonts w:hint="eastAsia" w:ascii="Times New Roman" w:hAnsi="Times New Roman" w:cs="Times New Roman" w:eastAsiaTheme="minorEastAsia"/>
          <w:lang w:eastAsia="zh-CN"/>
        </w:rPr>
      </w:pPr>
      <w:r>
        <w:drawing>
          <wp:inline distT="0" distB="0" distL="114300" distR="114300">
            <wp:extent cx="4341495" cy="2008505"/>
            <wp:effectExtent l="9525" t="9525" r="17780" b="1397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rcRect t="801"/>
                    <a:stretch>
                      <a:fillRect/>
                    </a:stretch>
                  </pic:blipFill>
                  <pic:spPr>
                    <a:xfrm>
                      <a:off x="0" y="0"/>
                      <a:ext cx="4341495" cy="200850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Supplementary Figure 2:</w:t>
      </w:r>
      <w:r>
        <w:rPr>
          <w:rFonts w:hint="eastAsia" w:ascii="Times New Roman" w:hAnsi="Times New Roman" w:cs="Times New Roman"/>
          <w:lang w:val="en-US" w:eastAsia="zh-CN"/>
        </w:rPr>
        <w:t xml:space="preserve"> Forest plot for the positive likelihood ratio (PLR) of mNGS for the diagnosis of pediatric CNSI. </w:t>
      </w: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  <w:r>
        <w:drawing>
          <wp:inline distT="0" distB="0" distL="114300" distR="114300">
            <wp:extent cx="4330700" cy="2108835"/>
            <wp:effectExtent l="0" t="0" r="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rcRect b="4613"/>
                    <a:stretch>
                      <a:fillRect/>
                    </a:stretch>
                  </pic:blipFill>
                  <pic:spPr>
                    <a:xfrm>
                      <a:off x="0" y="0"/>
                      <a:ext cx="4330700" cy="210883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Supplementary Figure 3:</w:t>
      </w:r>
      <w:r>
        <w:rPr>
          <w:rFonts w:hint="eastAsia" w:ascii="Times New Roman" w:hAnsi="Times New Roman" w:cs="Times New Roman"/>
          <w:lang w:val="en-US" w:eastAsia="zh-CN"/>
        </w:rPr>
        <w:t xml:space="preserve"> Forest plot for the negative likelihood ratio (NLR) of mNGS for the diagnosis of pediatric CNSI. </w:t>
      </w: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r>
        <w:drawing>
          <wp:inline distT="0" distB="0" distL="114300" distR="114300">
            <wp:extent cx="4434840" cy="2000885"/>
            <wp:effectExtent l="9525" t="9525" r="13335" b="2159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34840" cy="200088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Supplementary Figure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4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:</w:t>
      </w:r>
      <w:r>
        <w:rPr>
          <w:rFonts w:hint="default" w:ascii="Times New Roman" w:hAnsi="Times New Roman" w:cs="Times New Roman"/>
          <w:lang w:val="en-US" w:eastAsia="zh-CN"/>
        </w:rPr>
        <w:t xml:space="preserve"> Forest plot for the Diagnostic Odd’s Ratio (DOR)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  <w:bookmarkStart w:id="0" w:name="_GoBack"/>
      <w:bookmarkEnd w:id="0"/>
    </w:p>
    <w:p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Supplementary Table 1:</w:t>
      </w:r>
      <w:r>
        <w:rPr>
          <w:rFonts w:hint="eastAsia" w:ascii="Times New Roman" w:hAnsi="Times New Roman" w:cs="Times New Roman"/>
          <w:lang w:val="en-US" w:eastAsia="zh-CN"/>
        </w:rPr>
        <w:t xml:space="preserve"> Leave-one-out analysis depicting the pooled sensitivity and specificity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0"/>
        <w:gridCol w:w="142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pct"/>
            <w:gridSpan w:val="3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Sensitivity</w:t>
            </w:r>
          </w:p>
        </w:tc>
        <w:tc>
          <w:tcPr>
            <w:tcW w:w="2500" w:type="pct"/>
            <w:gridSpan w:val="3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Specificity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tcBorders>
              <w:top w:val="single" w:color="auto" w:sz="4" w:space="0"/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833" w:type="pct"/>
            <w:tcBorders>
              <w:top w:val="single" w:color="auto" w:sz="4" w:space="0"/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Estimate (95% CI)</w:t>
            </w:r>
          </w:p>
        </w:tc>
        <w:tc>
          <w:tcPr>
            <w:tcW w:w="833" w:type="pct"/>
            <w:tcBorders>
              <w:top w:val="single" w:color="auto" w:sz="4" w:space="0"/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vertAlign w:val="baseline"/>
                <w:lang w:val="en-US" w:eastAsia="zh-CN"/>
              </w:rPr>
              <w:t>I</w:t>
            </w:r>
            <w:r>
              <w:rPr>
                <w:rFonts w:hint="eastAsia" w:ascii="Times New Roman" w:hAnsi="Times New Roman" w:cs="Times New Roman"/>
                <w:i/>
                <w:iCs/>
                <w:vertAlign w:val="superscript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vertAlign w:val="superscript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value</w:t>
            </w:r>
          </w:p>
        </w:tc>
        <w:tc>
          <w:tcPr>
            <w:tcW w:w="833" w:type="pct"/>
            <w:tcBorders>
              <w:top w:val="single" w:color="auto" w:sz="4" w:space="0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833" w:type="pct"/>
            <w:tcBorders>
              <w:top w:val="single" w:color="auto" w:sz="4" w:space="0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Estimate (95% CI)</w:t>
            </w:r>
          </w:p>
        </w:tc>
        <w:tc>
          <w:tcPr>
            <w:tcW w:w="834" w:type="pct"/>
            <w:tcBorders>
              <w:top w:val="single" w:color="auto" w:sz="4" w:space="0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/>
                <w:iCs/>
                <w:vertAlign w:val="baseline"/>
                <w:lang w:val="en-US" w:eastAsia="zh-CN"/>
              </w:rPr>
              <w:t>I</w:t>
            </w:r>
            <w:r>
              <w:rPr>
                <w:rFonts w:hint="eastAsia" w:ascii="Times New Roman" w:hAnsi="Times New Roman" w:cs="Times New Roman"/>
                <w:i/>
                <w:iCs/>
                <w:vertAlign w:val="superscript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vertAlign w:val="superscript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vertAlign w:val="baseline"/>
                <w:lang w:val="en-US" w:eastAsia="zh-CN"/>
              </w:rPr>
              <w:t>Overall</w:t>
            </w:r>
          </w:p>
        </w:tc>
        <w:tc>
          <w:tcPr>
            <w:tcW w:w="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0.68 (0.59, 0.76%)</w:t>
            </w:r>
          </w:p>
        </w:tc>
        <w:tc>
          <w:tcPr>
            <w:tcW w:w="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vertAlign w:val="baseline"/>
                <w:lang w:val="en-US" w:eastAsia="zh-CN"/>
              </w:rPr>
              <w:t>66.8%</w:t>
            </w:r>
          </w:p>
        </w:tc>
        <w:tc>
          <w:tcPr>
            <w:tcW w:w="833" w:type="pc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vertAlign w:val="baseline"/>
                <w:lang w:val="en-US" w:eastAsia="zh-CN"/>
              </w:rPr>
              <w:t>Overall</w:t>
            </w:r>
          </w:p>
        </w:tc>
        <w:tc>
          <w:tcPr>
            <w:tcW w:w="833" w:type="pc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0.89 (0.80, 0.95)</w:t>
            </w:r>
          </w:p>
        </w:tc>
        <w:tc>
          <w:tcPr>
            <w:tcW w:w="834" w:type="pc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vertAlign w:val="baseline"/>
                <w:lang w:val="en-US" w:eastAsia="zh-CN"/>
              </w:rPr>
              <w:t>83.3%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Omitted Study</w:t>
            </w:r>
          </w:p>
        </w:tc>
        <w:tc>
          <w:tcPr>
            <w:tcW w:w="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i/>
                <w:iCs/>
                <w:vertAlign w:val="baseline"/>
                <w:lang w:val="en-US" w:eastAsia="zh-CN"/>
              </w:rPr>
            </w:pPr>
          </w:p>
        </w:tc>
        <w:tc>
          <w:tcPr>
            <w:tcW w:w="833" w:type="pc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Omitted Study</w:t>
            </w:r>
          </w:p>
        </w:tc>
        <w:tc>
          <w:tcPr>
            <w:tcW w:w="833" w:type="pc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i/>
                <w:i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(Qu, 2022)</w:t>
            </w:r>
          </w:p>
        </w:tc>
        <w:tc>
          <w:tcPr>
            <w:tcW w:w="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0.66 (0.60, 0.72)</w:t>
            </w:r>
          </w:p>
        </w:tc>
        <w:tc>
          <w:tcPr>
            <w:tcW w:w="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67.1%</w:t>
            </w:r>
          </w:p>
        </w:tc>
        <w:tc>
          <w:tcPr>
            <w:tcW w:w="833" w:type="pc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(Qu, 2022)</w:t>
            </w:r>
          </w:p>
        </w:tc>
        <w:tc>
          <w:tcPr>
            <w:tcW w:w="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0.86 (0.82, 0.89)</w:t>
            </w:r>
          </w:p>
        </w:tc>
        <w:tc>
          <w:tcPr>
            <w:tcW w:w="834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84.1%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(Chen, 2022)</w:t>
            </w:r>
          </w:p>
        </w:tc>
        <w:tc>
          <w:tcPr>
            <w:tcW w:w="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0.71 (0.64, 0.78)</w:t>
            </w:r>
          </w:p>
        </w:tc>
        <w:tc>
          <w:tcPr>
            <w:tcW w:w="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64.0%</w:t>
            </w:r>
          </w:p>
        </w:tc>
        <w:tc>
          <w:tcPr>
            <w:tcW w:w="833" w:type="pc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(Chen, 2022)</w:t>
            </w:r>
          </w:p>
        </w:tc>
        <w:tc>
          <w:tcPr>
            <w:tcW w:w="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0.90 (0.86, 0.93)</w:t>
            </w:r>
          </w:p>
        </w:tc>
        <w:tc>
          <w:tcPr>
            <w:tcW w:w="834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62.3%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(Ramchandar, 2021)</w:t>
            </w:r>
          </w:p>
        </w:tc>
        <w:tc>
          <w:tcPr>
            <w:tcW w:w="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0.66 (0.59, 0.72)</w:t>
            </w:r>
          </w:p>
        </w:tc>
        <w:tc>
          <w:tcPr>
            <w:tcW w:w="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68.8%</w:t>
            </w:r>
          </w:p>
        </w:tc>
        <w:tc>
          <w:tcPr>
            <w:tcW w:w="833" w:type="pc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(Ramchandar, 2021)</w:t>
            </w:r>
          </w:p>
        </w:tc>
        <w:tc>
          <w:tcPr>
            <w:tcW w:w="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0.85 (0.81, 0.89)</w:t>
            </w:r>
          </w:p>
        </w:tc>
        <w:tc>
          <w:tcPr>
            <w:tcW w:w="834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83.7%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(Guo, 2021)</w:t>
            </w:r>
          </w:p>
        </w:tc>
        <w:tc>
          <w:tcPr>
            <w:tcW w:w="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0.67 (0.60, 0.73)</w:t>
            </w:r>
          </w:p>
        </w:tc>
        <w:tc>
          <w:tcPr>
            <w:tcW w:w="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71.0%</w:t>
            </w:r>
          </w:p>
        </w:tc>
        <w:tc>
          <w:tcPr>
            <w:tcW w:w="833" w:type="pc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(Guo, 2021)</w:t>
            </w:r>
          </w:p>
        </w:tc>
        <w:tc>
          <w:tcPr>
            <w:tcW w:w="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0.86 (0.82, 0.89)</w:t>
            </w:r>
          </w:p>
        </w:tc>
        <w:tc>
          <w:tcPr>
            <w:tcW w:w="834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84.0%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(Ge, 2021)</w:t>
            </w:r>
          </w:p>
        </w:tc>
        <w:tc>
          <w:tcPr>
            <w:tcW w:w="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0.67 (0.60, 0.72)</w:t>
            </w:r>
          </w:p>
        </w:tc>
        <w:tc>
          <w:tcPr>
            <w:tcW w:w="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66.5%</w:t>
            </w:r>
          </w:p>
        </w:tc>
        <w:tc>
          <w:tcPr>
            <w:tcW w:w="833" w:type="pc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(Ge, 2021)</w:t>
            </w:r>
          </w:p>
        </w:tc>
        <w:tc>
          <w:tcPr>
            <w:tcW w:w="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0.86 (0.82, 0.90)</w:t>
            </w:r>
          </w:p>
        </w:tc>
        <w:tc>
          <w:tcPr>
            <w:tcW w:w="834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84.2%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(Leon, 2020)</w:t>
            </w:r>
          </w:p>
        </w:tc>
        <w:tc>
          <w:tcPr>
            <w:tcW w:w="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0.70 (0.63, 0.76)</w:t>
            </w:r>
          </w:p>
        </w:tc>
        <w:tc>
          <w:tcPr>
            <w:tcW w:w="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62.1%</w:t>
            </w:r>
          </w:p>
        </w:tc>
        <w:tc>
          <w:tcPr>
            <w:tcW w:w="833" w:type="pc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(Haston, 2020)</w:t>
            </w:r>
          </w:p>
        </w:tc>
        <w:tc>
          <w:tcPr>
            <w:tcW w:w="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0.86 (0.82, 0.90)</w:t>
            </w:r>
          </w:p>
        </w:tc>
        <w:tc>
          <w:tcPr>
            <w:tcW w:w="834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84.2%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(Haston, 2020)</w:t>
            </w:r>
          </w:p>
        </w:tc>
        <w:tc>
          <w:tcPr>
            <w:tcW w:w="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0.67 (0.61, 0.73)</w:t>
            </w:r>
          </w:p>
        </w:tc>
        <w:tc>
          <w:tcPr>
            <w:tcW w:w="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68.6%</w:t>
            </w:r>
          </w:p>
        </w:tc>
        <w:tc>
          <w:tcPr>
            <w:tcW w:w="833" w:type="pc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(Zhang, 2019)</w:t>
            </w:r>
          </w:p>
        </w:tc>
        <w:tc>
          <w:tcPr>
            <w:tcW w:w="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0.83 (0.79, 0.88)</w:t>
            </w:r>
          </w:p>
        </w:tc>
        <w:tc>
          <w:tcPr>
            <w:tcW w:w="834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81.0%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(Zhang, 2019)</w:t>
            </w:r>
          </w:p>
        </w:tc>
        <w:tc>
          <w:tcPr>
            <w:tcW w:w="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0.66 (0.59, 0.72)</w:t>
            </w:r>
          </w:p>
        </w:tc>
        <w:tc>
          <w:tcPr>
            <w:tcW w:w="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70.0%</w:t>
            </w:r>
          </w:p>
        </w:tc>
        <w:tc>
          <w:tcPr>
            <w:tcW w:w="833" w:type="pc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(Saha, 2019)</w:t>
            </w:r>
          </w:p>
        </w:tc>
        <w:tc>
          <w:tcPr>
            <w:tcW w:w="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0.84 (0.80, 0.88)</w:t>
            </w:r>
          </w:p>
        </w:tc>
        <w:tc>
          <w:tcPr>
            <w:tcW w:w="834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74.5%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(Saha, 2019)</w:t>
            </w:r>
          </w:p>
        </w:tc>
        <w:tc>
          <w:tcPr>
            <w:tcW w:w="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0.65 (0.58, 0.72)</w:t>
            </w:r>
          </w:p>
        </w:tc>
        <w:tc>
          <w:tcPr>
            <w:tcW w:w="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69.0%</w:t>
            </w:r>
          </w:p>
        </w:tc>
        <w:tc>
          <w:tcPr>
            <w:tcW w:w="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(Leon, 2018)</w:t>
            </w:r>
          </w:p>
        </w:tc>
        <w:tc>
          <w:tcPr>
            <w:tcW w:w="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0.69 (0.62, 0.75)</w:t>
            </w:r>
          </w:p>
        </w:tc>
        <w:tc>
          <w:tcPr>
            <w:tcW w:w="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68.2%</w:t>
            </w:r>
          </w:p>
        </w:tc>
        <w:tc>
          <w:tcPr>
            <w:tcW w:w="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833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834" w:type="pc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kOGQzZjBiN2UyNTJiYzNjMzJkMTE3ZTQ3ZjZiMjAifQ=="/>
  </w:docVars>
  <w:rsids>
    <w:rsidRoot w:val="00000000"/>
    <w:rsid w:val="01CE731A"/>
    <w:rsid w:val="0E0630FD"/>
    <w:rsid w:val="1B8B42C2"/>
    <w:rsid w:val="37E20C6B"/>
    <w:rsid w:val="3A530FD8"/>
    <w:rsid w:val="4F393E46"/>
    <w:rsid w:val="50342AF5"/>
    <w:rsid w:val="60A725D1"/>
    <w:rsid w:val="65160A83"/>
    <w:rsid w:val="6B5842A1"/>
    <w:rsid w:val="6B8546F5"/>
    <w:rsid w:val="788F3E3E"/>
    <w:rsid w:val="793E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网格型1"/>
    <w:basedOn w:val="2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2023-11-29T17:37:00Z</dcterms:created>
  <dc:creator>LENOVO</dc:creator>
  <cp:lastModifiedBy>何思科</cp:lastModifiedBy>
  <dcterms:modified xsi:type="dcterms:W3CDTF">2023-12-07T14:22:09Z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FF3435E2634841698A08AD1CE758C30E_12</vt:lpwstr>
  </property>
</Properties>
</file>