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518A" w:rsidRPr="00BC559E" w:rsidRDefault="00AE518A" w:rsidP="00BC559E">
      <w:pPr>
        <w:spacing w:line="480" w:lineRule="auto"/>
        <w:jc w:val="both"/>
        <w:rPr>
          <w:rFonts w:ascii="Times New Roman" w:hAnsi="Times New Roman" w:cs="Times New Roman"/>
          <w:b/>
          <w:bCs/>
          <w:sz w:val="24"/>
          <w:szCs w:val="24"/>
        </w:rPr>
      </w:pPr>
      <w:r w:rsidRPr="00BC559E">
        <w:rPr>
          <w:rFonts w:ascii="Times New Roman" w:hAnsi="Times New Roman" w:cs="Times New Roman"/>
          <w:b/>
          <w:bCs/>
          <w:sz w:val="24"/>
          <w:szCs w:val="24"/>
        </w:rPr>
        <w:t>Supplemental material</w:t>
      </w:r>
    </w:p>
    <w:p w:rsidR="00AE518A" w:rsidRPr="00BC559E" w:rsidRDefault="00AE518A" w:rsidP="00BC559E">
      <w:pPr>
        <w:spacing w:line="480" w:lineRule="auto"/>
        <w:jc w:val="both"/>
        <w:rPr>
          <w:rFonts w:ascii="Times New Roman" w:hAnsi="Times New Roman" w:cs="Times New Roman"/>
          <w:b/>
          <w:bCs/>
          <w:sz w:val="24"/>
          <w:szCs w:val="24"/>
        </w:rPr>
      </w:pPr>
      <w:proofErr w:type="spellStart"/>
      <w:r w:rsidRPr="00BC559E">
        <w:rPr>
          <w:rFonts w:ascii="Times New Roman" w:hAnsi="Times New Roman" w:cs="Times New Roman"/>
          <w:b/>
          <w:bCs/>
          <w:sz w:val="24"/>
          <w:szCs w:val="24"/>
        </w:rPr>
        <w:t>Center’s</w:t>
      </w:r>
      <w:proofErr w:type="spellEnd"/>
      <w:r w:rsidRPr="00BC559E">
        <w:rPr>
          <w:rFonts w:ascii="Times New Roman" w:hAnsi="Times New Roman" w:cs="Times New Roman"/>
          <w:b/>
          <w:bCs/>
          <w:sz w:val="24"/>
          <w:szCs w:val="24"/>
        </w:rPr>
        <w:t xml:space="preserve"> usual </w:t>
      </w:r>
      <w:proofErr w:type="spellStart"/>
      <w:r w:rsidRPr="00BC559E">
        <w:rPr>
          <w:rFonts w:ascii="Times New Roman" w:hAnsi="Times New Roman" w:cs="Times New Roman"/>
          <w:b/>
          <w:bCs/>
          <w:sz w:val="24"/>
          <w:szCs w:val="24"/>
        </w:rPr>
        <w:t>immunodeppressio</w:t>
      </w:r>
      <w:r w:rsidR="00BC559E" w:rsidRPr="00BC559E">
        <w:rPr>
          <w:rFonts w:ascii="Times New Roman" w:hAnsi="Times New Roman" w:cs="Times New Roman"/>
          <w:b/>
          <w:bCs/>
          <w:sz w:val="24"/>
          <w:szCs w:val="24"/>
        </w:rPr>
        <w:t>n</w:t>
      </w:r>
      <w:proofErr w:type="spellEnd"/>
      <w:r w:rsidRPr="00BC559E">
        <w:rPr>
          <w:rFonts w:ascii="Times New Roman" w:hAnsi="Times New Roman" w:cs="Times New Roman"/>
          <w:b/>
          <w:bCs/>
          <w:sz w:val="24"/>
          <w:szCs w:val="24"/>
        </w:rPr>
        <w:t xml:space="preserve"> protocol:</w:t>
      </w:r>
    </w:p>
    <w:p w:rsidR="00AE518A" w:rsidRPr="00BC559E" w:rsidRDefault="00AE518A" w:rsidP="00BC559E">
      <w:pPr>
        <w:spacing w:line="480" w:lineRule="auto"/>
        <w:jc w:val="both"/>
        <w:rPr>
          <w:rFonts w:ascii="Times New Roman" w:hAnsi="Times New Roman" w:cs="Times New Roman"/>
          <w:sz w:val="24"/>
          <w:szCs w:val="24"/>
        </w:rPr>
      </w:pPr>
      <w:r w:rsidRPr="00BC559E">
        <w:rPr>
          <w:rFonts w:ascii="Times New Roman" w:hAnsi="Times New Roman" w:cs="Times New Roman"/>
          <w:sz w:val="24"/>
          <w:szCs w:val="24"/>
        </w:rPr>
        <w:t xml:space="preserve">Induction therapy consisted of </w:t>
      </w:r>
      <w:proofErr w:type="spellStart"/>
      <w:r w:rsidRPr="00BC559E">
        <w:rPr>
          <w:rFonts w:ascii="Times New Roman" w:hAnsi="Times New Roman" w:cs="Times New Roman"/>
          <w:sz w:val="24"/>
          <w:szCs w:val="24"/>
        </w:rPr>
        <w:t>basiliximab</w:t>
      </w:r>
      <w:proofErr w:type="spellEnd"/>
      <w:r w:rsidRPr="00BC559E">
        <w:rPr>
          <w:rFonts w:ascii="Times New Roman" w:hAnsi="Times New Roman" w:cs="Times New Roman"/>
          <w:sz w:val="24"/>
          <w:szCs w:val="24"/>
        </w:rPr>
        <w:t xml:space="preserve"> for all recipients, combined with high-dose methylprednisolone (10 mg/kg/day). A standard triple maintenance regimen included tacrolimus (maintained at trough blood levels between 12 and 14 ng/ml for the first 12 months and then approximately 8–12 ng/ml), mycophenolate mofetil (2g/day and then adjusted to trough blood levels between 1. 5 to 4 µg/mL) and steroids (1 mg/kg/day for the first 10 days, tapered to 0.5 mg/kg/day during the first month, and further tapered to 5–10 mg/day for approximately one year). In cases of calcineurin inhibitor-induced chronic renal failure, </w:t>
      </w:r>
      <w:proofErr w:type="spellStart"/>
      <w:r w:rsidRPr="00BC559E">
        <w:rPr>
          <w:rFonts w:ascii="Times New Roman" w:hAnsi="Times New Roman" w:cs="Times New Roman"/>
          <w:sz w:val="24"/>
          <w:szCs w:val="24"/>
        </w:rPr>
        <w:t>everolimus</w:t>
      </w:r>
      <w:proofErr w:type="spellEnd"/>
      <w:r w:rsidRPr="00BC559E">
        <w:rPr>
          <w:rFonts w:ascii="Times New Roman" w:hAnsi="Times New Roman" w:cs="Times New Roman"/>
          <w:sz w:val="24"/>
          <w:szCs w:val="24"/>
        </w:rPr>
        <w:t xml:space="preserve"> (maintained at trough blood levels between 3 and 8 ng/mL) is introduced after complete healing of the bronchial anastomoses is assured. This introduction allows tacrolimus to be reduced to a trough blood level of approximately 4–5 ng/</w:t>
      </w:r>
      <w:proofErr w:type="spellStart"/>
      <w:r w:rsidRPr="00BC559E">
        <w:rPr>
          <w:rFonts w:ascii="Times New Roman" w:hAnsi="Times New Roman" w:cs="Times New Roman"/>
          <w:sz w:val="24"/>
          <w:szCs w:val="24"/>
        </w:rPr>
        <w:t>mL.</w:t>
      </w:r>
      <w:proofErr w:type="spellEnd"/>
    </w:p>
    <w:p w:rsidR="00AE518A" w:rsidRPr="00BC559E" w:rsidRDefault="00AE518A" w:rsidP="00BC559E">
      <w:pPr>
        <w:spacing w:line="480" w:lineRule="auto"/>
        <w:rPr>
          <w:rFonts w:ascii="Times New Roman" w:hAnsi="Times New Roman" w:cs="Times New Roman"/>
          <w:b/>
          <w:bCs/>
          <w:sz w:val="24"/>
          <w:szCs w:val="24"/>
        </w:rPr>
      </w:pPr>
      <w:r w:rsidRPr="00BC559E">
        <w:rPr>
          <w:rFonts w:ascii="Times New Roman" w:hAnsi="Times New Roman" w:cs="Times New Roman"/>
          <w:b/>
          <w:bCs/>
          <w:sz w:val="24"/>
          <w:szCs w:val="24"/>
        </w:rPr>
        <w:t xml:space="preserve">Specific treatment in 91 </w:t>
      </w:r>
      <w:r w:rsidRPr="00BC559E">
        <w:rPr>
          <w:rFonts w:ascii="Times New Roman" w:hAnsi="Times New Roman" w:cs="Times New Roman"/>
          <w:b/>
          <w:bCs/>
          <w:sz w:val="24"/>
          <w:szCs w:val="24"/>
          <w:lang w:eastAsia="fr-FR"/>
        </w:rPr>
        <w:t>lung transplanted recipients with COVID-19, based on evolving guidelines and molecules availability</w:t>
      </w:r>
      <w:r w:rsidR="00BC559E" w:rsidRPr="00BC559E">
        <w:rPr>
          <w:rFonts w:ascii="Times New Roman" w:hAnsi="Times New Roman" w:cs="Times New Roman"/>
          <w:b/>
          <w:bCs/>
          <w:sz w:val="24"/>
          <w:szCs w:val="24"/>
          <w:lang w:eastAsia="fr-FR"/>
        </w:rPr>
        <w:t xml:space="preserve"> </w:t>
      </w:r>
      <w:r w:rsidRPr="00BC559E">
        <w:rPr>
          <w:rFonts w:ascii="Times New Roman" w:hAnsi="Times New Roman" w:cs="Times New Roman"/>
          <w:b/>
          <w:bCs/>
          <w:sz w:val="24"/>
          <w:szCs w:val="24"/>
        </w:rPr>
        <w:t>:</w:t>
      </w:r>
    </w:p>
    <w:tbl>
      <w:tblPr>
        <w:tblW w:w="9298" w:type="dxa"/>
        <w:tblLook w:val="04A0" w:firstRow="1" w:lastRow="0" w:firstColumn="1" w:lastColumn="0" w:noHBand="0" w:noVBand="1"/>
      </w:tblPr>
      <w:tblGrid>
        <w:gridCol w:w="4767"/>
        <w:gridCol w:w="4531"/>
      </w:tblGrid>
      <w:tr w:rsidR="00AE518A" w:rsidRPr="00BC559E" w:rsidTr="008507AC">
        <w:tc>
          <w:tcPr>
            <w:tcW w:w="4767" w:type="dxa"/>
            <w:tcBorders>
              <w:top w:val="single" w:sz="4" w:space="0" w:color="auto"/>
              <w:bottom w:val="nil"/>
              <w:right w:val="nil"/>
            </w:tcBorders>
          </w:tcPr>
          <w:p w:rsidR="00AE518A" w:rsidRPr="00BC559E" w:rsidRDefault="00AE518A" w:rsidP="00BC559E">
            <w:pPr>
              <w:spacing w:line="480" w:lineRule="auto"/>
              <w:jc w:val="both"/>
              <w:rPr>
                <w:rFonts w:ascii="Times New Roman" w:hAnsi="Times New Roman" w:cs="Times New Roman"/>
                <w:sz w:val="24"/>
                <w:szCs w:val="24"/>
              </w:rPr>
            </w:pPr>
            <w:r w:rsidRPr="00BC559E">
              <w:rPr>
                <w:rFonts w:ascii="Times New Roman" w:hAnsi="Times New Roman" w:cs="Times New Roman"/>
                <w:sz w:val="24"/>
                <w:szCs w:val="24"/>
              </w:rPr>
              <w:t>Oral or intravenous dexamethasone (6mg/day)</w:t>
            </w:r>
          </w:p>
          <w:p w:rsidR="00AE518A" w:rsidRPr="00BC559E" w:rsidRDefault="00AE518A" w:rsidP="00BC559E">
            <w:pPr>
              <w:spacing w:line="480" w:lineRule="auto"/>
              <w:rPr>
                <w:rFonts w:ascii="Times New Roman" w:hAnsi="Times New Roman" w:cs="Times New Roman"/>
                <w:sz w:val="24"/>
                <w:szCs w:val="24"/>
              </w:rPr>
            </w:pPr>
            <w:r w:rsidRPr="00BC559E">
              <w:rPr>
                <w:rFonts w:ascii="Times New Roman" w:hAnsi="Times New Roman" w:cs="Times New Roman"/>
                <w:sz w:val="24"/>
                <w:szCs w:val="24"/>
              </w:rPr>
              <w:t>Intravenous methylprednisolone (1mg/kg/day)</w:t>
            </w:r>
          </w:p>
        </w:tc>
        <w:tc>
          <w:tcPr>
            <w:tcW w:w="4531" w:type="dxa"/>
            <w:tcBorders>
              <w:top w:val="single" w:sz="4" w:space="0" w:color="auto"/>
              <w:left w:val="nil"/>
              <w:bottom w:val="nil"/>
            </w:tcBorders>
          </w:tcPr>
          <w:p w:rsidR="00AE518A" w:rsidRPr="00BC559E" w:rsidRDefault="00AE518A" w:rsidP="00BC559E">
            <w:pPr>
              <w:spacing w:line="480" w:lineRule="auto"/>
              <w:jc w:val="both"/>
              <w:rPr>
                <w:rFonts w:ascii="Times New Roman" w:hAnsi="Times New Roman" w:cs="Times New Roman"/>
                <w:sz w:val="24"/>
                <w:szCs w:val="24"/>
              </w:rPr>
            </w:pPr>
            <w:r w:rsidRPr="00BC559E">
              <w:rPr>
                <w:rFonts w:ascii="Times New Roman" w:hAnsi="Times New Roman" w:cs="Times New Roman"/>
                <w:sz w:val="24"/>
                <w:szCs w:val="24"/>
              </w:rPr>
              <w:t>16 (18%)</w:t>
            </w:r>
          </w:p>
          <w:p w:rsidR="00AE518A" w:rsidRPr="00BC559E" w:rsidRDefault="00AE518A" w:rsidP="00BC559E">
            <w:pPr>
              <w:spacing w:line="480" w:lineRule="auto"/>
              <w:jc w:val="both"/>
              <w:rPr>
                <w:rFonts w:ascii="Times New Roman" w:hAnsi="Times New Roman" w:cs="Times New Roman"/>
                <w:sz w:val="24"/>
                <w:szCs w:val="24"/>
              </w:rPr>
            </w:pPr>
            <w:r w:rsidRPr="00BC559E">
              <w:rPr>
                <w:rFonts w:ascii="Times New Roman" w:hAnsi="Times New Roman" w:cs="Times New Roman"/>
                <w:sz w:val="24"/>
                <w:szCs w:val="24"/>
              </w:rPr>
              <w:t>3 (3%)</w:t>
            </w:r>
          </w:p>
        </w:tc>
      </w:tr>
      <w:tr w:rsidR="00AE518A" w:rsidRPr="00BC559E" w:rsidTr="008507AC">
        <w:tc>
          <w:tcPr>
            <w:tcW w:w="4767" w:type="dxa"/>
            <w:tcBorders>
              <w:top w:val="nil"/>
              <w:bottom w:val="single" w:sz="4" w:space="0" w:color="auto"/>
              <w:right w:val="nil"/>
            </w:tcBorders>
          </w:tcPr>
          <w:p w:rsidR="00AE518A" w:rsidRPr="00BC559E" w:rsidRDefault="00AE518A" w:rsidP="00BC559E">
            <w:pPr>
              <w:spacing w:line="480" w:lineRule="auto"/>
              <w:jc w:val="both"/>
              <w:rPr>
                <w:rFonts w:ascii="Times New Roman" w:hAnsi="Times New Roman" w:cs="Times New Roman"/>
                <w:sz w:val="24"/>
                <w:szCs w:val="24"/>
                <w:lang w:val="fr-FR"/>
              </w:rPr>
            </w:pPr>
            <w:r w:rsidRPr="00BC559E">
              <w:rPr>
                <w:rFonts w:ascii="Times New Roman" w:hAnsi="Times New Roman" w:cs="Times New Roman"/>
                <w:sz w:val="24"/>
                <w:szCs w:val="24"/>
                <w:lang w:val="fr-FR"/>
              </w:rPr>
              <w:t>Tocilizumab</w:t>
            </w:r>
          </w:p>
          <w:p w:rsidR="00AE518A" w:rsidRPr="00BC559E" w:rsidRDefault="00AE518A" w:rsidP="00BC559E">
            <w:pPr>
              <w:spacing w:line="480" w:lineRule="auto"/>
              <w:jc w:val="both"/>
              <w:rPr>
                <w:rFonts w:ascii="Times New Roman" w:hAnsi="Times New Roman" w:cs="Times New Roman"/>
                <w:sz w:val="24"/>
                <w:szCs w:val="24"/>
                <w:lang w:val="fr-FR"/>
              </w:rPr>
            </w:pPr>
            <w:r w:rsidRPr="00BC559E">
              <w:rPr>
                <w:rFonts w:ascii="Times New Roman" w:hAnsi="Times New Roman" w:cs="Times New Roman"/>
                <w:sz w:val="24"/>
                <w:szCs w:val="24"/>
                <w:lang w:val="fr-FR"/>
              </w:rPr>
              <w:t>Convalescent Plasma</w:t>
            </w:r>
          </w:p>
          <w:p w:rsidR="00AE518A" w:rsidRPr="00BC559E" w:rsidRDefault="00AE518A" w:rsidP="00BC559E">
            <w:pPr>
              <w:spacing w:line="480" w:lineRule="auto"/>
              <w:jc w:val="both"/>
              <w:rPr>
                <w:rFonts w:ascii="Times New Roman" w:hAnsi="Times New Roman" w:cs="Times New Roman"/>
                <w:sz w:val="24"/>
                <w:szCs w:val="24"/>
                <w:lang w:val="fr-FR"/>
              </w:rPr>
            </w:pPr>
            <w:proofErr w:type="spellStart"/>
            <w:r w:rsidRPr="00BC559E">
              <w:rPr>
                <w:rFonts w:ascii="Times New Roman" w:hAnsi="Times New Roman" w:cs="Times New Roman"/>
                <w:sz w:val="24"/>
                <w:szCs w:val="24"/>
                <w:lang w:val="fr-FR"/>
              </w:rPr>
              <w:t>Sotrovimab</w:t>
            </w:r>
            <w:proofErr w:type="spellEnd"/>
          </w:p>
          <w:p w:rsidR="00AE518A" w:rsidRPr="00BC559E" w:rsidRDefault="00AE518A" w:rsidP="00BC559E">
            <w:pPr>
              <w:spacing w:line="480" w:lineRule="auto"/>
              <w:jc w:val="both"/>
              <w:rPr>
                <w:rFonts w:ascii="Times New Roman" w:hAnsi="Times New Roman" w:cs="Times New Roman"/>
                <w:sz w:val="24"/>
                <w:szCs w:val="24"/>
                <w:lang w:val="fr-FR"/>
              </w:rPr>
            </w:pPr>
            <w:proofErr w:type="spellStart"/>
            <w:r w:rsidRPr="00BC559E">
              <w:rPr>
                <w:rFonts w:ascii="Times New Roman" w:hAnsi="Times New Roman" w:cs="Times New Roman"/>
                <w:sz w:val="24"/>
                <w:szCs w:val="24"/>
                <w:lang w:val="fr-FR"/>
              </w:rPr>
              <w:t>Casirivimab-Imdevimab</w:t>
            </w:r>
            <w:proofErr w:type="spellEnd"/>
          </w:p>
          <w:p w:rsidR="00AE518A" w:rsidRPr="00BC559E" w:rsidRDefault="00AE518A" w:rsidP="00BC559E">
            <w:pPr>
              <w:spacing w:line="480" w:lineRule="auto"/>
              <w:jc w:val="both"/>
              <w:rPr>
                <w:rFonts w:ascii="Times New Roman" w:hAnsi="Times New Roman" w:cs="Times New Roman"/>
                <w:sz w:val="24"/>
                <w:szCs w:val="24"/>
              </w:rPr>
            </w:pPr>
            <w:proofErr w:type="spellStart"/>
            <w:r w:rsidRPr="00BC559E">
              <w:rPr>
                <w:rFonts w:ascii="Times New Roman" w:hAnsi="Times New Roman" w:cs="Times New Roman"/>
                <w:sz w:val="24"/>
                <w:szCs w:val="24"/>
              </w:rPr>
              <w:t>Tixagevimab</w:t>
            </w:r>
            <w:proofErr w:type="spellEnd"/>
            <w:r w:rsidRPr="00BC559E">
              <w:rPr>
                <w:rFonts w:ascii="Times New Roman" w:hAnsi="Times New Roman" w:cs="Times New Roman"/>
                <w:sz w:val="24"/>
                <w:szCs w:val="24"/>
              </w:rPr>
              <w:t>/</w:t>
            </w:r>
            <w:proofErr w:type="spellStart"/>
            <w:r w:rsidRPr="00BC559E">
              <w:rPr>
                <w:rFonts w:ascii="Times New Roman" w:hAnsi="Times New Roman" w:cs="Times New Roman"/>
                <w:sz w:val="24"/>
                <w:szCs w:val="24"/>
              </w:rPr>
              <w:t>Cilgavimab</w:t>
            </w:r>
            <w:proofErr w:type="spellEnd"/>
          </w:p>
        </w:tc>
        <w:tc>
          <w:tcPr>
            <w:tcW w:w="4531" w:type="dxa"/>
            <w:tcBorders>
              <w:top w:val="nil"/>
              <w:left w:val="nil"/>
              <w:bottom w:val="single" w:sz="4" w:space="0" w:color="auto"/>
            </w:tcBorders>
          </w:tcPr>
          <w:p w:rsidR="00AE518A" w:rsidRPr="00BC559E" w:rsidRDefault="00AE518A" w:rsidP="00BC559E">
            <w:pPr>
              <w:spacing w:line="480" w:lineRule="auto"/>
              <w:jc w:val="both"/>
              <w:rPr>
                <w:rFonts w:ascii="Times New Roman" w:hAnsi="Times New Roman" w:cs="Times New Roman"/>
                <w:sz w:val="24"/>
                <w:szCs w:val="24"/>
              </w:rPr>
            </w:pPr>
            <w:r w:rsidRPr="00BC559E">
              <w:rPr>
                <w:rFonts w:ascii="Times New Roman" w:hAnsi="Times New Roman" w:cs="Times New Roman"/>
                <w:sz w:val="24"/>
                <w:szCs w:val="24"/>
              </w:rPr>
              <w:t>2 (2%)</w:t>
            </w:r>
          </w:p>
          <w:p w:rsidR="00AE518A" w:rsidRPr="00BC559E" w:rsidRDefault="00AE518A" w:rsidP="00BC559E">
            <w:pPr>
              <w:spacing w:line="480" w:lineRule="auto"/>
              <w:jc w:val="both"/>
              <w:rPr>
                <w:rFonts w:ascii="Times New Roman" w:hAnsi="Times New Roman" w:cs="Times New Roman"/>
                <w:sz w:val="24"/>
                <w:szCs w:val="24"/>
              </w:rPr>
            </w:pPr>
            <w:r w:rsidRPr="00BC559E">
              <w:rPr>
                <w:rFonts w:ascii="Times New Roman" w:hAnsi="Times New Roman" w:cs="Times New Roman"/>
                <w:sz w:val="24"/>
                <w:szCs w:val="24"/>
              </w:rPr>
              <w:t>1 (1%)</w:t>
            </w:r>
          </w:p>
          <w:p w:rsidR="00AE518A" w:rsidRPr="00BC559E" w:rsidRDefault="00AE518A" w:rsidP="00BC559E">
            <w:pPr>
              <w:spacing w:line="480" w:lineRule="auto"/>
              <w:jc w:val="both"/>
              <w:rPr>
                <w:rFonts w:ascii="Times New Roman" w:hAnsi="Times New Roman" w:cs="Times New Roman"/>
                <w:sz w:val="24"/>
                <w:szCs w:val="24"/>
              </w:rPr>
            </w:pPr>
            <w:r w:rsidRPr="00BC559E">
              <w:rPr>
                <w:rFonts w:ascii="Times New Roman" w:hAnsi="Times New Roman" w:cs="Times New Roman"/>
                <w:sz w:val="24"/>
                <w:szCs w:val="24"/>
              </w:rPr>
              <w:t xml:space="preserve"> 9 (10%)</w:t>
            </w:r>
          </w:p>
          <w:p w:rsidR="00AE518A" w:rsidRPr="00BC559E" w:rsidRDefault="00AE518A" w:rsidP="00BC559E">
            <w:pPr>
              <w:spacing w:line="480" w:lineRule="auto"/>
              <w:jc w:val="both"/>
              <w:rPr>
                <w:rFonts w:ascii="Times New Roman" w:hAnsi="Times New Roman" w:cs="Times New Roman"/>
                <w:sz w:val="24"/>
                <w:szCs w:val="24"/>
              </w:rPr>
            </w:pPr>
            <w:r w:rsidRPr="00BC559E">
              <w:rPr>
                <w:rFonts w:ascii="Times New Roman" w:hAnsi="Times New Roman" w:cs="Times New Roman"/>
                <w:sz w:val="24"/>
                <w:szCs w:val="24"/>
              </w:rPr>
              <w:t>20 (22%)</w:t>
            </w:r>
          </w:p>
          <w:p w:rsidR="00AE518A" w:rsidRPr="00BC559E" w:rsidRDefault="00AE518A" w:rsidP="00BC559E">
            <w:pPr>
              <w:spacing w:line="480" w:lineRule="auto"/>
              <w:jc w:val="both"/>
              <w:rPr>
                <w:rFonts w:ascii="Times New Roman" w:hAnsi="Times New Roman" w:cs="Times New Roman"/>
                <w:sz w:val="24"/>
                <w:szCs w:val="24"/>
              </w:rPr>
            </w:pPr>
            <w:r w:rsidRPr="00BC559E">
              <w:rPr>
                <w:rFonts w:ascii="Times New Roman" w:hAnsi="Times New Roman" w:cs="Times New Roman"/>
                <w:sz w:val="24"/>
                <w:szCs w:val="24"/>
              </w:rPr>
              <w:t>28 (31%)</w:t>
            </w:r>
          </w:p>
        </w:tc>
      </w:tr>
    </w:tbl>
    <w:p w:rsidR="00AE518A" w:rsidRPr="00BC559E" w:rsidRDefault="00AE518A" w:rsidP="00BC559E">
      <w:pPr>
        <w:spacing w:line="480" w:lineRule="auto"/>
        <w:rPr>
          <w:rFonts w:ascii="Times New Roman" w:hAnsi="Times New Roman" w:cs="Times New Roman"/>
          <w:sz w:val="24"/>
          <w:szCs w:val="24"/>
        </w:rPr>
      </w:pPr>
      <w:r w:rsidRPr="00BC559E">
        <w:rPr>
          <w:rFonts w:ascii="Times New Roman" w:hAnsi="Times New Roman" w:cs="Times New Roman"/>
          <w:b/>
          <w:bCs/>
          <w:sz w:val="24"/>
          <w:szCs w:val="24"/>
        </w:rPr>
        <w:lastRenderedPageBreak/>
        <w:t>Figure S1</w:t>
      </w:r>
      <w:r w:rsidR="00BC559E" w:rsidRPr="00BC559E">
        <w:rPr>
          <w:rFonts w:ascii="Times New Roman" w:hAnsi="Times New Roman" w:cs="Times New Roman"/>
          <w:b/>
          <w:bCs/>
          <w:sz w:val="24"/>
          <w:szCs w:val="24"/>
        </w:rPr>
        <w:t xml:space="preserve"> </w:t>
      </w:r>
      <w:r w:rsidRPr="00BC559E">
        <w:rPr>
          <w:rFonts w:ascii="Times New Roman" w:hAnsi="Times New Roman" w:cs="Times New Roman"/>
          <w:b/>
          <w:bCs/>
          <w:sz w:val="24"/>
          <w:szCs w:val="24"/>
        </w:rPr>
        <w:t>:</w:t>
      </w:r>
      <w:r w:rsidRPr="00BC559E">
        <w:rPr>
          <w:rFonts w:ascii="Times New Roman" w:hAnsi="Times New Roman" w:cs="Times New Roman"/>
          <w:sz w:val="24"/>
          <w:szCs w:val="24"/>
        </w:rPr>
        <w:t xml:space="preserve"> Weekly incidence of each SARS-CoV-2 mutants and variants extrapolated to the total number of cases, based on their proportions of genotyped cases, among patients SARS-CoV-2-diagnosed at IHU </w:t>
      </w:r>
      <w:proofErr w:type="spellStart"/>
      <w:r w:rsidRPr="00BC559E">
        <w:rPr>
          <w:rFonts w:ascii="Times New Roman" w:hAnsi="Times New Roman" w:cs="Times New Roman"/>
          <w:sz w:val="24"/>
          <w:szCs w:val="24"/>
        </w:rPr>
        <w:t>Méditerranée</w:t>
      </w:r>
      <w:proofErr w:type="spellEnd"/>
      <w:r w:rsidRPr="00BC559E">
        <w:rPr>
          <w:rFonts w:ascii="Times New Roman" w:hAnsi="Times New Roman" w:cs="Times New Roman"/>
          <w:sz w:val="24"/>
          <w:szCs w:val="24"/>
        </w:rPr>
        <w:t xml:space="preserve"> Infection institute.</w:t>
      </w:r>
    </w:p>
    <w:p w:rsidR="00AE518A" w:rsidRPr="00BC559E" w:rsidRDefault="00AE518A" w:rsidP="00BC559E">
      <w:pPr>
        <w:spacing w:line="480" w:lineRule="auto"/>
        <w:rPr>
          <w:rFonts w:ascii="Times New Roman" w:hAnsi="Times New Roman" w:cs="Times New Roman"/>
          <w:sz w:val="24"/>
          <w:szCs w:val="24"/>
        </w:rPr>
      </w:pPr>
      <w:bookmarkStart w:id="0" w:name="[IMAGE-Fig2_Print.jpeg]"/>
      <w:r w:rsidRPr="00BC559E">
        <w:rPr>
          <w:rFonts w:ascii="Times New Roman" w:hAnsi="Times New Roman" w:cs="Times New Roman"/>
          <w:noProof/>
          <w:sz w:val="24"/>
          <w:szCs w:val="24"/>
          <w:lang w:eastAsia="en-IN"/>
        </w:rPr>
        <w:drawing>
          <wp:inline distT="0" distB="0" distL="0" distR="0">
            <wp:extent cx="5753100" cy="325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3257550"/>
                    </a:xfrm>
                    <a:prstGeom prst="rect">
                      <a:avLst/>
                    </a:prstGeom>
                    <a:noFill/>
                    <a:ln>
                      <a:noFill/>
                    </a:ln>
                  </pic:spPr>
                </pic:pic>
              </a:graphicData>
            </a:graphic>
          </wp:inline>
        </w:drawing>
      </w:r>
      <w:bookmarkEnd w:id="0"/>
    </w:p>
    <w:p w:rsidR="00AE518A" w:rsidRPr="00BC559E" w:rsidRDefault="00AE518A" w:rsidP="00BC559E">
      <w:pPr>
        <w:spacing w:line="480" w:lineRule="auto"/>
        <w:rPr>
          <w:rFonts w:ascii="Times New Roman" w:hAnsi="Times New Roman" w:cs="Times New Roman"/>
          <w:sz w:val="24"/>
          <w:szCs w:val="24"/>
        </w:rPr>
      </w:pPr>
      <w:r w:rsidRPr="00BC559E">
        <w:rPr>
          <w:rFonts w:ascii="Times New Roman" w:hAnsi="Times New Roman" w:cs="Times New Roman"/>
          <w:b/>
          <w:bCs/>
          <w:sz w:val="24"/>
          <w:szCs w:val="24"/>
        </w:rPr>
        <w:t xml:space="preserve">Figure S2: Hierarchical ascending classification of patient presented in a </w:t>
      </w:r>
      <w:proofErr w:type="spellStart"/>
      <w:r w:rsidRPr="00BC559E">
        <w:rPr>
          <w:rFonts w:ascii="Times New Roman" w:hAnsi="Times New Roman" w:cs="Times New Roman"/>
          <w:b/>
          <w:bCs/>
          <w:sz w:val="24"/>
          <w:szCs w:val="24"/>
        </w:rPr>
        <w:t>dendogram</w:t>
      </w:r>
      <w:proofErr w:type="spellEnd"/>
      <w:r w:rsidRPr="00BC559E">
        <w:rPr>
          <w:rFonts w:ascii="Times New Roman" w:hAnsi="Times New Roman" w:cs="Times New Roman"/>
          <w:b/>
          <w:bCs/>
          <w:sz w:val="24"/>
          <w:szCs w:val="24"/>
        </w:rPr>
        <w:t xml:space="preserve"> cluster analysis. </w:t>
      </w:r>
      <w:r w:rsidRPr="00BC559E">
        <w:rPr>
          <w:rFonts w:ascii="Times New Roman" w:hAnsi="Times New Roman" w:cs="Times New Roman"/>
          <w:sz w:val="24"/>
          <w:szCs w:val="24"/>
        </w:rPr>
        <w:t>Lung transplant recipients are plotted on the abscissa axis and variables are plotted on the ordinate axis. The black and red rectangles define the two clusters of patients. The first cluster (</w:t>
      </w:r>
      <w:r w:rsidRPr="00BC559E">
        <w:rPr>
          <w:rFonts w:ascii="Times New Roman" w:hAnsi="Times New Roman" w:cs="Times New Roman"/>
          <w:b/>
          <w:sz w:val="24"/>
          <w:szCs w:val="24"/>
        </w:rPr>
        <w:t>red rectangle</w:t>
      </w:r>
      <w:r w:rsidRPr="00BC559E">
        <w:rPr>
          <w:rFonts w:ascii="Times New Roman" w:hAnsi="Times New Roman" w:cs="Times New Roman"/>
          <w:sz w:val="24"/>
          <w:szCs w:val="24"/>
        </w:rPr>
        <w:t xml:space="preserve">) gathered variables associated with a COVID-19 poor outcome: being infected by Delta variant and the relief of at least one immunosuppressive molecule among tacrolimus, ciclosporin, </w:t>
      </w:r>
      <w:proofErr w:type="spellStart"/>
      <w:r w:rsidRPr="00BC559E">
        <w:rPr>
          <w:rFonts w:ascii="Times New Roman" w:hAnsi="Times New Roman" w:cs="Times New Roman"/>
          <w:sz w:val="24"/>
          <w:szCs w:val="24"/>
        </w:rPr>
        <w:t>everolimus</w:t>
      </w:r>
      <w:proofErr w:type="spellEnd"/>
      <w:r w:rsidRPr="00BC559E">
        <w:rPr>
          <w:rFonts w:ascii="Times New Roman" w:hAnsi="Times New Roman" w:cs="Times New Roman"/>
          <w:sz w:val="24"/>
          <w:szCs w:val="24"/>
        </w:rPr>
        <w:t>, MMF, or azathioprine. The second cluster (</w:t>
      </w:r>
      <w:r w:rsidRPr="00BC559E">
        <w:rPr>
          <w:rFonts w:ascii="Times New Roman" w:hAnsi="Times New Roman" w:cs="Times New Roman"/>
          <w:b/>
          <w:sz w:val="24"/>
          <w:szCs w:val="24"/>
        </w:rPr>
        <w:t>black rectangle)</w:t>
      </w:r>
      <w:r w:rsidRPr="00BC559E">
        <w:rPr>
          <w:rFonts w:ascii="Times New Roman" w:hAnsi="Times New Roman" w:cs="Times New Roman"/>
          <w:sz w:val="24"/>
          <w:szCs w:val="24"/>
        </w:rPr>
        <w:t xml:space="preserve"> was composed by all variables protective against a COVID-19 poor outcome: being affected by cystic fibrosis, tacrolimus or ciclosporin continuation, the absence of acute kidney disease and being infected by the Omicron variant. The graph in the top right corner represents the loss of inertia according to the different dimensions.</w:t>
      </w:r>
    </w:p>
    <w:p w:rsidR="00F703E0" w:rsidRDefault="00AE518A" w:rsidP="00AE518A">
      <w:bookmarkStart w:id="1" w:name="[IMAGE-Fig3_Print.jpeg]"/>
      <w:r>
        <w:rPr>
          <w:noProof/>
          <w:lang w:eastAsia="en-IN"/>
        </w:rPr>
        <w:lastRenderedPageBreak/>
        <w:drawing>
          <wp:inline distT="0" distB="0" distL="0" distR="0">
            <wp:extent cx="4552950" cy="3505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52950" cy="3505200"/>
                    </a:xfrm>
                    <a:prstGeom prst="rect">
                      <a:avLst/>
                    </a:prstGeom>
                    <a:noFill/>
                    <a:ln>
                      <a:noFill/>
                    </a:ln>
                  </pic:spPr>
                </pic:pic>
              </a:graphicData>
            </a:graphic>
          </wp:inline>
        </w:drawing>
      </w:r>
      <w:bookmarkEnd w:id="1"/>
    </w:p>
    <w:sectPr w:rsidR="00F703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18A"/>
    <w:rsid w:val="000F4E32"/>
    <w:rsid w:val="00366A6E"/>
    <w:rsid w:val="005B0422"/>
    <w:rsid w:val="007D5C68"/>
    <w:rsid w:val="00854661"/>
    <w:rsid w:val="00956D03"/>
    <w:rsid w:val="0099512D"/>
    <w:rsid w:val="00AE518A"/>
    <w:rsid w:val="00BC559E"/>
    <w:rsid w:val="00F703E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47282"/>
  <w15:chartTrackingRefBased/>
  <w15:docId w15:val="{9E4FD7E9-7E39-4505-8184-D9E3C4121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igurelegend">
    <w:name w:val="Figure_legend"/>
    <w:autoRedefine/>
    <w:rsid w:val="00AE518A"/>
    <w:pPr>
      <w:spacing w:before="240" w:after="240" w:line="360" w:lineRule="auto"/>
    </w:pPr>
    <w:rPr>
      <w:rFonts w:ascii="Arial Unicode MS" w:eastAsia="Times New Roman" w:hAnsi="Arial Unicode MS" w:cs="Courier New"/>
      <w:color w:val="4564BD"/>
      <w:sz w:val="24"/>
      <w:szCs w:val="20"/>
      <w:lang w:val="en-US"/>
    </w:rPr>
  </w:style>
  <w:style w:type="paragraph" w:customStyle="1" w:styleId="Tablecaption">
    <w:name w:val="Table_caption"/>
    <w:autoRedefine/>
    <w:rsid w:val="00AE518A"/>
    <w:pPr>
      <w:spacing w:before="320" w:after="60" w:line="320" w:lineRule="atLeast"/>
    </w:pPr>
    <w:rPr>
      <w:rFonts w:ascii="Arial Unicode MS" w:eastAsia="Times New Roman" w:hAnsi="Arial Unicode MS" w:cs="Courier New"/>
      <w:color w:val="436951"/>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374</Words>
  <Characters>2059</Characters>
  <Application>Microsoft Office Word</Application>
  <DocSecurity>0</DocSecurity>
  <Lines>17</Lines>
  <Paragraphs>4</Paragraphs>
  <ScaleCrop>false</ScaleCrop>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Nadim Cassir</cp:lastModifiedBy>
  <cp:revision>2</cp:revision>
  <dcterms:created xsi:type="dcterms:W3CDTF">2024-04-02T14:53:00Z</dcterms:created>
  <dcterms:modified xsi:type="dcterms:W3CDTF">2024-04-02T14:53:00Z</dcterms:modified>
</cp:coreProperties>
</file>