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Cs w:val="21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Cs w:val="21"/>
        </w:rPr>
        <w:t>Supp_Table</w:t>
      </w:r>
      <w:r>
        <w:rPr>
          <w:rFonts w:hint="eastAsia" w:ascii="Times New Roman" w:hAnsi="Times New Roman" w:cs="Times New Roman"/>
          <w:b/>
          <w:bCs/>
          <w:szCs w:val="21"/>
          <w:lang w:val="en-US" w:eastAsia="zh-CN"/>
        </w:rPr>
        <w:t xml:space="preserve">. </w:t>
      </w:r>
      <w:r>
        <w:rPr>
          <w:rFonts w:ascii="Times New Roman" w:hAnsi="Times New Roman" w:cs="Times New Roman"/>
          <w:szCs w:val="21"/>
        </w:rPr>
        <w:t>Clinical information of patients in training and validation cohorts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9"/>
        <w:gridCol w:w="1511"/>
        <w:gridCol w:w="1584"/>
        <w:gridCol w:w="1732"/>
        <w:gridCol w:w="920"/>
      </w:tblGrid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Characteristics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Overall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Training Group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Validation Group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P-Value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single" w:color="auto" w:sz="4" w:space="0"/>
            </w:tcBorders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214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149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65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Age, mean (SD)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74.3 (13.7)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73.6 (13.9)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76.0 (13.1)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0.234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Gender,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0.897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color w:val="2E2E2E"/>
                <w:szCs w:val="21"/>
              </w:rPr>
              <w:t>Female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76 (35.5)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52 (34.9)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24 (36.9)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color w:val="2E2E2E"/>
                <w:szCs w:val="21"/>
              </w:rPr>
              <w:t>Male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138 (64.5)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97 (65.1)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41 (63.1)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Initial Clinical Grading,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0.133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Non-serious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117 (54.7)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87 (58.4)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30 (46.2)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Serious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97 (45.3)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62 (41.6)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35 (53.8)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Worst Clinical Grading,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0.376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Non-serious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97 (45.3)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71 (47.7)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26 (40.0)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Serious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117 (54.7)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78 (52.3)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39 (60.0)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Clinical Progress,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183 (85.5)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127 (85.2)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56 (86.2)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31 (14.5)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22 (14.8)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 (13.8)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Hypertension,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0.988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94 (43.9)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66 (44.3)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28 (43.1)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120 (56.1)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83 (55.7)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37 (56.9)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Diabetes,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0.214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143 (66.8)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104 (69.8)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39 (60.0)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71 (33.2)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45 (30.2)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26 (40.0)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Cardiovascular diseases,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132 (61.7)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92 (61.7)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40 (61.5)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82 (38.3)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57 (38.3)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25 (38.5)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Respiratory disease,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191 (89.3)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133 (89.3)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58 (89.2)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23 (10.7)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16 (10.7)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 (10.8)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Hematological disorders,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0.233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191 (89.3)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130 (87.2)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61 (93.8)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23 (10.7)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19 (12.8)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 (6.2)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Chronic diseases,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0.804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174 (81.3)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120 (80.5)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54 (83.1)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40 (18.7)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29 (19.5)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11 (16.9)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Surgical trauma,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0.970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114 (53.3)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80 (53.7)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34 (52.3)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100 (46.7)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69 (46.3)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31 (47.7)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Fever,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0.737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34 (15.9)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25 (16.8)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 (13.8)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180 (84.1)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124 (83.2)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56 (86.2)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Cough,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0.620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37 (17.3)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24 (16.1)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13 (20.0)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177 (82.7)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125 (83.9)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52 (80.0)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Diarrhea,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0.104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196 (91.6)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140 (94.0)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56 (86.2)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18 (8.4)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 (6.0)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 (13.8)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Vomit,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0.276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196 (91.6)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139 (93.3)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57 (87.7)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18 (8.4)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10 (6.7)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 (12.3)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Dyspnea, n (%)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0.335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No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137 (64.0)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99 (66.4)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38 (58.5)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Yes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77 (36.0)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50 (33.6)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27 (41.5)</w:t>
            </w:r>
          </w:p>
        </w:tc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CRP, mean (SD)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73.4 (62.5)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71.5 (61.5)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77.7 (64.9)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0.516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WBC, mean (SD)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7.2 (9.2)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6.6 (6.2)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8.7 (13.8)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0.237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Lymphocyte count, mean (SD)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1.7 (8.5)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1.4 (4.8)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2.5 (13.7)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0.506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Lymphocyte percentage, mean (SD)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18.5 (15.9)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19.5 (16.4)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16.1 (14.6)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0.136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Neutrophil count, mean (SD)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5.0 (3.4)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4.7 (3.2)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5.6 (3.8)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0.123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Neutrophil percentage, mean (SD)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72.2 (18.6)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71.4 (18.5)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74.1 (18.8)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0.336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PCT, mean (SD)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1.9 (7.3)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2.1 (7.9)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1.6 (5.7)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0.656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ESR, mean (SD)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33.9 (24.9)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33.7 (23.3)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34.3 (28.0)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0.915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D-Dimer, mean (SD)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12.2 (130.9)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15.3 (156.6)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5.2 (20.1)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0.446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AST, mean (SD)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37.8 (31.1)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36.7 (26.7)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40.4 (39.4)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0.498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Ferritin, mean (SD)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1098.1 (1765.2)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1104.0 (1955.0)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1084.3 (1243.0)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0.939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LDH, mean (SD)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292.9 (166.0)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287.9 (134.6)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303.9 (220.8)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0.590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TnI, mean (SD)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1.7 (16.0)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1.8 (18.8)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1.5 (6.6)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0.871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bottom w:val="nil"/>
            </w:tcBorders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NT-ProBNP, mean (SD)</w:t>
            </w:r>
          </w:p>
        </w:tc>
        <w:tc>
          <w:tcPr>
            <w:tcW w:w="0" w:type="auto"/>
            <w:tcBorders>
              <w:bottom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1935.0 (5103.6)</w:t>
            </w:r>
          </w:p>
        </w:tc>
        <w:tc>
          <w:tcPr>
            <w:tcW w:w="0" w:type="auto"/>
            <w:tcBorders>
              <w:bottom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2176.2 (6008.9)</w:t>
            </w:r>
          </w:p>
        </w:tc>
        <w:tc>
          <w:tcPr>
            <w:tcW w:w="0" w:type="auto"/>
            <w:tcBorders>
              <w:bottom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1349.4 (1410.9)</w:t>
            </w:r>
          </w:p>
        </w:tc>
        <w:tc>
          <w:tcPr>
            <w:tcW w:w="0" w:type="auto"/>
            <w:tcBorders>
              <w:bottom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0.456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bottom w:val="single" w:color="auto" w:sz="4" w:space="0"/>
            </w:tcBorders>
          </w:tcPr>
          <w:p>
            <w:pPr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IL-6, mean (SD)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221.1 (991.9)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190.1 (983.9)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298.8 (1020.3)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0.567</w:t>
            </w:r>
          </w:p>
        </w:tc>
      </w:tr>
    </w:tbl>
    <w:p>
      <w:pPr>
        <w:pStyle w:val="4"/>
        <w:rPr>
          <w:rStyle w:val="8"/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SD, standard deviation;</w:t>
      </w:r>
    </w:p>
    <w:p>
      <w:pPr>
        <w:pStyle w:val="4"/>
        <w:rPr>
          <w:rStyle w:val="8"/>
          <w:rFonts w:ascii="Times New Roman" w:hAnsi="Times New Roman"/>
          <w:sz w:val="21"/>
          <w:szCs w:val="21"/>
        </w:rPr>
      </w:pPr>
    </w:p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OGEzODA0NGVjNjg0ODIwMjk2MTY5ZjM1MmQ4M2IifQ=="/>
  </w:docVars>
  <w:rsids>
    <w:rsidRoot w:val="007C32C5"/>
    <w:rsid w:val="00181A31"/>
    <w:rsid w:val="007C32C5"/>
    <w:rsid w:val="00C944D7"/>
    <w:rsid w:val="49306D85"/>
    <w:rsid w:val="656D5B79"/>
    <w:rsid w:val="6DD1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iPriority="99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9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76" w:lineRule="auto"/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6">
    <w:name w:val="Table Grid"/>
    <w:basedOn w:val="5"/>
    <w:qFormat/>
    <w:uiPriority w:val="39"/>
    <w:rPr>
      <w:rFonts w:hint="eastAsia" w:cs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8">
    <w:name w:val="HTML Code"/>
    <w:basedOn w:val="7"/>
    <w:unhideWhenUsed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9">
    <w:name w:val="HTML 预设格式 字符"/>
    <w:basedOn w:val="7"/>
    <w:link w:val="4"/>
    <w:qFormat/>
    <w:uiPriority w:val="99"/>
    <w:rPr>
      <w:rFonts w:hint="eastAsia" w:ascii="宋体" w:hAnsi="宋体" w:eastAsia="宋体" w:cs="宋体"/>
      <w:sz w:val="24"/>
      <w:szCs w:val="24"/>
    </w:rPr>
  </w:style>
  <w:style w:type="character" w:customStyle="1" w:styleId="10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487</Words>
  <Characters>2249</Characters>
  <Lines>20</Lines>
  <Paragraphs>5</Paragraphs>
  <TotalTime>0</TotalTime>
  <ScaleCrop>false</ScaleCrop>
  <LinksUpToDate>false</LinksUpToDate>
  <CharactersWithSpaces>2485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2023-09-05T13:53:00Z</dcterms:created>
  <dc:creator>lxj</dc:creator>
  <cp:lastModifiedBy>娄新璟</cp:lastModifiedBy>
  <dcterms:modified xsi:type="dcterms:W3CDTF">2023-09-21T16:10:46Z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BC4CE430898242C4B463EA93B8B61524_12</vt:lpwstr>
  </property>
</Properties>
</file>