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4309" w14:textId="6150012F" w:rsidR="00132341" w:rsidRDefault="00444834" w:rsidP="00D66491">
      <w:pPr>
        <w:spacing w:line="360" w:lineRule="auto"/>
        <w:ind w:left="-142" w:right="-98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75908DB" wp14:editId="15DCD778">
            <wp:extent cx="8484422" cy="65564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880" cy="655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D678F" w14:textId="6029912C" w:rsidR="00132341" w:rsidRDefault="00132341" w:rsidP="00132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2341">
        <w:rPr>
          <w:rFonts w:ascii="Times New Roman" w:hAnsi="Times New Roman" w:cs="Times New Roman"/>
          <w:b/>
          <w:bCs/>
          <w:sz w:val="24"/>
          <w:szCs w:val="24"/>
        </w:rPr>
        <w:t xml:space="preserve">Fig: </w:t>
      </w:r>
      <w:r w:rsidR="00C6289D" w:rsidRPr="00C6289D">
        <w:rPr>
          <w:rFonts w:ascii="Times New Roman" w:hAnsi="Times New Roman" w:cs="Times New Roman"/>
          <w:sz w:val="24"/>
          <w:szCs w:val="24"/>
        </w:rPr>
        <w:t>Heterogeneity assessment of included studies, illustrating (A) Galbraith star charts, (B) Bivariate boxplots, and (C) ROC plane for the assessment of threshold effect.</w:t>
      </w:r>
    </w:p>
    <w:sectPr w:rsidR="00132341" w:rsidSect="00444834">
      <w:pgSz w:w="15840" w:h="12240" w:orient="landscape"/>
      <w:pgMar w:top="284" w:right="109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F8"/>
    <w:rsid w:val="00132341"/>
    <w:rsid w:val="00255CF8"/>
    <w:rsid w:val="00444834"/>
    <w:rsid w:val="00664BC1"/>
    <w:rsid w:val="00A44D72"/>
    <w:rsid w:val="00AE45EB"/>
    <w:rsid w:val="00C15144"/>
    <w:rsid w:val="00C6289D"/>
    <w:rsid w:val="00D66491"/>
    <w:rsid w:val="00E3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5771"/>
  <w15:chartTrackingRefBased/>
  <w15:docId w15:val="{07C93B32-5969-4763-A15B-0E65C88F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8</cp:revision>
  <dcterms:created xsi:type="dcterms:W3CDTF">2024-03-27T12:18:00Z</dcterms:created>
  <dcterms:modified xsi:type="dcterms:W3CDTF">2024-06-11T11:13:00Z</dcterms:modified>
</cp:coreProperties>
</file>