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38679" w14:textId="77777777" w:rsidR="000621BB" w:rsidRPr="000621BB" w:rsidRDefault="000621BB" w:rsidP="000621BB">
      <w:pPr>
        <w:ind w:right="4079"/>
        <w:rPr>
          <w:rFonts w:ascii="Times New Roman" w:hAnsi="Times New Roman" w:cs="Times New Roman"/>
          <w:b/>
          <w:sz w:val="24"/>
          <w:szCs w:val="24"/>
          <w:lang w:val="en-US"/>
        </w:rPr>
      </w:pPr>
      <w:r w:rsidRPr="000621BB">
        <w:rPr>
          <w:rFonts w:ascii="Times New Roman" w:hAnsi="Times New Roman" w:cs="Times New Roman"/>
          <w:b/>
          <w:sz w:val="24"/>
          <w:szCs w:val="24"/>
          <w:lang w:val="en-US"/>
        </w:rPr>
        <w:t xml:space="preserve">Supplementary Material </w:t>
      </w:r>
    </w:p>
    <w:p w14:paraId="55CCA8A2" w14:textId="6BC97CA7" w:rsidR="00AE2F57" w:rsidRDefault="000621BB" w:rsidP="00BB7BA4">
      <w:pPr>
        <w:ind w:right="4079"/>
        <w:rPr>
          <w:rFonts w:ascii="Times New Roman" w:hAnsi="Times New Roman" w:cs="Times New Roman"/>
          <w:b/>
          <w:sz w:val="24"/>
          <w:szCs w:val="24"/>
          <w:lang w:val="en-US"/>
        </w:rPr>
      </w:pPr>
      <w:r w:rsidRPr="000B5CCD">
        <w:rPr>
          <w:rFonts w:ascii="Times New Roman" w:hAnsi="Times New Roman" w:cs="Times New Roman"/>
          <w:b/>
          <w:sz w:val="24"/>
          <w:szCs w:val="24"/>
          <w:lang w:val="en-US"/>
        </w:rPr>
        <w:t>Figure S</w:t>
      </w:r>
      <w:r w:rsidR="00BB7BA4">
        <w:rPr>
          <w:rFonts w:ascii="Times New Roman" w:hAnsi="Times New Roman" w:cs="Times New Roman"/>
          <w:b/>
          <w:sz w:val="24"/>
          <w:szCs w:val="24"/>
          <w:lang w:val="en-US"/>
        </w:rPr>
        <w:t>5</w:t>
      </w:r>
      <w:r w:rsidRPr="000B5CCD">
        <w:rPr>
          <w:rFonts w:ascii="Times New Roman" w:hAnsi="Times New Roman" w:cs="Times New Roman"/>
          <w:b/>
          <w:sz w:val="24"/>
          <w:szCs w:val="24"/>
          <w:lang w:val="en-US"/>
        </w:rPr>
        <w:t xml:space="preserve">. </w:t>
      </w:r>
      <w:r w:rsidR="000B5CCD" w:rsidRPr="000B5CCD">
        <w:rPr>
          <w:rFonts w:ascii="Times New Roman" w:hAnsi="Times New Roman" w:cs="Times New Roman"/>
          <w:b/>
          <w:sz w:val="24"/>
          <w:szCs w:val="24"/>
          <w:lang w:val="en-US"/>
        </w:rPr>
        <w:t xml:space="preserve">Changes in </w:t>
      </w:r>
      <w:r w:rsidR="000B5CCD">
        <w:rPr>
          <w:rFonts w:ascii="Times New Roman" w:hAnsi="Times New Roman" w:cs="Times New Roman"/>
          <w:b/>
          <w:sz w:val="24"/>
          <w:szCs w:val="24"/>
          <w:lang w:val="en-US"/>
        </w:rPr>
        <w:t xml:space="preserve">bacillary load and </w:t>
      </w:r>
      <w:r w:rsidR="00E00124" w:rsidRPr="00E00124">
        <w:rPr>
          <w:rFonts w:ascii="Times New Roman" w:hAnsi="Times New Roman" w:cs="Times New Roman"/>
          <w:b/>
          <w:sz w:val="24"/>
          <w:szCs w:val="24"/>
          <w:lang w:val="en-US"/>
        </w:rPr>
        <w:t>anti-PGL-I antibody levels</w:t>
      </w:r>
      <w:r w:rsidR="00E00124">
        <w:rPr>
          <w:rFonts w:ascii="Times New Roman" w:hAnsi="Times New Roman" w:cs="Times New Roman"/>
          <w:b/>
          <w:sz w:val="24"/>
          <w:szCs w:val="24"/>
          <w:lang w:val="en-US"/>
        </w:rPr>
        <w:t xml:space="preserve"> at </w:t>
      </w:r>
      <w:r w:rsidR="00BB7BA4">
        <w:rPr>
          <w:rFonts w:ascii="Times New Roman" w:hAnsi="Times New Roman" w:cs="Times New Roman"/>
          <w:b/>
          <w:sz w:val="24"/>
          <w:szCs w:val="24"/>
          <w:lang w:val="en-US"/>
        </w:rPr>
        <w:t xml:space="preserve">leprosy </w:t>
      </w:r>
      <w:r w:rsidR="00E00124">
        <w:rPr>
          <w:rFonts w:ascii="Times New Roman" w:hAnsi="Times New Roman" w:cs="Times New Roman"/>
          <w:b/>
          <w:sz w:val="24"/>
          <w:szCs w:val="24"/>
          <w:lang w:val="en-US"/>
        </w:rPr>
        <w:t xml:space="preserve">diagnosis and </w:t>
      </w:r>
      <w:r w:rsidR="00BB7BA4">
        <w:rPr>
          <w:rFonts w:ascii="Times New Roman" w:hAnsi="Times New Roman" w:cs="Times New Roman"/>
          <w:b/>
          <w:sz w:val="24"/>
          <w:szCs w:val="24"/>
          <w:lang w:val="en-US"/>
        </w:rPr>
        <w:t>completion of multidrug therapy</w:t>
      </w:r>
    </w:p>
    <w:p w14:paraId="53DEABF4" w14:textId="72B1D496" w:rsidR="00BB7BA4" w:rsidRDefault="00BB7BA4" w:rsidP="00AE2F57">
      <w:pPr>
        <w:ind w:right="-1"/>
        <w:rPr>
          <w:rFonts w:ascii="Times New Roman" w:hAnsi="Times New Roman" w:cs="Times New Roman"/>
          <w:sz w:val="24"/>
          <w:szCs w:val="24"/>
          <w:lang w:val="en-US"/>
        </w:rPr>
      </w:pPr>
      <w:r>
        <w:rPr>
          <w:rFonts w:ascii="Times New Roman" w:hAnsi="Times New Roman" w:cs="Times New Roman"/>
          <w:b/>
          <w:noProof/>
          <w:sz w:val="24"/>
          <w:szCs w:val="24"/>
          <w:lang w:val="en-US"/>
        </w:rPr>
        <w:drawing>
          <wp:inline distT="0" distB="0" distL="0" distR="0" wp14:anchorId="76193B34" wp14:editId="31DE47B3">
            <wp:extent cx="8001573" cy="4500748"/>
            <wp:effectExtent l="0" t="0" r="0" b="0"/>
            <wp:docPr id="8009359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13397" cy="4507399"/>
                    </a:xfrm>
                    <a:prstGeom prst="rect">
                      <a:avLst/>
                    </a:prstGeom>
                    <a:noFill/>
                    <a:ln>
                      <a:noFill/>
                    </a:ln>
                  </pic:spPr>
                </pic:pic>
              </a:graphicData>
            </a:graphic>
          </wp:inline>
        </w:drawing>
      </w:r>
    </w:p>
    <w:p w14:paraId="297938CD" w14:textId="7BF0A0D5" w:rsidR="000621BB" w:rsidRPr="00BB7BA4" w:rsidRDefault="00BB7BA4">
      <w:pPr>
        <w:rPr>
          <w:rFonts w:ascii="Times New Roman" w:hAnsi="Times New Roman" w:cs="Times New Roman"/>
          <w:sz w:val="24"/>
          <w:szCs w:val="24"/>
          <w:lang w:val="en-US"/>
        </w:rPr>
      </w:pPr>
      <w:r w:rsidRPr="00BB7BA4">
        <w:rPr>
          <w:rFonts w:ascii="Times New Roman" w:hAnsi="Times New Roman" w:cs="Times New Roman"/>
          <w:sz w:val="24"/>
          <w:szCs w:val="24"/>
          <w:lang w:val="en-US"/>
        </w:rPr>
        <w:lastRenderedPageBreak/>
        <w:t>The six panels (A to F) illustrate Wilcoxon paired comparison data, displaying the median values and percentage variations of bacillary indexes from skin biopsies (hBI) and intradermal smears (sBI), as well as anti-PGL-I antibody levels (EI) in both treatment failure and control groups. These measurements are taken at two time points: at initial diagnosis and after the completion of multidrug therapy (MDT). Connecting lines depict changes in bacillary load for the same cases between diagnosis and post-MDT, highlighting the observed trends during these periods. The first and second percentage variations indicate differences between means and medians (*), respectively, at initial diagnosis and MDT completion.</w:t>
      </w:r>
    </w:p>
    <w:sectPr w:rsidR="000621BB" w:rsidRPr="00BB7BA4" w:rsidSect="00641890">
      <w:pgSz w:w="16838" w:h="11906" w:orient="landscape"/>
      <w:pgMar w:top="1701" w:right="820"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2BDE8" w14:textId="77777777" w:rsidR="00020FFC" w:rsidRDefault="00020FFC" w:rsidP="007C2434">
      <w:pPr>
        <w:spacing w:after="0" w:line="240" w:lineRule="auto"/>
      </w:pPr>
      <w:r>
        <w:separator/>
      </w:r>
    </w:p>
  </w:endnote>
  <w:endnote w:type="continuationSeparator" w:id="0">
    <w:p w14:paraId="2AFDD962" w14:textId="77777777" w:rsidR="00020FFC" w:rsidRDefault="00020FFC" w:rsidP="007C2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1F282" w14:textId="77777777" w:rsidR="00020FFC" w:rsidRDefault="00020FFC" w:rsidP="007C2434">
      <w:pPr>
        <w:spacing w:after="0" w:line="240" w:lineRule="auto"/>
      </w:pPr>
      <w:r>
        <w:separator/>
      </w:r>
    </w:p>
  </w:footnote>
  <w:footnote w:type="continuationSeparator" w:id="0">
    <w:p w14:paraId="2478337A" w14:textId="77777777" w:rsidR="00020FFC" w:rsidRDefault="00020FFC" w:rsidP="007C24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8B"/>
    <w:rsid w:val="00014AD7"/>
    <w:rsid w:val="00020FFC"/>
    <w:rsid w:val="000621BB"/>
    <w:rsid w:val="000B5CCD"/>
    <w:rsid w:val="001335BC"/>
    <w:rsid w:val="00260CD7"/>
    <w:rsid w:val="00395955"/>
    <w:rsid w:val="00457D2B"/>
    <w:rsid w:val="0052078B"/>
    <w:rsid w:val="005536C5"/>
    <w:rsid w:val="00641890"/>
    <w:rsid w:val="00661556"/>
    <w:rsid w:val="00695532"/>
    <w:rsid w:val="006A7D9B"/>
    <w:rsid w:val="00772349"/>
    <w:rsid w:val="007C2434"/>
    <w:rsid w:val="0083738A"/>
    <w:rsid w:val="008E5C84"/>
    <w:rsid w:val="008E6CA5"/>
    <w:rsid w:val="009C5FE1"/>
    <w:rsid w:val="00AE2F57"/>
    <w:rsid w:val="00BB7BA4"/>
    <w:rsid w:val="00CB70B6"/>
    <w:rsid w:val="00CD0F59"/>
    <w:rsid w:val="00D05E75"/>
    <w:rsid w:val="00DD3BAF"/>
    <w:rsid w:val="00E00124"/>
    <w:rsid w:val="00EB1A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9D9F"/>
  <w15:chartTrackingRefBased/>
  <w15:docId w15:val="{8081D5A9-9856-485F-92F9-DA65ED57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C24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2434"/>
  </w:style>
  <w:style w:type="paragraph" w:styleId="Rodap">
    <w:name w:val="footer"/>
    <w:basedOn w:val="Normal"/>
    <w:link w:val="RodapChar"/>
    <w:uiPriority w:val="99"/>
    <w:unhideWhenUsed/>
    <w:rsid w:val="007C2434"/>
    <w:pPr>
      <w:tabs>
        <w:tab w:val="center" w:pos="4252"/>
        <w:tab w:val="right" w:pos="8504"/>
      </w:tabs>
      <w:spacing w:after="0" w:line="240" w:lineRule="auto"/>
    </w:pPr>
  </w:style>
  <w:style w:type="character" w:customStyle="1" w:styleId="RodapChar">
    <w:name w:val="Rodapé Char"/>
    <w:basedOn w:val="Fontepargpadro"/>
    <w:link w:val="Rodap"/>
    <w:uiPriority w:val="99"/>
    <w:rsid w:val="007C2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135</Words>
  <Characters>733</Characters>
  <Application>Microsoft Office Word</Application>
  <DocSecurity>0</DocSecurity>
  <Lines>6</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Eulálio Antunes</dc:creator>
  <cp:keywords/>
  <dc:description/>
  <cp:lastModifiedBy>Bruno de Carvalho Dornelas</cp:lastModifiedBy>
  <cp:revision>16</cp:revision>
  <dcterms:created xsi:type="dcterms:W3CDTF">2024-08-12T17:13:00Z</dcterms:created>
  <dcterms:modified xsi:type="dcterms:W3CDTF">2024-09-08T10:34:00Z</dcterms:modified>
</cp:coreProperties>
</file>