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2AFAB" w14:textId="723FDEED" w:rsidR="008027DF" w:rsidRDefault="008027DF" w:rsidP="00515BEE">
      <w:pPr>
        <w:rPr>
          <w:rFonts w:ascii="Times New Roman" w:hAnsi="Times New Roman" w:cs="Times New Roman"/>
          <w:sz w:val="24"/>
          <w:szCs w:val="24"/>
          <w:lang w:val="en-US"/>
        </w:rPr>
      </w:pPr>
      <w:r w:rsidRPr="008027DF">
        <w:rPr>
          <w:rFonts w:ascii="Times New Roman" w:hAnsi="Times New Roman" w:cs="Times New Roman"/>
          <w:b/>
          <w:sz w:val="24"/>
          <w:szCs w:val="24"/>
          <w:lang w:val="en-US"/>
        </w:rPr>
        <w:t>Supplementary table 1</w:t>
      </w:r>
      <w:r w:rsidRPr="008027DF">
        <w:rPr>
          <w:rFonts w:ascii="Times New Roman" w:hAnsi="Times New Roman" w:cs="Times New Roman"/>
          <w:sz w:val="24"/>
          <w:szCs w:val="24"/>
          <w:lang w:val="en-US"/>
        </w:rPr>
        <w:t xml:space="preserve">: Baseline summary characteristics of the included studies in the systematic review and meta-analysis. </w:t>
      </w:r>
    </w:p>
    <w:tbl>
      <w:tblPr>
        <w:tblStyle w:val="TableGrid"/>
        <w:tblpPr w:leftFromText="180" w:rightFromText="180" w:vertAnchor="page" w:horzAnchor="margin" w:tblpXSpec="center" w:tblpY="2751"/>
        <w:tblW w:w="14850" w:type="dxa"/>
        <w:tblLayout w:type="fixed"/>
        <w:tblLook w:val="04A0" w:firstRow="1" w:lastRow="0" w:firstColumn="1" w:lastColumn="0" w:noHBand="0" w:noVBand="1"/>
      </w:tblPr>
      <w:tblGrid>
        <w:gridCol w:w="996"/>
        <w:gridCol w:w="1345"/>
        <w:gridCol w:w="1129"/>
        <w:gridCol w:w="1020"/>
        <w:gridCol w:w="927"/>
        <w:gridCol w:w="901"/>
        <w:gridCol w:w="720"/>
        <w:gridCol w:w="630"/>
        <w:gridCol w:w="1260"/>
        <w:gridCol w:w="1289"/>
        <w:gridCol w:w="1231"/>
        <w:gridCol w:w="90"/>
        <w:gridCol w:w="1620"/>
        <w:gridCol w:w="1692"/>
      </w:tblGrid>
      <w:tr w:rsidR="008027DF" w:rsidRPr="008027DF" w14:paraId="0A565458" w14:textId="77777777" w:rsidTr="008547D7">
        <w:trPr>
          <w:trHeight w:val="420"/>
        </w:trPr>
        <w:tc>
          <w:tcPr>
            <w:tcW w:w="996" w:type="dxa"/>
            <w:vMerge w:val="restart"/>
            <w:tcBorders>
              <w:top w:val="single" w:sz="4" w:space="0" w:color="auto"/>
              <w:left w:val="single" w:sz="4" w:space="0" w:color="auto"/>
              <w:bottom w:val="single" w:sz="4" w:space="0" w:color="auto"/>
              <w:right w:val="single" w:sz="4" w:space="0" w:color="auto"/>
            </w:tcBorders>
            <w:hideMark/>
          </w:tcPr>
          <w:p w14:paraId="3F372BF1"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Authors/</w:t>
            </w:r>
          </w:p>
          <w:p w14:paraId="429D995A"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year</w:t>
            </w:r>
          </w:p>
        </w:tc>
        <w:tc>
          <w:tcPr>
            <w:tcW w:w="1345" w:type="dxa"/>
            <w:vMerge w:val="restart"/>
            <w:tcBorders>
              <w:top w:val="single" w:sz="4" w:space="0" w:color="auto"/>
              <w:left w:val="single" w:sz="4" w:space="0" w:color="auto"/>
              <w:bottom w:val="single" w:sz="4" w:space="0" w:color="auto"/>
              <w:right w:val="single" w:sz="4" w:space="0" w:color="auto"/>
            </w:tcBorders>
            <w:hideMark/>
          </w:tcPr>
          <w:p w14:paraId="3310D6EE"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Previous TB treatment </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28123C02"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Lung cavity</w:t>
            </w:r>
          </w:p>
        </w:tc>
        <w:tc>
          <w:tcPr>
            <w:tcW w:w="1020" w:type="dxa"/>
            <w:vMerge w:val="restart"/>
            <w:tcBorders>
              <w:top w:val="single" w:sz="4" w:space="0" w:color="auto"/>
              <w:left w:val="single" w:sz="4" w:space="0" w:color="auto"/>
              <w:right w:val="single" w:sz="4" w:space="0" w:color="auto"/>
            </w:tcBorders>
            <w:hideMark/>
          </w:tcPr>
          <w:p w14:paraId="5E94E082"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AFB (+</w:t>
            </w:r>
            <w:proofErr w:type="spellStart"/>
            <w:r w:rsidRPr="008027DF">
              <w:rPr>
                <w:rFonts w:ascii="Times New Roman" w:eastAsia="Calibri" w:hAnsi="Times New Roman" w:cs="Times New Roman"/>
                <w:b/>
                <w:sz w:val="18"/>
                <w:szCs w:val="18"/>
                <w:lang w:val="en-US"/>
              </w:rPr>
              <w:t>ve</w:t>
            </w:r>
            <w:proofErr w:type="spellEnd"/>
            <w:r w:rsidRPr="008027DF">
              <w:rPr>
                <w:rFonts w:ascii="Times New Roman" w:eastAsia="Calibri" w:hAnsi="Times New Roman" w:cs="Times New Roman"/>
                <w:b/>
                <w:sz w:val="18"/>
                <w:szCs w:val="18"/>
                <w:lang w:val="en-US"/>
              </w:rPr>
              <w:t>)</w:t>
            </w:r>
          </w:p>
        </w:tc>
        <w:tc>
          <w:tcPr>
            <w:tcW w:w="927" w:type="dxa"/>
            <w:vMerge w:val="restart"/>
            <w:tcBorders>
              <w:top w:val="single" w:sz="4" w:space="0" w:color="auto"/>
              <w:left w:val="single" w:sz="4" w:space="0" w:color="auto"/>
              <w:right w:val="single" w:sz="4" w:space="0" w:color="auto"/>
            </w:tcBorders>
          </w:tcPr>
          <w:p w14:paraId="1075B585"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HIV</w:t>
            </w:r>
          </w:p>
          <w:p w14:paraId="0EC15E13"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901" w:type="dxa"/>
            <w:vMerge w:val="restart"/>
            <w:tcBorders>
              <w:top w:val="single" w:sz="4" w:space="0" w:color="auto"/>
              <w:left w:val="single" w:sz="4" w:space="0" w:color="auto"/>
              <w:right w:val="single" w:sz="4" w:space="0" w:color="auto"/>
            </w:tcBorders>
            <w:hideMark/>
          </w:tcPr>
          <w:p w14:paraId="2B42BF91"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 Diabetes  </w:t>
            </w:r>
          </w:p>
        </w:tc>
        <w:tc>
          <w:tcPr>
            <w:tcW w:w="1350" w:type="dxa"/>
            <w:gridSpan w:val="2"/>
            <w:tcBorders>
              <w:top w:val="single" w:sz="4" w:space="0" w:color="auto"/>
              <w:left w:val="single" w:sz="4" w:space="0" w:color="auto"/>
              <w:right w:val="single" w:sz="4" w:space="0" w:color="auto"/>
            </w:tcBorders>
          </w:tcPr>
          <w:p w14:paraId="3ABBEE26"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Randomized </w:t>
            </w:r>
          </w:p>
        </w:tc>
        <w:tc>
          <w:tcPr>
            <w:tcW w:w="2549" w:type="dxa"/>
            <w:gridSpan w:val="2"/>
            <w:tcBorders>
              <w:top w:val="single" w:sz="4" w:space="0" w:color="auto"/>
              <w:left w:val="single" w:sz="4" w:space="0" w:color="auto"/>
              <w:bottom w:val="single" w:sz="4" w:space="0" w:color="auto"/>
              <w:right w:val="single" w:sz="4" w:space="0" w:color="auto"/>
            </w:tcBorders>
            <w:hideMark/>
          </w:tcPr>
          <w:p w14:paraId="56AC04CA"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Intervention regimen</w:t>
            </w:r>
          </w:p>
        </w:tc>
        <w:tc>
          <w:tcPr>
            <w:tcW w:w="2941" w:type="dxa"/>
            <w:gridSpan w:val="3"/>
            <w:tcBorders>
              <w:top w:val="single" w:sz="4" w:space="0" w:color="auto"/>
              <w:left w:val="single" w:sz="4" w:space="0" w:color="auto"/>
              <w:bottom w:val="single" w:sz="4" w:space="0" w:color="auto"/>
              <w:right w:val="single" w:sz="4" w:space="0" w:color="auto"/>
            </w:tcBorders>
            <w:hideMark/>
          </w:tcPr>
          <w:p w14:paraId="2040A32F"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Comparator regimen </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6AC107D5"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Resistance with second line drugs and injectable </w:t>
            </w:r>
          </w:p>
        </w:tc>
      </w:tr>
      <w:tr w:rsidR="008027DF" w:rsidRPr="008027DF" w14:paraId="072D1C14" w14:textId="77777777" w:rsidTr="008547D7">
        <w:trPr>
          <w:trHeight w:val="393"/>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2CEE5EE7"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4FBBA0D4"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6C15C7D8"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1020" w:type="dxa"/>
            <w:vMerge/>
            <w:tcBorders>
              <w:left w:val="single" w:sz="4" w:space="0" w:color="auto"/>
              <w:bottom w:val="single" w:sz="4" w:space="0" w:color="auto"/>
              <w:right w:val="single" w:sz="4" w:space="0" w:color="auto"/>
            </w:tcBorders>
            <w:vAlign w:val="center"/>
            <w:hideMark/>
          </w:tcPr>
          <w:p w14:paraId="1AA099B7"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927" w:type="dxa"/>
            <w:vMerge/>
            <w:tcBorders>
              <w:left w:val="single" w:sz="4" w:space="0" w:color="auto"/>
              <w:bottom w:val="single" w:sz="4" w:space="0" w:color="auto"/>
              <w:right w:val="single" w:sz="4" w:space="0" w:color="auto"/>
            </w:tcBorders>
            <w:vAlign w:val="center"/>
          </w:tcPr>
          <w:p w14:paraId="1E35B8B4"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901" w:type="dxa"/>
            <w:vMerge/>
            <w:tcBorders>
              <w:left w:val="single" w:sz="4" w:space="0" w:color="auto"/>
              <w:bottom w:val="single" w:sz="4" w:space="0" w:color="auto"/>
              <w:right w:val="single" w:sz="4" w:space="0" w:color="auto"/>
            </w:tcBorders>
            <w:hideMark/>
          </w:tcPr>
          <w:p w14:paraId="0DFBA636"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c>
          <w:tcPr>
            <w:tcW w:w="720" w:type="dxa"/>
            <w:tcBorders>
              <w:left w:val="single" w:sz="4" w:space="0" w:color="auto"/>
              <w:bottom w:val="single" w:sz="4" w:space="0" w:color="auto"/>
              <w:right w:val="single" w:sz="4" w:space="0" w:color="auto"/>
            </w:tcBorders>
            <w:hideMark/>
          </w:tcPr>
          <w:p w14:paraId="0A2430C6"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STR</w:t>
            </w:r>
          </w:p>
        </w:tc>
        <w:tc>
          <w:tcPr>
            <w:tcW w:w="630" w:type="dxa"/>
            <w:tcBorders>
              <w:left w:val="single" w:sz="4" w:space="0" w:color="auto"/>
              <w:bottom w:val="single" w:sz="4" w:space="0" w:color="auto"/>
              <w:right w:val="single" w:sz="4" w:space="0" w:color="auto"/>
            </w:tcBorders>
          </w:tcPr>
          <w:p w14:paraId="296FD686"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SOC</w:t>
            </w:r>
          </w:p>
        </w:tc>
        <w:tc>
          <w:tcPr>
            <w:tcW w:w="1260" w:type="dxa"/>
            <w:tcBorders>
              <w:top w:val="single" w:sz="4" w:space="0" w:color="auto"/>
              <w:left w:val="single" w:sz="4" w:space="0" w:color="auto"/>
              <w:bottom w:val="single" w:sz="4" w:space="0" w:color="auto"/>
              <w:right w:val="single" w:sz="4" w:space="0" w:color="auto"/>
            </w:tcBorders>
            <w:hideMark/>
          </w:tcPr>
          <w:p w14:paraId="4285AE2B"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Intensive </w:t>
            </w:r>
          </w:p>
          <w:p w14:paraId="1D777925"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phase</w:t>
            </w:r>
          </w:p>
        </w:tc>
        <w:tc>
          <w:tcPr>
            <w:tcW w:w="1289" w:type="dxa"/>
            <w:tcBorders>
              <w:top w:val="single" w:sz="4" w:space="0" w:color="auto"/>
              <w:left w:val="single" w:sz="4" w:space="0" w:color="auto"/>
              <w:bottom w:val="single" w:sz="4" w:space="0" w:color="auto"/>
              <w:right w:val="single" w:sz="4" w:space="0" w:color="auto"/>
            </w:tcBorders>
            <w:hideMark/>
          </w:tcPr>
          <w:p w14:paraId="0B6F4BE6"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Continuation</w:t>
            </w:r>
          </w:p>
          <w:p w14:paraId="47BF66A9"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phase</w:t>
            </w:r>
          </w:p>
        </w:tc>
        <w:tc>
          <w:tcPr>
            <w:tcW w:w="1321" w:type="dxa"/>
            <w:gridSpan w:val="2"/>
            <w:tcBorders>
              <w:top w:val="single" w:sz="4" w:space="0" w:color="auto"/>
              <w:left w:val="single" w:sz="4" w:space="0" w:color="auto"/>
              <w:bottom w:val="single" w:sz="4" w:space="0" w:color="auto"/>
              <w:right w:val="single" w:sz="4" w:space="0" w:color="auto"/>
            </w:tcBorders>
            <w:vAlign w:val="center"/>
            <w:hideMark/>
          </w:tcPr>
          <w:p w14:paraId="14D22C67"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 xml:space="preserve">Intensive </w:t>
            </w:r>
          </w:p>
          <w:p w14:paraId="5DFE1813"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phase</w:t>
            </w:r>
          </w:p>
        </w:tc>
        <w:tc>
          <w:tcPr>
            <w:tcW w:w="1620" w:type="dxa"/>
            <w:tcBorders>
              <w:top w:val="single" w:sz="4" w:space="0" w:color="auto"/>
              <w:left w:val="single" w:sz="4" w:space="0" w:color="auto"/>
              <w:bottom w:val="single" w:sz="4" w:space="0" w:color="auto"/>
              <w:right w:val="single" w:sz="4" w:space="0" w:color="auto"/>
            </w:tcBorders>
            <w:vAlign w:val="center"/>
          </w:tcPr>
          <w:p w14:paraId="77EE74A1"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Continuation</w:t>
            </w:r>
          </w:p>
          <w:p w14:paraId="11FD3BA1" w14:textId="77777777" w:rsidR="008027DF" w:rsidRPr="008027DF" w:rsidRDefault="008027DF" w:rsidP="008547D7">
            <w:pPr>
              <w:spacing w:after="0" w:line="240" w:lineRule="auto"/>
              <w:rPr>
                <w:rFonts w:ascii="Times New Roman" w:eastAsia="Calibri" w:hAnsi="Times New Roman" w:cs="Times New Roman"/>
                <w:b/>
                <w:sz w:val="18"/>
                <w:szCs w:val="18"/>
                <w:lang w:val="en-US"/>
              </w:rPr>
            </w:pPr>
            <w:r w:rsidRPr="008027DF">
              <w:rPr>
                <w:rFonts w:ascii="Times New Roman" w:eastAsia="Calibri" w:hAnsi="Times New Roman" w:cs="Times New Roman"/>
                <w:b/>
                <w:sz w:val="18"/>
                <w:szCs w:val="18"/>
                <w:lang w:val="en-US"/>
              </w:rPr>
              <w:t>phase</w:t>
            </w: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AE53B9F" w14:textId="77777777" w:rsidR="008027DF" w:rsidRPr="008027DF" w:rsidRDefault="008027DF" w:rsidP="008547D7">
            <w:pPr>
              <w:spacing w:after="0" w:line="240" w:lineRule="auto"/>
              <w:rPr>
                <w:rFonts w:ascii="Times New Roman" w:eastAsia="Calibri" w:hAnsi="Times New Roman" w:cs="Times New Roman"/>
                <w:b/>
                <w:sz w:val="18"/>
                <w:szCs w:val="18"/>
                <w:lang w:val="en-US"/>
              </w:rPr>
            </w:pPr>
          </w:p>
        </w:tc>
      </w:tr>
      <w:tr w:rsidR="008027DF" w14:paraId="76C02A64" w14:textId="77777777" w:rsidTr="008547D7">
        <w:trPr>
          <w:trHeight w:val="285"/>
        </w:trPr>
        <w:tc>
          <w:tcPr>
            <w:tcW w:w="996" w:type="dxa"/>
            <w:vMerge w:val="restart"/>
            <w:tcBorders>
              <w:top w:val="single" w:sz="4" w:space="0" w:color="auto"/>
              <w:left w:val="single" w:sz="4" w:space="0" w:color="auto"/>
              <w:bottom w:val="single" w:sz="4" w:space="0" w:color="auto"/>
              <w:right w:val="single" w:sz="4" w:space="0" w:color="auto"/>
            </w:tcBorders>
            <w:hideMark/>
          </w:tcPr>
          <w:p w14:paraId="689AF28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Du,Y.,2020</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HTYwrVRO","properties":{"formattedCitation":"(24)","plainCitation":"(24)","noteIndex":0},"citationItems":[{"id":"xfH4ATt7/fHt5nCyh","uris":["http://zotero.org/users/local/uLUSC9Bl/items/RQH8WAZK"],"itemData":{"id":"xfH4ATt7/fHt5nCyh","type":"article-journal","abstract":"Abstract\n            \n              Background\n              The emergence of multidrug-resistant tuberculosis (MDR-TB) poses a serious obstacle to global TB control programs.\n            \n            \n              Methods\n              We carried out a prospective, randomized, multicenter study in China that was focused on the potential of a shorter regimen containing clofazimine (CFZ) for the treatment of MDR-TB. There were 135 MDR-TB cases that met eligibility requirements and were randomly stratified into either the control group or experimental group. Patients in the control group received an 18-month treatment regimen, whereas patients in the experimental group received a 12-month treatment regimen containing CFZ.\n            \n            \n              Results\n              At the completion of the treatment period, the difference in sputum-culture conversion rates between the experimental group and the control group was not significant. Notably, by the end of 3 months of treatment, 68.7% patients receiving the experimental regimen had sputum-culture conversion, as compared with 55.9% of those receiving the control regimen; this was a significant difference, suggesting an early sputum conversion (P = .04). There were 67 adverse events reported in 56 patients in this study, including 32 in the control group and 35 in the experimental group. No significant difference in the overall incidences of adverse events was observed between the 2 groups.\n            \n            \n              Conclusions\n              The MDR-TB patients treated with the shorter regimen containing CFZ had a comparable successful outcome rate when compared to those with the standard regimen. The patients assigned to the experimental group achieved more rapid sputum-culture conversion, reflecting superior antimicrobial activity against MDR-TB.\n            \n            \n              Clinical Trials Registration\n              Chinese Clinical Trial Registry ChiCTR 1800020391.","container-title":"Clinical Infectious Diseases","DOI":"10.1093/cid/ciz915","ISSN":"1058-4838, 1537-6591","issue":"4","language":"en","page":"1047-1054","source":"DOI.org (Crossref)","title":"Treatment Outcome of a Shorter Regimen Containing Clofazimine for Multidrug-resistant Tuberculosis: A Randomized Control Trial in China","title-short":"Treatment Outcome of a Shorter Regimen Containing Clofazimine for Multidrug-resistant Tuberculosis","volume":"71","author":[{"family":"Du","given":"Yadong"},{"family":"Qiu","given":"Chao"},{"family":"Chen","given":"Xiaohong"},{"family":"Wang","given":"Jing"},{"family":"Jing","given":"Wei"},{"family":"Pan","given":"Hongqiu"},{"family":"Chen","given":"Wei"},{"family":"Liu","given":"Yufeng"},{"family":"Li","given":"Chunxiang"},{"family":"Xi","given":"Xiu’e"},{"family":"Yin","given":"Hongyun"},{"family":"Zeng","given":"Jianfeng"},{"family":"Zhang","given":"Xia"},{"family":"Xu","given":"Tao"},{"family":"Wang","given":"Qingfeng"},{"family":"Guo","given":"Ru"},{"family":"Wang","given":"Jun"},{"family":"Pang","given":"Yu"},{"family":"Chu","given":"Naihui"}],"issued":{"date-parts":[["2020",8,14]]}}}],"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(24)</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1B56CE8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107</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6C3EE930" w14:textId="77777777" w:rsidR="008027DF" w:rsidRPr="00A30E2B" w:rsidRDefault="008027DF" w:rsidP="008547D7">
            <w:pPr>
              <w:spacing w:after="0" w:line="240" w:lineRule="auto"/>
              <w:rPr>
                <w:rFonts w:ascii="Times New Roman" w:eastAsia="Calibri" w:hAnsi="Times New Roman" w:cs="Times New Roman"/>
                <w:sz w:val="18"/>
                <w:szCs w:val="18"/>
                <w:lang w:val="en-US"/>
              </w:rPr>
            </w:pPr>
            <w:r w:rsidRPr="00A30E2B">
              <w:rPr>
                <w:rFonts w:ascii="Times New Roman" w:eastAsia="Calibri" w:hAnsi="Times New Roman" w:cs="Times New Roman"/>
                <w:sz w:val="18"/>
                <w:szCs w:val="18"/>
                <w:lang w:val="en-US"/>
              </w:rPr>
              <w:t>106</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4484BAD7" w14:textId="77777777" w:rsidR="008027DF" w:rsidRPr="00A30E2B" w:rsidRDefault="008027DF" w:rsidP="008547D7">
            <w:pPr>
              <w:spacing w:after="0" w:line="240" w:lineRule="auto"/>
              <w:rPr>
                <w:rFonts w:ascii="Times New Roman" w:eastAsia="Calibri" w:hAnsi="Times New Roman" w:cs="Times New Roman"/>
                <w:sz w:val="18"/>
                <w:szCs w:val="18"/>
                <w:lang w:val="en-US"/>
              </w:rPr>
            </w:pPr>
            <w:r w:rsidRPr="00A30E2B">
              <w:rPr>
                <w:rFonts w:ascii="Times New Roman" w:eastAsia="Calibri" w:hAnsi="Times New Roman" w:cs="Times New Roman"/>
                <w:sz w:val="18"/>
                <w:szCs w:val="18"/>
                <w:lang w:val="en-US"/>
              </w:rPr>
              <w:t>NA</w:t>
            </w:r>
          </w:p>
        </w:tc>
        <w:tc>
          <w:tcPr>
            <w:tcW w:w="927" w:type="dxa"/>
            <w:vMerge w:val="restart"/>
            <w:tcBorders>
              <w:top w:val="single" w:sz="4" w:space="0" w:color="auto"/>
              <w:left w:val="single" w:sz="4" w:space="0" w:color="auto"/>
              <w:bottom w:val="single" w:sz="4" w:space="0" w:color="auto"/>
              <w:right w:val="single" w:sz="4" w:space="0" w:color="auto"/>
            </w:tcBorders>
            <w:hideMark/>
          </w:tcPr>
          <w:p w14:paraId="3300B33B" w14:textId="77777777" w:rsidR="008027DF" w:rsidRPr="00A30E2B" w:rsidRDefault="008027DF" w:rsidP="008547D7">
            <w:pPr>
              <w:spacing w:after="0" w:line="240" w:lineRule="auto"/>
              <w:rPr>
                <w:rFonts w:ascii="Times New Roman" w:eastAsia="Calibri" w:hAnsi="Times New Roman" w:cs="Times New Roman"/>
                <w:sz w:val="18"/>
                <w:szCs w:val="18"/>
                <w:lang w:val="en-US"/>
              </w:rPr>
            </w:pPr>
            <w:r w:rsidRPr="00A30E2B">
              <w:rPr>
                <w:rFonts w:ascii="Times New Roman" w:eastAsia="Calibri" w:hAnsi="Times New Roman" w:cs="Times New Roman"/>
                <w:sz w:val="18"/>
                <w:szCs w:val="18"/>
                <w:lang w:val="en-US"/>
              </w:rPr>
              <w:t>NA</w:t>
            </w:r>
          </w:p>
        </w:tc>
        <w:tc>
          <w:tcPr>
            <w:tcW w:w="901" w:type="dxa"/>
            <w:vMerge w:val="restart"/>
            <w:tcBorders>
              <w:top w:val="single" w:sz="4" w:space="0" w:color="auto"/>
              <w:left w:val="single" w:sz="4" w:space="0" w:color="auto"/>
              <w:bottom w:val="single" w:sz="4" w:space="0" w:color="auto"/>
              <w:right w:val="single" w:sz="4" w:space="0" w:color="auto"/>
            </w:tcBorders>
            <w:hideMark/>
          </w:tcPr>
          <w:p w14:paraId="3CE8B23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w:t>
            </w:r>
          </w:p>
        </w:tc>
        <w:tc>
          <w:tcPr>
            <w:tcW w:w="720" w:type="dxa"/>
            <w:vMerge w:val="restart"/>
            <w:tcBorders>
              <w:top w:val="single" w:sz="4" w:space="0" w:color="auto"/>
              <w:left w:val="single" w:sz="4" w:space="0" w:color="auto"/>
              <w:bottom w:val="single" w:sz="4" w:space="0" w:color="auto"/>
              <w:right w:val="single" w:sz="4" w:space="0" w:color="auto"/>
            </w:tcBorders>
            <w:hideMark/>
          </w:tcPr>
          <w:p w14:paraId="4609519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68</w:t>
            </w:r>
          </w:p>
        </w:tc>
        <w:tc>
          <w:tcPr>
            <w:tcW w:w="630" w:type="dxa"/>
            <w:vMerge w:val="restart"/>
            <w:tcBorders>
              <w:top w:val="single" w:sz="4" w:space="0" w:color="auto"/>
              <w:left w:val="single" w:sz="4" w:space="0" w:color="auto"/>
              <w:bottom w:val="single" w:sz="4" w:space="0" w:color="auto"/>
              <w:right w:val="single" w:sz="4" w:space="0" w:color="auto"/>
            </w:tcBorders>
          </w:tcPr>
          <w:p w14:paraId="6E8B68B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67</w:t>
            </w:r>
          </w:p>
        </w:tc>
        <w:tc>
          <w:tcPr>
            <w:tcW w:w="1260" w:type="dxa"/>
            <w:tcBorders>
              <w:top w:val="single" w:sz="4" w:space="0" w:color="auto"/>
              <w:left w:val="single" w:sz="4" w:space="0" w:color="auto"/>
              <w:bottom w:val="nil"/>
              <w:right w:val="single" w:sz="4" w:space="0" w:color="auto"/>
            </w:tcBorders>
            <w:hideMark/>
          </w:tcPr>
          <w:p w14:paraId="753C248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6Cm,Cfz,Cs,Lfx,Pto,Z</w:t>
            </w:r>
          </w:p>
        </w:tc>
        <w:tc>
          <w:tcPr>
            <w:tcW w:w="1289" w:type="dxa"/>
            <w:tcBorders>
              <w:top w:val="single" w:sz="4" w:space="0" w:color="auto"/>
              <w:left w:val="single" w:sz="4" w:space="0" w:color="auto"/>
              <w:bottom w:val="nil"/>
              <w:right w:val="single" w:sz="4" w:space="0" w:color="auto"/>
            </w:tcBorders>
            <w:hideMark/>
          </w:tcPr>
          <w:p w14:paraId="1F52C509"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6Cfz,Cs,Lfx,Pto,Z</w:t>
            </w:r>
          </w:p>
        </w:tc>
        <w:tc>
          <w:tcPr>
            <w:tcW w:w="1321" w:type="dxa"/>
            <w:gridSpan w:val="2"/>
            <w:vMerge w:val="restart"/>
            <w:tcBorders>
              <w:top w:val="single" w:sz="4" w:space="0" w:color="auto"/>
              <w:left w:val="single" w:sz="4" w:space="0" w:color="auto"/>
              <w:bottom w:val="single" w:sz="4" w:space="0" w:color="auto"/>
              <w:right w:val="single" w:sz="4" w:space="0" w:color="auto"/>
            </w:tcBorders>
            <w:hideMark/>
          </w:tcPr>
          <w:p w14:paraId="455DAA5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6Cm,E,Cs,Lfx,Pto,Z</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355C645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12E,Cs,Lfx,Pto,Z</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3481E879"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0</w:t>
            </w:r>
          </w:p>
        </w:tc>
      </w:tr>
      <w:tr w:rsidR="008027DF" w14:paraId="533B9DF8"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4527469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0ECD2B3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6FFE99B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155BF40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03AE3FD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4ED4AA0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F8C6101"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57724A9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56A54E6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1EBE092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21" w:type="dxa"/>
            <w:gridSpan w:val="2"/>
            <w:vMerge/>
            <w:tcBorders>
              <w:top w:val="nil"/>
              <w:left w:val="single" w:sz="4" w:space="0" w:color="auto"/>
              <w:bottom w:val="single" w:sz="4" w:space="0" w:color="auto"/>
              <w:right w:val="single" w:sz="4" w:space="0" w:color="auto"/>
            </w:tcBorders>
            <w:vAlign w:val="center"/>
            <w:hideMark/>
          </w:tcPr>
          <w:p w14:paraId="7B7121E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3E2EC93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3E99666"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2DEB6DA3" w14:textId="77777777" w:rsidTr="008547D7">
        <w:trPr>
          <w:trHeight w:val="406"/>
        </w:trPr>
        <w:tc>
          <w:tcPr>
            <w:tcW w:w="996" w:type="dxa"/>
            <w:vMerge w:val="restart"/>
            <w:tcBorders>
              <w:top w:val="single" w:sz="4" w:space="0" w:color="auto"/>
              <w:left w:val="single" w:sz="4" w:space="0" w:color="auto"/>
              <w:bottom w:val="single" w:sz="4" w:space="0" w:color="auto"/>
              <w:right w:val="single" w:sz="4" w:space="0" w:color="auto"/>
            </w:tcBorders>
            <w:hideMark/>
          </w:tcPr>
          <w:p w14:paraId="312827E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Esmail,2022</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{"citationID":"HfwV1pPw","properties":{"formattedCitation":"(21)","plainCitation":"(21)","noteIndex":0},"citationItems":[{"id":17,"uris":["http://zotero.org/users/9809337/items/JW4K7CI2"],"itemData":{"id":17,"type":"article-journal","container-title":"American Journal of Respiratory and Critical Care Medicine","DOI":"10.1164/rccm.202107-1779OC","ISSN":"1073-449X, 1535-4970","issue":"10","journalAbbreviation":"Am J Respir Crit Care Med","language":"en","page":"1214-1227","source":"DOI.org (Crossref)","title":"An All-Oral 6-Month Regimen for Multidrug-Resistant Tuberculosis: A Multicenter, Randomized Controlled Clinical Trial (the NExT Study)","title-short":"An All-Oral 6-Month Regimen for Multidrug-Resistant Tuberculosis","volume":"205","author":[{"family":"Esmail","given":"Aliasgar"},{"family":"Oelofse","given":"Suzette"},{"family":"Lombard","given":"Carl"},{"family":"Perumal","given":"Rubeshan"},{"family":"Mbuthini","given":"Linda"},{"family":"Goolam Mahomed","given":"Akhter"},{"family":"Variava","given":"Ebrahim"},{"family":"Black","given":"John"},{"family":"Oluboyo","given":"Patrick"},{"family":"Gwentshu","given":"Nelile"},{"family":"Ngam","given":"Eric"},{"family":"Ackerman","given":"Tertius"},{"family":"Marais","given":"Linde"},{"family":"Mottay","given":"Lynelle"},{"family":"Meier","given":"Stuart"},{"family":"Pooran","given":"Anil"},{"family":"Tomasicchio","given":"Michele"},{"family":"Te Riele","given":"Julian"},{"family":"Derendinger","given":"Brigitta"},{"family":"Ndjeka","given":"Norbert"},{"family":"Maartens","given":"Gary"},{"family":"Warren","given":"Robin"},{"family":"Martinson","given":"Neil"},{"family":"Dheda","given":"Keertan"}],"issued":{"date-parts":[["2022",5,15]]}}}],"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(21)</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6C8FCFF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42</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6429102A"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sidRPr="00FD622F">
              <w:rPr>
                <w:rFonts w:ascii="Times New Roman" w:eastAsia="Calibri" w:hAnsi="Times New Roman" w:cs="Times New Roman"/>
                <w:sz w:val="18"/>
                <w:szCs w:val="18"/>
                <w:lang w:val="en-US"/>
              </w:rPr>
              <w:t>48</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165DFD58"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sidRPr="00FD622F">
              <w:rPr>
                <w:rFonts w:ascii="Times New Roman" w:eastAsia="Calibri" w:hAnsi="Times New Roman" w:cs="Times New Roman"/>
                <w:sz w:val="18"/>
                <w:szCs w:val="18"/>
                <w:lang w:val="en-US"/>
              </w:rPr>
              <w:t>57</w:t>
            </w:r>
          </w:p>
        </w:tc>
        <w:tc>
          <w:tcPr>
            <w:tcW w:w="927" w:type="dxa"/>
            <w:vMerge w:val="restart"/>
            <w:tcBorders>
              <w:top w:val="single" w:sz="4" w:space="0" w:color="auto"/>
              <w:left w:val="single" w:sz="4" w:space="0" w:color="auto"/>
              <w:bottom w:val="single" w:sz="4" w:space="0" w:color="auto"/>
              <w:right w:val="single" w:sz="4" w:space="0" w:color="auto"/>
            </w:tcBorders>
            <w:hideMark/>
          </w:tcPr>
          <w:p w14:paraId="2ECCC388"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51</w:t>
            </w:r>
          </w:p>
        </w:tc>
        <w:tc>
          <w:tcPr>
            <w:tcW w:w="901" w:type="dxa"/>
            <w:vMerge w:val="restart"/>
            <w:tcBorders>
              <w:top w:val="single" w:sz="4" w:space="0" w:color="auto"/>
              <w:left w:val="single" w:sz="4" w:space="0" w:color="auto"/>
              <w:bottom w:val="single" w:sz="4" w:space="0" w:color="auto"/>
              <w:right w:val="single" w:sz="4" w:space="0" w:color="auto"/>
            </w:tcBorders>
            <w:hideMark/>
          </w:tcPr>
          <w:p w14:paraId="0075F27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47E4036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49</w:t>
            </w:r>
          </w:p>
        </w:tc>
        <w:tc>
          <w:tcPr>
            <w:tcW w:w="630" w:type="dxa"/>
            <w:vMerge w:val="restart"/>
            <w:tcBorders>
              <w:top w:val="single" w:sz="4" w:space="0" w:color="auto"/>
              <w:left w:val="single" w:sz="4" w:space="0" w:color="auto"/>
              <w:bottom w:val="single" w:sz="4" w:space="0" w:color="auto"/>
              <w:right w:val="single" w:sz="4" w:space="0" w:color="auto"/>
            </w:tcBorders>
          </w:tcPr>
          <w:p w14:paraId="116301B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44</w:t>
            </w:r>
          </w:p>
        </w:tc>
        <w:tc>
          <w:tcPr>
            <w:tcW w:w="1260" w:type="dxa"/>
            <w:tcBorders>
              <w:top w:val="single" w:sz="4" w:space="0" w:color="auto"/>
              <w:left w:val="single" w:sz="4" w:space="0" w:color="auto"/>
              <w:bottom w:val="nil"/>
              <w:right w:val="single" w:sz="4" w:space="0" w:color="auto"/>
            </w:tcBorders>
            <w:hideMark/>
          </w:tcPr>
          <w:p w14:paraId="1E45045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6Bdq,Lzd,Lfx,Z,Trd/</w:t>
            </w:r>
            <w:proofErr w:type="spellStart"/>
            <w:r>
              <w:rPr>
                <w:rFonts w:ascii="Times New Roman" w:eastAsia="Calibri" w:hAnsi="Times New Roman" w:cs="Times New Roman"/>
                <w:sz w:val="18"/>
                <w:szCs w:val="18"/>
                <w:lang w:val="en-US"/>
              </w:rPr>
              <w:t>Eto</w:t>
            </w:r>
            <w:proofErr w:type="spellEnd"/>
            <w:r>
              <w:rPr>
                <w:rFonts w:ascii="Times New Roman" w:eastAsia="Calibri" w:hAnsi="Times New Roman" w:cs="Times New Roman"/>
                <w:sz w:val="18"/>
                <w:szCs w:val="18"/>
                <w:lang w:val="en-US"/>
              </w:rPr>
              <w:t>/</w:t>
            </w:r>
            <w:proofErr w:type="spellStart"/>
            <w:r>
              <w:rPr>
                <w:rFonts w:ascii="Times New Roman" w:eastAsia="Calibri" w:hAnsi="Times New Roman" w:cs="Times New Roman"/>
                <w:sz w:val="18"/>
                <w:szCs w:val="18"/>
                <w:lang w:val="en-US"/>
              </w:rPr>
              <w:t>Hh</w:t>
            </w:r>
            <w:proofErr w:type="spellEnd"/>
          </w:p>
        </w:tc>
        <w:tc>
          <w:tcPr>
            <w:tcW w:w="1289" w:type="dxa"/>
            <w:tcBorders>
              <w:top w:val="single" w:sz="4" w:space="0" w:color="auto"/>
              <w:left w:val="single" w:sz="4" w:space="0" w:color="auto"/>
              <w:bottom w:val="nil"/>
              <w:right w:val="single" w:sz="4" w:space="0" w:color="auto"/>
            </w:tcBorders>
          </w:tcPr>
          <w:p w14:paraId="58C3A4E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2941" w:type="dxa"/>
            <w:gridSpan w:val="3"/>
            <w:vMerge w:val="restart"/>
            <w:tcBorders>
              <w:top w:val="single" w:sz="4" w:space="0" w:color="auto"/>
              <w:left w:val="single" w:sz="4" w:space="0" w:color="auto"/>
              <w:bottom w:val="single" w:sz="4" w:space="0" w:color="auto"/>
              <w:right w:val="single" w:sz="4" w:space="0" w:color="auto"/>
            </w:tcBorders>
            <w:hideMark/>
          </w:tcPr>
          <w:p w14:paraId="6499964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 with local modification</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7326ADEE"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 0</w:t>
            </w:r>
          </w:p>
        </w:tc>
      </w:tr>
      <w:tr w:rsidR="008027DF" w14:paraId="68FBCC60" w14:textId="77777777" w:rsidTr="008547D7">
        <w:trPr>
          <w:trHeight w:val="8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3BD9C88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2CEEB35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5C63EC3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00692C3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5DD1B24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50B0995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1F7A78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34E1ADD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50D80BB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0B46652B"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2941" w:type="dxa"/>
            <w:gridSpan w:val="3"/>
            <w:vMerge/>
            <w:tcBorders>
              <w:top w:val="nil"/>
              <w:left w:val="single" w:sz="4" w:space="0" w:color="auto"/>
              <w:bottom w:val="single" w:sz="4" w:space="0" w:color="auto"/>
              <w:right w:val="single" w:sz="4" w:space="0" w:color="auto"/>
            </w:tcBorders>
            <w:vAlign w:val="center"/>
            <w:hideMark/>
          </w:tcPr>
          <w:p w14:paraId="26A3D58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6424FC9"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56EFB178" w14:textId="77777777" w:rsidTr="008547D7">
        <w:trPr>
          <w:trHeight w:val="287"/>
        </w:trPr>
        <w:tc>
          <w:tcPr>
            <w:tcW w:w="996" w:type="dxa"/>
            <w:vMerge w:val="restart"/>
            <w:tcBorders>
              <w:top w:val="single" w:sz="4" w:space="0" w:color="auto"/>
              <w:left w:val="single" w:sz="4" w:space="0" w:color="auto"/>
              <w:bottom w:val="single" w:sz="4" w:space="0" w:color="auto"/>
              <w:right w:val="single" w:sz="4" w:space="0" w:color="auto"/>
            </w:tcBorders>
            <w:hideMark/>
          </w:tcPr>
          <w:p w14:paraId="1EDC708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Hassane-Harouna,S.,2020</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{"citationID":"Do6ZH3hY","properties":{"formattedCitation":"(25)","plainCitation":"(25)","noteIndex":0},"citationItems":[{"id":18,"uris":["http://zotero.org/users/9809337/items/PH63SZJU"],"itemData":{"id":18,"type":"article-journal","container-title":"PLOS ONE","DOI":"10.1371/journal.pone.0237355","ISSN":"1932-6203","issue":"8","journalAbbreviation":"PLoS ONE","language":"en","page":"e0237355","source":"DOI.org (Crossref)","title":"Better programmatic outcome with the shorter regimen for the treatment of multidrug-resistant tuberculosis (MDR-TB) in Guinea: A retrospective cohort study","title-short":"Better programmatic outcome with the shorter regimen for the treatment of multidrug-resistant tuberculosis (MDR-TB) in Guinea","volume":"15","author":[{"family":"Hassane-Harouna","given":"Souleymane"},{"family":"Cherif","given":"Gba-Foromo"},{"family":"Ortuno-Gutierrez","given":"Nimer"},{"family":"Cisse","given":"Diao"},{"family":"Camara","given":"Lansana Mady"},{"family":"Diallo","given":"Boubacar Djelo"},{"family":"Camara","given":"Souleymane"},{"family":"Bangoura","given":"Adama Marie"},{"family":"Lynen","given":"Lutgarde"},{"family":"Decroo","given":"Tom"}],"editor":[{"family":"Ehtesham","given":"Hasnain Seyed"}],"issued":{"date-parts":[["2020",8,10]]}}}],"schema":"https://github.com/citation-style-language/schema/raw/master/csl-citation.json"}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(25)</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09D64D0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7D55D8C9"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sidRPr="00FD622F">
              <w:rPr>
                <w:rFonts w:ascii="Times New Roman" w:eastAsia="Calibri" w:hAnsi="Times New Roman" w:cs="Times New Roman"/>
                <w:sz w:val="18"/>
                <w:szCs w:val="18"/>
                <w:lang w:val="en-US"/>
              </w:rPr>
              <w:t>NA</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616A8FA7"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sidRPr="00FD622F">
              <w:rPr>
                <w:rFonts w:ascii="Times New Roman" w:eastAsia="Calibri" w:hAnsi="Times New Roman" w:cs="Times New Roman"/>
                <w:sz w:val="18"/>
                <w:szCs w:val="18"/>
                <w:lang w:val="en-US"/>
              </w:rPr>
              <w:t>NA</w:t>
            </w:r>
          </w:p>
        </w:tc>
        <w:tc>
          <w:tcPr>
            <w:tcW w:w="927" w:type="dxa"/>
            <w:vMerge w:val="restart"/>
            <w:tcBorders>
              <w:top w:val="single" w:sz="4" w:space="0" w:color="auto"/>
              <w:left w:val="single" w:sz="4" w:space="0" w:color="auto"/>
              <w:bottom w:val="single" w:sz="4" w:space="0" w:color="auto"/>
              <w:right w:val="single" w:sz="4" w:space="0" w:color="auto"/>
            </w:tcBorders>
            <w:hideMark/>
          </w:tcPr>
          <w:p w14:paraId="5015E471" w14:textId="77777777" w:rsidR="008027DF" w:rsidRPr="00A30E2B"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49</w:t>
            </w:r>
          </w:p>
        </w:tc>
        <w:tc>
          <w:tcPr>
            <w:tcW w:w="901" w:type="dxa"/>
            <w:vMerge w:val="restart"/>
            <w:tcBorders>
              <w:top w:val="single" w:sz="4" w:space="0" w:color="auto"/>
              <w:left w:val="single" w:sz="4" w:space="0" w:color="auto"/>
              <w:bottom w:val="single" w:sz="4" w:space="0" w:color="auto"/>
              <w:right w:val="single" w:sz="4" w:space="0" w:color="auto"/>
            </w:tcBorders>
            <w:hideMark/>
          </w:tcPr>
          <w:p w14:paraId="72E996A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0646133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196</w:t>
            </w:r>
          </w:p>
        </w:tc>
        <w:tc>
          <w:tcPr>
            <w:tcW w:w="630" w:type="dxa"/>
            <w:vMerge w:val="restart"/>
            <w:tcBorders>
              <w:top w:val="single" w:sz="4" w:space="0" w:color="auto"/>
              <w:left w:val="single" w:sz="4" w:space="0" w:color="auto"/>
              <w:bottom w:val="single" w:sz="4" w:space="0" w:color="auto"/>
              <w:right w:val="single" w:sz="4" w:space="0" w:color="auto"/>
            </w:tcBorders>
          </w:tcPr>
          <w:p w14:paraId="495CBB0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75</w:t>
            </w:r>
          </w:p>
        </w:tc>
        <w:tc>
          <w:tcPr>
            <w:tcW w:w="1260" w:type="dxa"/>
            <w:tcBorders>
              <w:top w:val="single" w:sz="4" w:space="0" w:color="auto"/>
              <w:left w:val="single" w:sz="4" w:space="0" w:color="auto"/>
              <w:bottom w:val="nil"/>
              <w:right w:val="single" w:sz="4" w:space="0" w:color="auto"/>
            </w:tcBorders>
            <w:hideMark/>
          </w:tcPr>
          <w:p w14:paraId="05804B19"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25CDB71B"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Km,Mfxh,Pto,Cfz,Z,E,Hh</w:t>
            </w:r>
            <w:proofErr w:type="spellEnd"/>
          </w:p>
        </w:tc>
        <w:tc>
          <w:tcPr>
            <w:tcW w:w="1289" w:type="dxa"/>
            <w:tcBorders>
              <w:top w:val="single" w:sz="4" w:space="0" w:color="auto"/>
              <w:left w:val="single" w:sz="4" w:space="0" w:color="auto"/>
              <w:bottom w:val="nil"/>
              <w:right w:val="single" w:sz="4" w:space="0" w:color="auto"/>
            </w:tcBorders>
            <w:hideMark/>
          </w:tcPr>
          <w:p w14:paraId="5FF6430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5Mfxh,Cfz,E,Z</w:t>
            </w:r>
          </w:p>
        </w:tc>
        <w:tc>
          <w:tcPr>
            <w:tcW w:w="1321" w:type="dxa"/>
            <w:gridSpan w:val="2"/>
            <w:vMerge w:val="restart"/>
            <w:tcBorders>
              <w:top w:val="single" w:sz="4" w:space="0" w:color="auto"/>
              <w:left w:val="single" w:sz="4" w:space="0" w:color="auto"/>
              <w:bottom w:val="single" w:sz="4" w:space="0" w:color="auto"/>
              <w:right w:val="single" w:sz="4" w:space="0" w:color="auto"/>
            </w:tcBorders>
            <w:hideMark/>
          </w:tcPr>
          <w:p w14:paraId="0577251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6Km,Lfx,Cs,Pto,Z</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46D59A66"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18Lfx,Pto,Cs,Z</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0B910EC1" w14:textId="77777777" w:rsidR="008027DF" w:rsidRPr="009817DD"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r>
      <w:tr w:rsidR="008027DF" w14:paraId="1F3F61C3"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44781AA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4EA2DB7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58C98465"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45E90AA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184B95F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26C42B8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EC58505"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0A8D018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5E7FB94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64F2FB6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21" w:type="dxa"/>
            <w:gridSpan w:val="2"/>
            <w:vMerge/>
            <w:tcBorders>
              <w:top w:val="single" w:sz="4" w:space="0" w:color="auto"/>
              <w:left w:val="single" w:sz="4" w:space="0" w:color="auto"/>
              <w:bottom w:val="single" w:sz="4" w:space="0" w:color="auto"/>
              <w:right w:val="single" w:sz="4" w:space="0" w:color="auto"/>
            </w:tcBorders>
            <w:vAlign w:val="center"/>
            <w:hideMark/>
          </w:tcPr>
          <w:p w14:paraId="58A49EB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3E6A116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62A4901"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7F0A6558" w14:textId="77777777" w:rsidTr="008547D7">
        <w:trPr>
          <w:trHeight w:val="228"/>
        </w:trPr>
        <w:tc>
          <w:tcPr>
            <w:tcW w:w="996" w:type="dxa"/>
            <w:vMerge w:val="restart"/>
            <w:tcBorders>
              <w:top w:val="single" w:sz="4" w:space="0" w:color="auto"/>
              <w:left w:val="single" w:sz="4" w:space="0" w:color="auto"/>
              <w:bottom w:val="single" w:sz="4" w:space="0" w:color="auto"/>
              <w:right w:val="single" w:sz="4" w:space="0" w:color="auto"/>
            </w:tcBorders>
            <w:hideMark/>
          </w:tcPr>
          <w:p w14:paraId="5D964AB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Mleoh,L.,2023</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{"citationID":"0b3zWYyO","properties":{"formattedCitation":"(27)","plainCitation":"(27)","noteIndex":0},"citationItems":[{"id":1,"uris":["http://zotero.org/users/9809337/items/T6VMYEHZ"],"itemData":{"id":1,"type":"article-journal","abstract":"Abstract\n            \n              Objective\n              In 2018, shorter treatment regimens (STR) for people with drug‐resistant tuberculosis (DR‐TB) were introduced in Tanzania and included kanamycin, high‐dose moxifloxacin, prothionamide, high‐dose isoniazid, clofazimine, ethambutol and pyrazinamide. We describe treatment outcomes of people diagnosed with DR‐TB in a cohort initiating treatment in 2018 in Tanzania.\n            \n            \n              Methods\n              This was a retrospective cohort study conducted at the National Centre of Excellence and decentralised DR‐TB treatment sites for the 2018 cohort followed from January 2018 to August 2020. We reviewed data from the National Tuberculosis and Leprosy Program DR‐TB database to assess clinical and demographic information. The association between different DR‐TB regimens and treatment outcome was assessed using logistic regression analysis. Treatment outcomes were described as treatment complete, cure, death, failure or lost to follow‐up. A successful treatment outcome was assigned when the patient achieved treatment completion or cure.\n            \n            \n              Results\n              \n                A total of 449 people were diagnosed with DR‐TB of whom 382 had final treatment outcomes: 268 (70%) cured; 36 (9%) treatment completed; 16 (4%) lost to follow‐up; 62 (16%) died. There was no treatment failure. The treatment success rate was 79% (304 patients). The 2018 DR‐TB treatment cohort was initiated on the following regimens: 140 (46%) received STR, 90 (30%) received the standard longer regimen (SLR), 74 (24%) received a new drug regimen. Normal nutritional status at baseline [adjusted odds ratio (aOR) = 6.57, 95% CI (3.33–12.94),\n                p\n                 &lt; 0.001] and the STR [aOR = 2.67, 95% CI (1.38–5.18),\n                p\n                 = 0.004] were independently associated with successful DR‐TB treatment outcome.\n              \n            \n            \n              Conclusion\n              The majority of DR‐TB patients on STR in Tanzania achieved a better treatment outcome than on SLR. The acceptance and implementation of STR at decentralised sites promises greater treatment success. Assessing and improving nutritional status at baseline and introducing new shorter DR‐TB treatment regimens may strengthen favourable treatment outcomes.","container-title":"Tropical Medicine &amp; International Health","DOI":"10.1111/tmi.13867","ISSN":"1360-2276, 1365-3156","issue":"5","journalAbbreviation":"Tropical Med Int Health","language":"en","page":"357-366","source":"DOI.org (Crossref)","title":"Shorter regimens improved treatment outcomes of multidrug‐resistant tuberculosis patients in Tanzania in 2018 cohort","volume":"28","author":[{"family":"Mleoh","given":"Liberate"},{"family":"Mziray","given":"Shabani Ramadhani"},{"family":"Tsere","given":"Donatus"},{"family":"Koppelaar","given":"Inge"},{"family":"Mulder","given":"Christiaan"},{"family":"Lyakurwa","given":"Dennis"}],"issued":{"date-parts":[["2023",5]]}}}],"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(27)</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69BDE06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345745B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131A0C9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927" w:type="dxa"/>
            <w:vMerge w:val="restart"/>
            <w:tcBorders>
              <w:top w:val="single" w:sz="4" w:space="0" w:color="auto"/>
              <w:left w:val="single" w:sz="4" w:space="0" w:color="auto"/>
              <w:bottom w:val="single" w:sz="4" w:space="0" w:color="auto"/>
              <w:right w:val="single" w:sz="4" w:space="0" w:color="auto"/>
            </w:tcBorders>
            <w:hideMark/>
          </w:tcPr>
          <w:p w14:paraId="6962D766"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901" w:type="dxa"/>
            <w:vMerge w:val="restart"/>
            <w:tcBorders>
              <w:top w:val="single" w:sz="4" w:space="0" w:color="auto"/>
              <w:left w:val="single" w:sz="4" w:space="0" w:color="auto"/>
              <w:bottom w:val="single" w:sz="4" w:space="0" w:color="auto"/>
              <w:right w:val="single" w:sz="4" w:space="0" w:color="auto"/>
            </w:tcBorders>
            <w:hideMark/>
          </w:tcPr>
          <w:p w14:paraId="0FEE414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424AA60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140</w:t>
            </w:r>
          </w:p>
        </w:tc>
        <w:tc>
          <w:tcPr>
            <w:tcW w:w="630" w:type="dxa"/>
            <w:vMerge w:val="restart"/>
            <w:tcBorders>
              <w:top w:val="single" w:sz="4" w:space="0" w:color="auto"/>
              <w:left w:val="single" w:sz="4" w:space="0" w:color="auto"/>
              <w:bottom w:val="single" w:sz="4" w:space="0" w:color="auto"/>
              <w:right w:val="single" w:sz="4" w:space="0" w:color="auto"/>
            </w:tcBorders>
          </w:tcPr>
          <w:p w14:paraId="44D0D3C1"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90</w:t>
            </w:r>
          </w:p>
        </w:tc>
        <w:tc>
          <w:tcPr>
            <w:tcW w:w="1260" w:type="dxa"/>
            <w:tcBorders>
              <w:top w:val="single" w:sz="4" w:space="0" w:color="auto"/>
              <w:left w:val="single" w:sz="4" w:space="0" w:color="auto"/>
              <w:bottom w:val="nil"/>
              <w:right w:val="single" w:sz="4" w:space="0" w:color="auto"/>
            </w:tcBorders>
            <w:hideMark/>
          </w:tcPr>
          <w:p w14:paraId="1A58723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4E21D542"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Km,Mfxh,Pto,Cfz,Z,E,Hh</w:t>
            </w:r>
            <w:proofErr w:type="spellEnd"/>
          </w:p>
        </w:tc>
        <w:tc>
          <w:tcPr>
            <w:tcW w:w="1289" w:type="dxa"/>
            <w:tcBorders>
              <w:top w:val="single" w:sz="4" w:space="0" w:color="auto"/>
              <w:left w:val="single" w:sz="4" w:space="0" w:color="auto"/>
              <w:bottom w:val="nil"/>
              <w:right w:val="single" w:sz="4" w:space="0" w:color="auto"/>
            </w:tcBorders>
            <w:hideMark/>
          </w:tcPr>
          <w:p w14:paraId="02FF30C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5Mfxh,Cfz,E,Z</w:t>
            </w:r>
          </w:p>
        </w:tc>
        <w:tc>
          <w:tcPr>
            <w:tcW w:w="2941" w:type="dxa"/>
            <w:gridSpan w:val="3"/>
            <w:vMerge w:val="restart"/>
            <w:tcBorders>
              <w:top w:val="single" w:sz="4" w:space="0" w:color="auto"/>
              <w:left w:val="single" w:sz="4" w:space="0" w:color="auto"/>
              <w:bottom w:val="single" w:sz="4" w:space="0" w:color="auto"/>
              <w:right w:val="single" w:sz="4" w:space="0" w:color="auto"/>
            </w:tcBorders>
            <w:hideMark/>
          </w:tcPr>
          <w:p w14:paraId="12FFEA9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7ED651BB"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r>
      <w:tr w:rsidR="008027DF" w14:paraId="19E3E1C7"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4CDEEF4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1F8D8E6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149D77B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7807517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4BCD5131"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1EB0B485"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C0A257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2C4CF7B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1FC7F01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5452563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2941" w:type="dxa"/>
            <w:gridSpan w:val="3"/>
            <w:vMerge/>
            <w:tcBorders>
              <w:top w:val="nil"/>
              <w:left w:val="single" w:sz="4" w:space="0" w:color="auto"/>
              <w:bottom w:val="single" w:sz="4" w:space="0" w:color="auto"/>
              <w:right w:val="single" w:sz="4" w:space="0" w:color="auto"/>
            </w:tcBorders>
            <w:vAlign w:val="center"/>
            <w:hideMark/>
          </w:tcPr>
          <w:p w14:paraId="75C1FD6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E234391"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7FD1F0F7" w14:textId="77777777" w:rsidTr="008547D7">
        <w:trPr>
          <w:trHeight w:val="665"/>
        </w:trPr>
        <w:tc>
          <w:tcPr>
            <w:tcW w:w="996" w:type="dxa"/>
            <w:tcBorders>
              <w:top w:val="single" w:sz="4" w:space="0" w:color="auto"/>
              <w:left w:val="single" w:sz="4" w:space="0" w:color="auto"/>
              <w:bottom w:val="single" w:sz="4" w:space="0" w:color="auto"/>
              <w:right w:val="single" w:sz="4" w:space="0" w:color="auto"/>
            </w:tcBorders>
            <w:hideMark/>
          </w:tcPr>
          <w:p w14:paraId="5659497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Mok,J.,2018</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{"citationID":"pMU0iXcJ","properties":{"formattedCitation":"(23)","plainCitation":"(23)","noteIndex":0},"citationItems":[{"id":2,"uris":["http://zotero.org/users/9809337/items/BHZPQIXR"],"itemData":{"id":2,"type":"article-journal","container-title":"The Lancet","DOI":"10.1016/S0140-6736(22)01883-9","ISSN":"01406736","issue":"10362","journalAbbreviation":"The Lancet","language":"en","page":"1522-1530","source":"DOI.org (Crossref)","title":"9 months of delamanid, linezolid, levofloxacin, and pyrazinamide versus conventional therapy for treatment of fluoroquinolone-sensitive multidrug-resistant tuberculosis (MDR-END): a multicentre, randomised, open-label phase 2/3 non-inferiority trial in South Korea","title-short":"9 months of delamanid, linezolid, levofloxacin, and pyrazinamide versus conventional therapy for treatment of fluoroquinolone-sensitive multidrug-resistant tuberculosis (MDR-END)","volume":"400","author":[{"family":"Mok","given":"Jeongha"},{"family":"Lee","given":"Myungsun"},{"family":"Kim","given":"Deog Kyeom"},{"family":"Kim","given":"Ju Sang"},{"family":"Jhun","given":"Byung Woo"},{"family":"Jo","given":"Kyung-Wook"},{"family":"Jeon","given":"Doosoo"},{"family":"Lee","given":"Taehoon"},{"family":"Lee","given":"Ji Yeon"},{"family":"Park","given":"Jae Seuk"},{"family":"Lee","given":"Seung Heon"},{"family":"Kang","given":"Young Ae"},{"family":"Lee","given":"Jung-Kyu"},{"family":"Kwak","given":"Nakwon"},{"family":"Ahn","given":"Joong Hyun"},{"family":"Shim","given":"Tae Sun"},{"family":"Kim","given":"Song Yee"},{"family":"Kim","given":"Seungmo"},{"family":"Kim","given":"Kyungjong"},{"family":"Seok","given":"Kwang-Hyuk"},{"family":"Yoon","given":"Soyeong"},{"family":"Kim","given":"Young Ran"},{"family":"Kim","given":"Jisu"},{"family":"Yim","given":"Dahae"},{"family":"Hahn","given":"Seokyung"},{"family":"Cho","given":"Sang Nae"},{"family":"Yim","given":"Jae-Joon"}],"issued":{"date-parts":[["2022",10]]}}}],"schema":"https://github.com/citation-style-language/schema/raw/master/csl-citation.json"}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(23)</w:t>
            </w:r>
            <w:r>
              <w:rPr>
                <w:rFonts w:ascii="Times New Roman" w:eastAsia="Calibri" w:hAnsi="Times New Roman" w:cs="Times New Roman"/>
                <w:sz w:val="18"/>
                <w:szCs w:val="18"/>
                <w:lang w:val="en-US"/>
              </w:rPr>
              <w:fldChar w:fldCharType="end"/>
            </w:r>
          </w:p>
        </w:tc>
        <w:tc>
          <w:tcPr>
            <w:tcW w:w="1345" w:type="dxa"/>
            <w:tcBorders>
              <w:top w:val="single" w:sz="4" w:space="0" w:color="auto"/>
              <w:left w:val="single" w:sz="4" w:space="0" w:color="auto"/>
              <w:bottom w:val="single" w:sz="4" w:space="0" w:color="auto"/>
              <w:right w:val="single" w:sz="4" w:space="0" w:color="auto"/>
            </w:tcBorders>
            <w:hideMark/>
          </w:tcPr>
          <w:p w14:paraId="3A6325BB"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75</w:t>
            </w:r>
          </w:p>
        </w:tc>
        <w:tc>
          <w:tcPr>
            <w:tcW w:w="1129" w:type="dxa"/>
            <w:tcBorders>
              <w:top w:val="single" w:sz="4" w:space="0" w:color="auto"/>
              <w:left w:val="single" w:sz="4" w:space="0" w:color="auto"/>
              <w:bottom w:val="single" w:sz="4" w:space="0" w:color="auto"/>
              <w:right w:val="single" w:sz="4" w:space="0" w:color="auto"/>
            </w:tcBorders>
            <w:hideMark/>
          </w:tcPr>
          <w:p w14:paraId="08AB3AD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86</w:t>
            </w:r>
          </w:p>
        </w:tc>
        <w:tc>
          <w:tcPr>
            <w:tcW w:w="1020" w:type="dxa"/>
            <w:tcBorders>
              <w:top w:val="single" w:sz="4" w:space="0" w:color="auto"/>
              <w:left w:val="single" w:sz="4" w:space="0" w:color="auto"/>
              <w:bottom w:val="single" w:sz="4" w:space="0" w:color="auto"/>
              <w:right w:val="single" w:sz="4" w:space="0" w:color="auto"/>
            </w:tcBorders>
            <w:hideMark/>
          </w:tcPr>
          <w:p w14:paraId="2BFC537F"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101</w:t>
            </w:r>
          </w:p>
        </w:tc>
        <w:tc>
          <w:tcPr>
            <w:tcW w:w="927" w:type="dxa"/>
            <w:tcBorders>
              <w:top w:val="single" w:sz="4" w:space="0" w:color="auto"/>
              <w:left w:val="single" w:sz="4" w:space="0" w:color="auto"/>
              <w:bottom w:val="single" w:sz="4" w:space="0" w:color="auto"/>
              <w:right w:val="single" w:sz="4" w:space="0" w:color="auto"/>
            </w:tcBorders>
            <w:hideMark/>
          </w:tcPr>
          <w:p w14:paraId="0A1BF460" w14:textId="77777777" w:rsidR="008027DF" w:rsidRPr="00FD622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0</w:t>
            </w:r>
          </w:p>
        </w:tc>
        <w:tc>
          <w:tcPr>
            <w:tcW w:w="901" w:type="dxa"/>
            <w:tcBorders>
              <w:top w:val="single" w:sz="4" w:space="0" w:color="auto"/>
              <w:left w:val="single" w:sz="4" w:space="0" w:color="auto"/>
              <w:bottom w:val="single" w:sz="4" w:space="0" w:color="auto"/>
              <w:right w:val="single" w:sz="4" w:space="0" w:color="auto"/>
            </w:tcBorders>
            <w:hideMark/>
          </w:tcPr>
          <w:p w14:paraId="6D7AB40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33</w:t>
            </w:r>
          </w:p>
        </w:tc>
        <w:tc>
          <w:tcPr>
            <w:tcW w:w="720" w:type="dxa"/>
            <w:tcBorders>
              <w:top w:val="single" w:sz="4" w:space="0" w:color="auto"/>
              <w:left w:val="single" w:sz="4" w:space="0" w:color="auto"/>
              <w:bottom w:val="single" w:sz="4" w:space="0" w:color="auto"/>
              <w:right w:val="single" w:sz="4" w:space="0" w:color="auto"/>
            </w:tcBorders>
            <w:hideMark/>
          </w:tcPr>
          <w:p w14:paraId="175A6B3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79</w:t>
            </w:r>
          </w:p>
        </w:tc>
        <w:tc>
          <w:tcPr>
            <w:tcW w:w="630" w:type="dxa"/>
            <w:tcBorders>
              <w:top w:val="single" w:sz="4" w:space="0" w:color="auto"/>
              <w:left w:val="single" w:sz="4" w:space="0" w:color="auto"/>
              <w:bottom w:val="single" w:sz="4" w:space="0" w:color="auto"/>
              <w:right w:val="single" w:sz="4" w:space="0" w:color="auto"/>
            </w:tcBorders>
          </w:tcPr>
          <w:p w14:paraId="02D090B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89</w:t>
            </w:r>
          </w:p>
        </w:tc>
        <w:tc>
          <w:tcPr>
            <w:tcW w:w="1260" w:type="dxa"/>
            <w:tcBorders>
              <w:top w:val="single" w:sz="4" w:space="0" w:color="auto"/>
              <w:left w:val="single" w:sz="4" w:space="0" w:color="auto"/>
              <w:bottom w:val="single" w:sz="4" w:space="0" w:color="auto"/>
              <w:right w:val="single" w:sz="4" w:space="0" w:color="auto"/>
            </w:tcBorders>
          </w:tcPr>
          <w:p w14:paraId="164CDE5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6Dlm,Lzd,Lfx,Z</w:t>
            </w:r>
          </w:p>
          <w:p w14:paraId="1DF9FD2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single" w:sz="4" w:space="0" w:color="auto"/>
              <w:left w:val="single" w:sz="4" w:space="0" w:color="auto"/>
              <w:bottom w:val="single" w:sz="4" w:space="0" w:color="auto"/>
              <w:right w:val="single" w:sz="4" w:space="0" w:color="auto"/>
            </w:tcBorders>
          </w:tcPr>
          <w:p w14:paraId="1A72B531"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3Dlm,Lzd,Lfx,Z</w:t>
            </w:r>
          </w:p>
          <w:p w14:paraId="3D9DC65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2941" w:type="dxa"/>
            <w:gridSpan w:val="3"/>
            <w:tcBorders>
              <w:top w:val="single" w:sz="4" w:space="0" w:color="auto"/>
              <w:left w:val="single" w:sz="4" w:space="0" w:color="auto"/>
              <w:bottom w:val="single" w:sz="4" w:space="0" w:color="auto"/>
              <w:right w:val="single" w:sz="4" w:space="0" w:color="auto"/>
            </w:tcBorders>
            <w:hideMark/>
          </w:tcPr>
          <w:p w14:paraId="68CF7BA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w:t>
            </w:r>
          </w:p>
        </w:tc>
        <w:tc>
          <w:tcPr>
            <w:tcW w:w="1692" w:type="dxa"/>
            <w:tcBorders>
              <w:top w:val="single" w:sz="4" w:space="0" w:color="auto"/>
              <w:left w:val="single" w:sz="4" w:space="0" w:color="auto"/>
              <w:bottom w:val="single" w:sz="4" w:space="0" w:color="auto"/>
              <w:right w:val="single" w:sz="4" w:space="0" w:color="auto"/>
            </w:tcBorders>
            <w:hideMark/>
          </w:tcPr>
          <w:p w14:paraId="7AC8AE41"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11*</w:t>
            </w:r>
          </w:p>
        </w:tc>
      </w:tr>
      <w:tr w:rsidR="008027DF" w14:paraId="02F9FE55" w14:textId="77777777" w:rsidTr="008547D7">
        <w:trPr>
          <w:trHeight w:val="800"/>
        </w:trPr>
        <w:tc>
          <w:tcPr>
            <w:tcW w:w="996" w:type="dxa"/>
            <w:tcBorders>
              <w:top w:val="single" w:sz="4" w:space="0" w:color="auto"/>
              <w:left w:val="single" w:sz="4" w:space="0" w:color="auto"/>
              <w:bottom w:val="single" w:sz="4" w:space="0" w:color="auto"/>
              <w:right w:val="single" w:sz="4" w:space="0" w:color="auto"/>
            </w:tcBorders>
            <w:hideMark/>
          </w:tcPr>
          <w:p w14:paraId="34162F97"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Myemb,D.T,2020</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{"citationID":"IQKTDNBa","properties":{"formattedCitation":"(28)","plainCitation":"(28)","noteIndex":0},"citationItems":[{"id":24,"uris":["http://zotero.org/users/9809337/items/PM59PZAB"],"itemData":{"id":24,"type":"article-journal","abstract":"Abstract\n            \n              Background\n              In Tanzania more than 28% of all multi-drug resistant tuberculosis (MDR-TB) cases occur in Dar es Salaam. However, information about management and clinical outcomes of patients with MDR-TB in the region is scarce, and hence the need for this study.\n            \n            \n              Methods\n              A 5-year retrospective cohort study was conducted in six centres in Dar es Salaam. Descriptive statistics were used to summarize social demographics and clinical characteristics. Associations between occurrence of adverse events, regimen change and cure were determined using the Chi-square test whereas factors associated with mortality were determined using the Log-ranking test and Cox regression model.\n            \n            \n              Results\n              Three-hundred patient files were found and reviewed. The majority were male 199 (66.3%), aged 25–44 years [176 (58.7%)] and 89 (30.1%) were HIV co-infected. 186 (62%) completed their treatment, 68 (22.0%) were on treatment and 9 (3.3%) were lost to follow-up. The majority, 152 (51.0%) were managed using long MDR-TB regimens. The overall mortality rate was 5.7 per 1000 MDR-TB patients. A higher mortality rate was associated with being ≥45 years [adjusted hazard ratio (AHR): 10.82, 95% CI: 1.14–102.74, P = 0.038), female (AHR: 5.92, 95% CI: 1.75–20.08, P = 0.004), on a short anti-TB regimen (AHR: 4.34, 95% CI: 1.41–13.35, P = 0.010), HIV co-infected [crude hazard ratio (CHR): 2.56, 95% CI: 1.01–6.50, P = 0.048), on concomitant long-term medication use (CHR: 2.99, 95% CI: 1.17–7.64, P = 0.022) and having other co-morbidities (CHR: 3.45, 95% CI: 1.32–9.02, P = 0.011).\n            \n            \n              Conclusions\n              MDR-TB mortality was associated with short anti-TB regimens, sex, age, concomitant long-term medication use and HIV coinfection. In this population, use of long and individualized regimens is recommended.","container-title":"JAC-Antimicrobial Resistance","DOI":"10.1093/jacamr/dlaa108","ISSN":"2632-1823","issue":"4","language":"en","page":"dlaa108","source":"DOI.org (Crossref)","title":"Clinical characteristics and treatment outcomes of patients with MDR tuberculosis in Dar Es Salaam region, Tanzania","volume":"2","author":[{"family":"Myemba","given":"David T"},{"family":"Bwire","given":"George M"},{"family":"Sambayi","given":"Godfrey"},{"family":"Maganda","given":"Betty A"},{"family":"Njiro","given":"Belinda J"},{"family":"Ndumwa","given":"Harrieth P"},{"family":"Majani","given":"Frank"},{"family":"Kunambi","given":"Peter P"},{"family":"Matee","given":"Mecky I N"}],"issued":{"date-parts":[["2020",10,16]]}}}],"schema":"https://github.com/citation-style-language/schema/raw/master/csl-citation.json"}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(28)</w:t>
            </w:r>
            <w:r>
              <w:rPr>
                <w:rFonts w:ascii="Times New Roman" w:eastAsia="Calibri" w:hAnsi="Times New Roman" w:cs="Times New Roman"/>
                <w:sz w:val="18"/>
                <w:szCs w:val="18"/>
                <w:lang w:val="en-US"/>
              </w:rPr>
              <w:fldChar w:fldCharType="end"/>
            </w:r>
          </w:p>
        </w:tc>
        <w:tc>
          <w:tcPr>
            <w:tcW w:w="1345" w:type="dxa"/>
            <w:tcBorders>
              <w:top w:val="single" w:sz="4" w:space="0" w:color="auto"/>
              <w:left w:val="single" w:sz="4" w:space="0" w:color="auto"/>
              <w:bottom w:val="single" w:sz="4" w:space="0" w:color="auto"/>
              <w:right w:val="single" w:sz="4" w:space="0" w:color="auto"/>
            </w:tcBorders>
            <w:hideMark/>
          </w:tcPr>
          <w:p w14:paraId="522C711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129" w:type="dxa"/>
            <w:tcBorders>
              <w:top w:val="single" w:sz="4" w:space="0" w:color="auto"/>
              <w:left w:val="single" w:sz="4" w:space="0" w:color="auto"/>
              <w:bottom w:val="single" w:sz="4" w:space="0" w:color="auto"/>
              <w:right w:val="single" w:sz="4" w:space="0" w:color="auto"/>
            </w:tcBorders>
            <w:hideMark/>
          </w:tcPr>
          <w:p w14:paraId="0DFAA8B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020" w:type="dxa"/>
            <w:tcBorders>
              <w:top w:val="single" w:sz="4" w:space="0" w:color="auto"/>
              <w:left w:val="single" w:sz="4" w:space="0" w:color="auto"/>
              <w:bottom w:val="single" w:sz="4" w:space="0" w:color="auto"/>
              <w:right w:val="single" w:sz="4" w:space="0" w:color="auto"/>
            </w:tcBorders>
            <w:hideMark/>
          </w:tcPr>
          <w:p w14:paraId="6428356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 NA</w:t>
            </w:r>
          </w:p>
        </w:tc>
        <w:tc>
          <w:tcPr>
            <w:tcW w:w="927" w:type="dxa"/>
            <w:tcBorders>
              <w:top w:val="single" w:sz="4" w:space="0" w:color="auto"/>
              <w:left w:val="single" w:sz="4" w:space="0" w:color="auto"/>
              <w:bottom w:val="single" w:sz="4" w:space="0" w:color="auto"/>
              <w:right w:val="single" w:sz="4" w:space="0" w:color="auto"/>
            </w:tcBorders>
            <w:hideMark/>
          </w:tcPr>
          <w:p w14:paraId="7595629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901" w:type="dxa"/>
            <w:tcBorders>
              <w:top w:val="single" w:sz="4" w:space="0" w:color="auto"/>
              <w:left w:val="single" w:sz="4" w:space="0" w:color="auto"/>
              <w:bottom w:val="single" w:sz="4" w:space="0" w:color="auto"/>
              <w:right w:val="single" w:sz="4" w:space="0" w:color="auto"/>
            </w:tcBorders>
            <w:hideMark/>
          </w:tcPr>
          <w:p w14:paraId="7EF53C0F"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tcBorders>
              <w:top w:val="single" w:sz="4" w:space="0" w:color="auto"/>
              <w:left w:val="single" w:sz="4" w:space="0" w:color="auto"/>
              <w:bottom w:val="single" w:sz="4" w:space="0" w:color="auto"/>
              <w:right w:val="single" w:sz="4" w:space="0" w:color="auto"/>
            </w:tcBorders>
            <w:hideMark/>
          </w:tcPr>
          <w:p w14:paraId="210E049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84</w:t>
            </w:r>
          </w:p>
        </w:tc>
        <w:tc>
          <w:tcPr>
            <w:tcW w:w="630" w:type="dxa"/>
            <w:tcBorders>
              <w:top w:val="single" w:sz="4" w:space="0" w:color="auto"/>
              <w:left w:val="single" w:sz="4" w:space="0" w:color="auto"/>
              <w:bottom w:val="single" w:sz="4" w:space="0" w:color="auto"/>
              <w:right w:val="single" w:sz="4" w:space="0" w:color="auto"/>
            </w:tcBorders>
          </w:tcPr>
          <w:p w14:paraId="31D3A39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152</w:t>
            </w:r>
          </w:p>
        </w:tc>
        <w:tc>
          <w:tcPr>
            <w:tcW w:w="1260" w:type="dxa"/>
            <w:tcBorders>
              <w:top w:val="single" w:sz="4" w:space="0" w:color="auto"/>
              <w:left w:val="single" w:sz="4" w:space="0" w:color="auto"/>
              <w:bottom w:val="single" w:sz="4" w:space="0" w:color="auto"/>
              <w:right w:val="single" w:sz="4" w:space="0" w:color="auto"/>
            </w:tcBorders>
          </w:tcPr>
          <w:p w14:paraId="1F36FC2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1B73E4B2"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Km,Mfx,Pto,Cfz,Z,E,H</w:t>
            </w:r>
            <w:proofErr w:type="spellEnd"/>
          </w:p>
          <w:p w14:paraId="48193E8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single" w:sz="4" w:space="0" w:color="auto"/>
              <w:left w:val="single" w:sz="4" w:space="0" w:color="auto"/>
              <w:bottom w:val="single" w:sz="4" w:space="0" w:color="auto"/>
              <w:right w:val="single" w:sz="4" w:space="0" w:color="auto"/>
            </w:tcBorders>
            <w:hideMark/>
          </w:tcPr>
          <w:p w14:paraId="0B81A8C7"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5Mfx,Cfz,PZA</w:t>
            </w:r>
          </w:p>
        </w:tc>
        <w:tc>
          <w:tcPr>
            <w:tcW w:w="1321" w:type="dxa"/>
            <w:gridSpan w:val="2"/>
            <w:tcBorders>
              <w:top w:val="single" w:sz="4" w:space="0" w:color="auto"/>
              <w:left w:val="single" w:sz="4" w:space="0" w:color="auto"/>
              <w:bottom w:val="single" w:sz="4" w:space="0" w:color="auto"/>
              <w:right w:val="single" w:sz="4" w:space="0" w:color="auto"/>
            </w:tcBorders>
            <w:hideMark/>
          </w:tcPr>
          <w:p w14:paraId="08348FF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8Km/</w:t>
            </w:r>
            <w:proofErr w:type="spellStart"/>
            <w:r>
              <w:rPr>
                <w:rFonts w:ascii="Times New Roman" w:eastAsia="Calibri" w:hAnsi="Times New Roman" w:cs="Times New Roman"/>
                <w:sz w:val="18"/>
                <w:szCs w:val="18"/>
                <w:lang w:val="en-US"/>
              </w:rPr>
              <w:t>Cm,Cs,Lfx,Eto,PZA,+_E</w:t>
            </w:r>
            <w:proofErr w:type="spellEnd"/>
            <w:r>
              <w:rPr>
                <w:rFonts w:ascii="Times New Roman" w:eastAsia="Calibri" w:hAnsi="Times New Roman" w:cs="Times New Roman"/>
                <w:sz w:val="18"/>
                <w:szCs w:val="18"/>
                <w:lang w:val="en-US"/>
              </w:rPr>
              <w:t xml:space="preserve"> </w:t>
            </w:r>
          </w:p>
        </w:tc>
        <w:tc>
          <w:tcPr>
            <w:tcW w:w="1620" w:type="dxa"/>
            <w:tcBorders>
              <w:top w:val="single" w:sz="4" w:space="0" w:color="auto"/>
              <w:left w:val="single" w:sz="4" w:space="0" w:color="auto"/>
              <w:bottom w:val="single" w:sz="4" w:space="0" w:color="auto"/>
              <w:right w:val="single" w:sz="4" w:space="0" w:color="auto"/>
            </w:tcBorders>
            <w:hideMark/>
          </w:tcPr>
          <w:p w14:paraId="6382EC7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12Cs,Eto,PZA,Lfx,+_E </w:t>
            </w:r>
          </w:p>
        </w:tc>
        <w:tc>
          <w:tcPr>
            <w:tcW w:w="1692" w:type="dxa"/>
            <w:tcBorders>
              <w:top w:val="single" w:sz="4" w:space="0" w:color="auto"/>
              <w:left w:val="single" w:sz="4" w:space="0" w:color="auto"/>
              <w:bottom w:val="single" w:sz="4" w:space="0" w:color="auto"/>
              <w:right w:val="single" w:sz="4" w:space="0" w:color="auto"/>
            </w:tcBorders>
            <w:hideMark/>
          </w:tcPr>
          <w:p w14:paraId="30B74C61" w14:textId="77777777" w:rsidR="008027DF" w:rsidRDefault="008027DF" w:rsidP="008547D7">
            <w:pPr>
              <w:spacing w:after="0" w:line="240" w:lineRule="auto"/>
              <w:contextualSpacing/>
              <w:rPr>
                <w:rFonts w:ascii="Times New Roman" w:eastAsia="Calibri" w:hAnsi="Times New Roman" w:cs="Times New Roman"/>
                <w:sz w:val="18"/>
                <w:szCs w:val="18"/>
                <w:lang w:val="en-US"/>
              </w:rPr>
            </w:pPr>
          </w:p>
        </w:tc>
      </w:tr>
      <w:tr w:rsidR="008027DF" w14:paraId="5EC4F79F" w14:textId="77777777" w:rsidTr="008547D7">
        <w:trPr>
          <w:trHeight w:val="302"/>
        </w:trPr>
        <w:tc>
          <w:tcPr>
            <w:tcW w:w="996" w:type="dxa"/>
            <w:vMerge w:val="restart"/>
            <w:tcBorders>
              <w:top w:val="single" w:sz="4" w:space="0" w:color="auto"/>
              <w:left w:val="single" w:sz="4" w:space="0" w:color="auto"/>
              <w:bottom w:val="single" w:sz="4" w:space="0" w:color="auto"/>
              <w:right w:val="single" w:sz="4" w:space="0" w:color="auto"/>
            </w:tcBorders>
            <w:hideMark/>
          </w:tcPr>
          <w:p w14:paraId="4B9EB53B"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Nunn,A.J</w:t>
            </w:r>
            <w:proofErr w:type="spellEnd"/>
            <w:r>
              <w:rPr>
                <w:rFonts w:ascii="Times New Roman" w:eastAsia="Calibri" w:hAnsi="Times New Roman" w:cs="Times New Roman"/>
                <w:sz w:val="18"/>
                <w:szCs w:val="18"/>
                <w:lang w:val="en-US"/>
              </w:rPr>
              <w:t>., 2019</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Xnbi7bR2","properties":{"formattedCitation":"(22)","plainCitation":"(22)","noteIndex":0},"citationItems":[{"id":"xfH4ATt7/k6JJK0Uh","uris":["http://zotero.org/users/local/uLUSC9Bl/items/IMM4B8N3"],"itemData":{"id":"xfH4ATt7/k6JJK0Uh","type":"article-journal","container-title":"New England Journal of Medicine","DOI":"10.1056/NEJMoa1811867","ISSN":"0028-4793, 1533-4406","issue":"13","journalAbbreviation":"N Engl J Med","language":"en","page":"1201-1213","source":"DOI.org (Crossref)","title":"A Trial of a Shorter Regimen for Rifampin-Resistant Tuberculosis","volume":"380","author":[{"family":"Nunn","given":"Andrew J."},{"family":"Phillips","given":"Patrick P.J."},{"family":"Meredith","given":"Sarah K."},{"family":"Chiang","given":"Chen-Yuan"},{"family":"Conradie","given":"Francesca"},{"family":"Dalai","given":"Doljinsuren"},{"family":"Van Deun","given":"Armand"},{"family":"Dat","given":"Phan-Thuong"},{"family":"Lan","given":"Ngoc"},{"family":"Master","given":"Iqbal"},{"family":"Mebrahtu","given":"Tesfamarium"},{"family":"Meressa","given":"Daniel"},{"family":"Moodliar","given":"Ronelle"},{"family":"Ngubane","given":"Nosipho"},{"family":"Sanders","given":"Karen"},{"family":"Squire","given":"Stephen Bertel"},{"family":"Torrea","given":"Gabriela"},{"family":"Tsogt","given":"Bazarragchaa"},{"family":"Rusen","given":"I.D."}],"issued":{"date-parts":[["2019",3,28]]}}}],"schema":"https://github.com/citation-style-language/schema/raw/master/csl-citation.json"}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(22)</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229B74A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349</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40D7CBF7"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281</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31B8A8A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372</w:t>
            </w:r>
          </w:p>
        </w:tc>
        <w:tc>
          <w:tcPr>
            <w:tcW w:w="927" w:type="dxa"/>
            <w:vMerge w:val="restart"/>
            <w:tcBorders>
              <w:top w:val="single" w:sz="4" w:space="0" w:color="auto"/>
              <w:left w:val="single" w:sz="4" w:space="0" w:color="auto"/>
              <w:bottom w:val="single" w:sz="4" w:space="0" w:color="auto"/>
              <w:right w:val="single" w:sz="4" w:space="0" w:color="auto"/>
            </w:tcBorders>
            <w:hideMark/>
          </w:tcPr>
          <w:p w14:paraId="142A29E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125</w:t>
            </w:r>
          </w:p>
        </w:tc>
        <w:tc>
          <w:tcPr>
            <w:tcW w:w="901" w:type="dxa"/>
            <w:vMerge w:val="restart"/>
            <w:tcBorders>
              <w:top w:val="single" w:sz="4" w:space="0" w:color="auto"/>
              <w:left w:val="single" w:sz="4" w:space="0" w:color="auto"/>
              <w:bottom w:val="single" w:sz="4" w:space="0" w:color="auto"/>
              <w:right w:val="single" w:sz="4" w:space="0" w:color="auto"/>
            </w:tcBorders>
            <w:hideMark/>
          </w:tcPr>
          <w:p w14:paraId="3095DDE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006ECB1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282</w:t>
            </w:r>
          </w:p>
        </w:tc>
        <w:tc>
          <w:tcPr>
            <w:tcW w:w="630" w:type="dxa"/>
            <w:vMerge w:val="restart"/>
            <w:tcBorders>
              <w:top w:val="single" w:sz="4" w:space="0" w:color="auto"/>
              <w:left w:val="single" w:sz="4" w:space="0" w:color="auto"/>
              <w:bottom w:val="single" w:sz="4" w:space="0" w:color="auto"/>
              <w:right w:val="single" w:sz="4" w:space="0" w:color="auto"/>
            </w:tcBorders>
          </w:tcPr>
          <w:p w14:paraId="3572524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142</w:t>
            </w:r>
          </w:p>
        </w:tc>
        <w:tc>
          <w:tcPr>
            <w:tcW w:w="1260" w:type="dxa"/>
            <w:tcBorders>
              <w:top w:val="single" w:sz="4" w:space="0" w:color="auto"/>
              <w:left w:val="single" w:sz="4" w:space="0" w:color="auto"/>
              <w:bottom w:val="nil"/>
              <w:right w:val="single" w:sz="4" w:space="0" w:color="auto"/>
            </w:tcBorders>
          </w:tcPr>
          <w:p w14:paraId="7DCC341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5-6</w:t>
            </w:r>
          </w:p>
          <w:p w14:paraId="1DF7D6D6"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Km </w:t>
            </w:r>
          </w:p>
          <w:p w14:paraId="47F9A04A"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Mxf</w:t>
            </w:r>
            <w:proofErr w:type="spellEnd"/>
            <w:r>
              <w:rPr>
                <w:rFonts w:ascii="Times New Roman" w:eastAsia="Calibri" w:hAnsi="Times New Roman" w:cs="Times New Roman"/>
                <w:sz w:val="18"/>
                <w:szCs w:val="18"/>
                <w:lang w:val="en-US"/>
              </w:rPr>
              <w:t xml:space="preserve">, </w:t>
            </w:r>
            <w:proofErr w:type="spellStart"/>
            <w:r>
              <w:rPr>
                <w:rFonts w:ascii="Times New Roman" w:eastAsia="Calibri" w:hAnsi="Times New Roman" w:cs="Times New Roman"/>
                <w:sz w:val="18"/>
                <w:szCs w:val="18"/>
                <w:lang w:val="en-US"/>
              </w:rPr>
              <w:t>Pto</w:t>
            </w:r>
            <w:proofErr w:type="spellEnd"/>
            <w:r>
              <w:rPr>
                <w:rFonts w:ascii="Times New Roman" w:eastAsia="Calibri" w:hAnsi="Times New Roman" w:cs="Times New Roman"/>
                <w:sz w:val="18"/>
                <w:szCs w:val="18"/>
                <w:lang w:val="en-US"/>
              </w:rPr>
              <w:t xml:space="preserve"> </w:t>
            </w:r>
            <w:proofErr w:type="spellStart"/>
            <w:r>
              <w:rPr>
                <w:rFonts w:ascii="Times New Roman" w:eastAsia="Calibri" w:hAnsi="Times New Roman" w:cs="Times New Roman"/>
                <w:sz w:val="18"/>
                <w:szCs w:val="18"/>
                <w:lang w:val="en-US"/>
              </w:rPr>
              <w:t>Cfz,E,Z,H</w:t>
            </w:r>
            <w:proofErr w:type="spellEnd"/>
          </w:p>
        </w:tc>
        <w:tc>
          <w:tcPr>
            <w:tcW w:w="1289" w:type="dxa"/>
            <w:tcBorders>
              <w:top w:val="single" w:sz="4" w:space="0" w:color="auto"/>
              <w:left w:val="single" w:sz="4" w:space="0" w:color="auto"/>
              <w:bottom w:val="nil"/>
              <w:right w:val="single" w:sz="4" w:space="0" w:color="auto"/>
            </w:tcBorders>
            <w:hideMark/>
          </w:tcPr>
          <w:p w14:paraId="4E871AD6"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301D696C"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KmMxfPtoCfzEZH</w:t>
            </w:r>
            <w:proofErr w:type="spellEnd"/>
            <w:r>
              <w:rPr>
                <w:rFonts w:ascii="Times New Roman" w:eastAsia="Calibri" w:hAnsi="Times New Roman" w:cs="Times New Roman"/>
                <w:sz w:val="18"/>
                <w:szCs w:val="18"/>
                <w:lang w:val="en-US"/>
              </w:rPr>
              <w:t xml:space="preserve"> </w:t>
            </w:r>
          </w:p>
        </w:tc>
        <w:tc>
          <w:tcPr>
            <w:tcW w:w="2941" w:type="dxa"/>
            <w:gridSpan w:val="3"/>
            <w:vMerge w:val="restart"/>
            <w:tcBorders>
              <w:top w:val="single" w:sz="4" w:space="0" w:color="auto"/>
              <w:left w:val="single" w:sz="4" w:space="0" w:color="auto"/>
              <w:bottom w:val="single" w:sz="4" w:space="0" w:color="auto"/>
              <w:right w:val="single" w:sz="4" w:space="0" w:color="auto"/>
            </w:tcBorders>
            <w:hideMark/>
          </w:tcPr>
          <w:p w14:paraId="73621A5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 with local modification</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159A6297" w14:textId="77777777" w:rsidR="008027DF" w:rsidRPr="009817DD"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0</w:t>
            </w:r>
          </w:p>
        </w:tc>
      </w:tr>
      <w:tr w:rsidR="008027DF" w14:paraId="0A524AC2"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455C748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06EEB90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0F3E246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5E0766D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5D016E1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1AE971B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8BBB7D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2488AED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hideMark/>
          </w:tcPr>
          <w:p w14:paraId="2AA7372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 </w:t>
            </w:r>
          </w:p>
        </w:tc>
        <w:tc>
          <w:tcPr>
            <w:tcW w:w="1289" w:type="dxa"/>
            <w:tcBorders>
              <w:top w:val="nil"/>
              <w:left w:val="single" w:sz="4" w:space="0" w:color="auto"/>
              <w:bottom w:val="single" w:sz="4" w:space="0" w:color="auto"/>
              <w:right w:val="single" w:sz="4" w:space="0" w:color="auto"/>
            </w:tcBorders>
          </w:tcPr>
          <w:p w14:paraId="6BFAD77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2941" w:type="dxa"/>
            <w:gridSpan w:val="3"/>
            <w:vMerge/>
            <w:tcBorders>
              <w:top w:val="nil"/>
              <w:left w:val="single" w:sz="4" w:space="0" w:color="auto"/>
              <w:bottom w:val="single" w:sz="4" w:space="0" w:color="auto"/>
              <w:right w:val="single" w:sz="4" w:space="0" w:color="auto"/>
            </w:tcBorders>
            <w:vAlign w:val="center"/>
            <w:hideMark/>
          </w:tcPr>
          <w:p w14:paraId="1128A7FB"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FC1010D"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7B3FD8BB" w14:textId="77777777" w:rsidTr="008547D7">
        <w:trPr>
          <w:trHeight w:val="215"/>
        </w:trPr>
        <w:tc>
          <w:tcPr>
            <w:tcW w:w="996" w:type="dxa"/>
            <w:vMerge w:val="restart"/>
            <w:tcBorders>
              <w:top w:val="single" w:sz="4" w:space="0" w:color="auto"/>
              <w:left w:val="single" w:sz="4" w:space="0" w:color="auto"/>
              <w:right w:val="single" w:sz="4" w:space="0" w:color="auto"/>
            </w:tcBorders>
            <w:hideMark/>
          </w:tcPr>
          <w:p w14:paraId="120AB1B2"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Nyang’wa</w:t>
            </w:r>
            <w:proofErr w:type="spellEnd"/>
            <w:r>
              <w:rPr>
                <w:rFonts w:ascii="Times New Roman" w:eastAsia="Calibri" w:hAnsi="Times New Roman" w:cs="Times New Roman"/>
                <w:sz w:val="18"/>
                <w:szCs w:val="18"/>
                <w:lang w:val="en-US"/>
              </w:rPr>
              <w:t>, 2022</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{"citationID":"ez1r9Vea","properties":{"formattedCitation":"(18)","plainCitation":"(18)","noteIndex":0},"citationItems":[{"id":11,"uris":["http://zotero.org/users/9809337/items/F2PXWB6W"],"itemData":{"id":11,"type":"article-journal","container-title":"New England Journal of Medicine","DOI":"10.1056/NEJMoa2117166","ISSN":"0028-4793, 1533-4406","issue":"25","journalAbbreviation":"N Engl J Med","language":"en","page":"2331-2343","source":"DOI.org (Crossref)","title":"A 24-Week, All-Oral Regimen for Rifampin-Resistant Tuberculosis","volume":"387","author":[{"family":"Nyang’wa","given":"Bern-Thomas"},{"family":"Berry","given":"Catherine"},{"family":"Kazounis","given":"Emil"},{"family":"Motta","given":"Ilaria"},{"family":"Parpieva","given":"Nargiza"},{"family":"Tigay","given":"Zinaida"},{"family":"Solodovnikova","given":"Varvara"},{"family":"Liverko","given":"Irina"},{"family":"Moodliar","given":"Ronelle"},{"family":"Dodd","given":"Matthew"},{"family":"Ngubane","given":"Nosipho"},{"family":"Rassool","given":"Mohammed"},{"family":"McHugh","given":"Timothy D."},{"family":"Spigelman","given":"Melvin"},{"family":"Moore","given":"David A.J."},{"family":"Ritmeijer","given":"Koert"},{"family":"Du Cros","given":"Philipp"},{"family":"Fielding","given":"Katherine"}],"issued":{"date-parts":[["2022",12,22]]}}}],"schema":"https://github.com/citation-style-language/schema/raw/master/csl-citation.json"}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(18)</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right w:val="single" w:sz="4" w:space="0" w:color="auto"/>
            </w:tcBorders>
            <w:hideMark/>
          </w:tcPr>
          <w:p w14:paraId="3F4FBC80" w14:textId="77777777" w:rsidR="008027DF" w:rsidRPr="00F81675" w:rsidRDefault="008027DF" w:rsidP="008547D7">
            <w:pPr>
              <w:spacing w:after="0" w:line="240" w:lineRule="auto"/>
              <w:rPr>
                <w:rFonts w:ascii="Nyala" w:eastAsia="Calibri" w:hAnsi="Nyala" w:cs="Times New Roman"/>
                <w:sz w:val="18"/>
                <w:szCs w:val="18"/>
                <w:lang w:val="en-US"/>
              </w:rPr>
            </w:pPr>
            <w:r>
              <w:rPr>
                <w:rFonts w:ascii="Times New Roman" w:eastAsia="Calibri" w:hAnsi="Times New Roman" w:cs="Times New Roman"/>
                <w:sz w:val="18"/>
                <w:szCs w:val="18"/>
                <w:lang w:val="en-US"/>
              </w:rPr>
              <w:t>NA</w:t>
            </w:r>
          </w:p>
        </w:tc>
        <w:tc>
          <w:tcPr>
            <w:tcW w:w="1129" w:type="dxa"/>
            <w:vMerge w:val="restart"/>
            <w:tcBorders>
              <w:top w:val="single" w:sz="4" w:space="0" w:color="auto"/>
              <w:left w:val="single" w:sz="4" w:space="0" w:color="auto"/>
              <w:right w:val="single" w:sz="4" w:space="0" w:color="auto"/>
            </w:tcBorders>
            <w:hideMark/>
          </w:tcPr>
          <w:p w14:paraId="70FF553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328</w:t>
            </w:r>
          </w:p>
        </w:tc>
        <w:tc>
          <w:tcPr>
            <w:tcW w:w="1020" w:type="dxa"/>
            <w:vMerge w:val="restart"/>
            <w:tcBorders>
              <w:top w:val="single" w:sz="4" w:space="0" w:color="auto"/>
              <w:left w:val="single" w:sz="4" w:space="0" w:color="auto"/>
              <w:right w:val="single" w:sz="4" w:space="0" w:color="auto"/>
            </w:tcBorders>
            <w:hideMark/>
          </w:tcPr>
          <w:p w14:paraId="0E75DDBB" w14:textId="77777777" w:rsidR="008027DF" w:rsidRPr="00FD622F" w:rsidRDefault="008027DF" w:rsidP="008547D7">
            <w:pPr>
              <w:spacing w:after="0" w:line="240" w:lineRule="auto"/>
              <w:rPr>
                <w:rFonts w:ascii="Times New Roman" w:hAnsi="Times New Roman" w:cs="Times New Roman"/>
                <w:sz w:val="18"/>
                <w:szCs w:val="18"/>
                <w:lang w:val="en-US"/>
              </w:rPr>
            </w:pPr>
            <w:r>
              <w:rPr>
                <w:rFonts w:ascii="Times New Roman" w:hAnsi="Times New Roman" w:cs="Times New Roman"/>
                <w:sz w:val="18"/>
                <w:szCs w:val="18"/>
                <w:lang w:val="en-US"/>
              </w:rPr>
              <w:t>350</w:t>
            </w:r>
          </w:p>
        </w:tc>
        <w:tc>
          <w:tcPr>
            <w:tcW w:w="927" w:type="dxa"/>
            <w:vMerge w:val="restart"/>
            <w:tcBorders>
              <w:top w:val="single" w:sz="4" w:space="0" w:color="auto"/>
              <w:left w:val="single" w:sz="4" w:space="0" w:color="auto"/>
              <w:right w:val="single" w:sz="4" w:space="0" w:color="auto"/>
            </w:tcBorders>
            <w:hideMark/>
          </w:tcPr>
          <w:p w14:paraId="5AC7F6DE" w14:textId="77777777" w:rsidR="008027DF" w:rsidRPr="00FD622F" w:rsidRDefault="008027DF" w:rsidP="008547D7">
            <w:pPr>
              <w:spacing w:after="0" w:line="240" w:lineRule="auto"/>
              <w:rPr>
                <w:rFonts w:ascii="Times New Roman" w:hAnsi="Times New Roman" w:cs="Times New Roman"/>
                <w:sz w:val="18"/>
                <w:szCs w:val="18"/>
                <w:lang w:val="en-US"/>
              </w:rPr>
            </w:pPr>
            <w:r>
              <w:rPr>
                <w:rFonts w:ascii="Times New Roman" w:hAnsi="Times New Roman" w:cs="Times New Roman"/>
                <w:sz w:val="18"/>
                <w:szCs w:val="18"/>
                <w:lang w:val="en-US"/>
              </w:rPr>
              <w:t>153</w:t>
            </w:r>
          </w:p>
        </w:tc>
        <w:tc>
          <w:tcPr>
            <w:tcW w:w="901" w:type="dxa"/>
            <w:vMerge w:val="restart"/>
            <w:tcBorders>
              <w:top w:val="single" w:sz="4" w:space="0" w:color="auto"/>
              <w:left w:val="single" w:sz="4" w:space="0" w:color="auto"/>
              <w:right w:val="single" w:sz="4" w:space="0" w:color="auto"/>
            </w:tcBorders>
            <w:hideMark/>
          </w:tcPr>
          <w:p w14:paraId="44569BB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right w:val="single" w:sz="4" w:space="0" w:color="auto"/>
            </w:tcBorders>
            <w:hideMark/>
          </w:tcPr>
          <w:p w14:paraId="49A14327"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152</w:t>
            </w:r>
          </w:p>
        </w:tc>
        <w:tc>
          <w:tcPr>
            <w:tcW w:w="630" w:type="dxa"/>
            <w:tcBorders>
              <w:top w:val="single" w:sz="4" w:space="0" w:color="auto"/>
              <w:left w:val="single" w:sz="4" w:space="0" w:color="auto"/>
              <w:bottom w:val="single" w:sz="4" w:space="0" w:color="auto"/>
              <w:right w:val="single" w:sz="4" w:space="0" w:color="auto"/>
            </w:tcBorders>
          </w:tcPr>
          <w:p w14:paraId="4A9A106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123</w:t>
            </w:r>
          </w:p>
        </w:tc>
        <w:tc>
          <w:tcPr>
            <w:tcW w:w="2549" w:type="dxa"/>
            <w:gridSpan w:val="2"/>
            <w:tcBorders>
              <w:top w:val="single" w:sz="4" w:space="0" w:color="auto"/>
              <w:left w:val="single" w:sz="4" w:space="0" w:color="auto"/>
              <w:bottom w:val="single" w:sz="4" w:space="0" w:color="auto"/>
              <w:right w:val="single" w:sz="4" w:space="0" w:color="auto"/>
            </w:tcBorders>
          </w:tcPr>
          <w:p w14:paraId="1374F699"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6Bdq </w:t>
            </w:r>
            <w:proofErr w:type="spellStart"/>
            <w:r>
              <w:rPr>
                <w:rFonts w:ascii="Times New Roman" w:eastAsia="Calibri" w:hAnsi="Times New Roman" w:cs="Times New Roman"/>
                <w:sz w:val="18"/>
                <w:szCs w:val="18"/>
                <w:lang w:val="en-US"/>
              </w:rPr>
              <w:t>Pa,Lzd</w:t>
            </w:r>
            <w:proofErr w:type="spellEnd"/>
          </w:p>
        </w:tc>
        <w:tc>
          <w:tcPr>
            <w:tcW w:w="2941" w:type="dxa"/>
            <w:gridSpan w:val="3"/>
            <w:vMerge w:val="restart"/>
            <w:tcBorders>
              <w:top w:val="single" w:sz="4" w:space="0" w:color="auto"/>
              <w:left w:val="single" w:sz="4" w:space="0" w:color="auto"/>
              <w:right w:val="single" w:sz="4" w:space="0" w:color="auto"/>
            </w:tcBorders>
          </w:tcPr>
          <w:p w14:paraId="09250CA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   SOC with modification</w:t>
            </w:r>
          </w:p>
          <w:p w14:paraId="6D61FCB6" w14:textId="77777777" w:rsidR="008027DF" w:rsidRDefault="008027DF" w:rsidP="008547D7">
            <w:pPr>
              <w:spacing w:after="0" w:line="240" w:lineRule="auto"/>
              <w:ind w:left="12"/>
              <w:rPr>
                <w:rFonts w:ascii="Times New Roman" w:eastAsia="Calibri" w:hAnsi="Times New Roman" w:cs="Times New Roman"/>
                <w:sz w:val="18"/>
                <w:szCs w:val="18"/>
                <w:lang w:val="en-US"/>
              </w:rPr>
            </w:pPr>
          </w:p>
          <w:p w14:paraId="6328C0D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val="restart"/>
            <w:tcBorders>
              <w:top w:val="single" w:sz="4" w:space="0" w:color="auto"/>
              <w:left w:val="single" w:sz="4" w:space="0" w:color="auto"/>
              <w:right w:val="single" w:sz="4" w:space="0" w:color="auto"/>
            </w:tcBorders>
            <w:hideMark/>
          </w:tcPr>
          <w:p w14:paraId="2D7BA398" w14:textId="77777777" w:rsidR="008027DF" w:rsidRPr="009817DD"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111</w:t>
            </w:r>
          </w:p>
        </w:tc>
      </w:tr>
      <w:tr w:rsidR="008027DF" w14:paraId="62B5AA73" w14:textId="77777777" w:rsidTr="008547D7">
        <w:trPr>
          <w:trHeight w:val="255"/>
        </w:trPr>
        <w:tc>
          <w:tcPr>
            <w:tcW w:w="996" w:type="dxa"/>
            <w:vMerge/>
            <w:tcBorders>
              <w:left w:val="single" w:sz="4" w:space="0" w:color="auto"/>
              <w:right w:val="single" w:sz="4" w:space="0" w:color="auto"/>
            </w:tcBorders>
          </w:tcPr>
          <w:p w14:paraId="5B6A67F5"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left w:val="single" w:sz="4" w:space="0" w:color="auto"/>
              <w:right w:val="single" w:sz="4" w:space="0" w:color="auto"/>
            </w:tcBorders>
          </w:tcPr>
          <w:p w14:paraId="1C22FCB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left w:val="single" w:sz="4" w:space="0" w:color="auto"/>
              <w:right w:val="single" w:sz="4" w:space="0" w:color="auto"/>
            </w:tcBorders>
          </w:tcPr>
          <w:p w14:paraId="0546DD9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left w:val="single" w:sz="4" w:space="0" w:color="auto"/>
              <w:right w:val="single" w:sz="4" w:space="0" w:color="auto"/>
            </w:tcBorders>
          </w:tcPr>
          <w:p w14:paraId="0AAFB829" w14:textId="77777777" w:rsidR="008027DF" w:rsidRDefault="008027DF" w:rsidP="008547D7">
            <w:pPr>
              <w:spacing w:after="0" w:line="240" w:lineRule="auto"/>
              <w:rPr>
                <w:rFonts w:ascii="Times New Roman" w:hAnsi="Times New Roman" w:cs="Times New Roman"/>
                <w:sz w:val="18"/>
                <w:szCs w:val="18"/>
                <w:lang w:val="en-US"/>
              </w:rPr>
            </w:pPr>
          </w:p>
        </w:tc>
        <w:tc>
          <w:tcPr>
            <w:tcW w:w="927" w:type="dxa"/>
            <w:vMerge/>
            <w:tcBorders>
              <w:left w:val="single" w:sz="4" w:space="0" w:color="auto"/>
              <w:right w:val="single" w:sz="4" w:space="0" w:color="auto"/>
            </w:tcBorders>
          </w:tcPr>
          <w:p w14:paraId="1238A941" w14:textId="77777777" w:rsidR="008027DF" w:rsidRDefault="008027DF" w:rsidP="008547D7">
            <w:pPr>
              <w:spacing w:after="0" w:line="240" w:lineRule="auto"/>
              <w:rPr>
                <w:rFonts w:ascii="Times New Roman" w:hAnsi="Times New Roman" w:cs="Times New Roman"/>
                <w:sz w:val="18"/>
                <w:szCs w:val="18"/>
                <w:lang w:val="en-US"/>
              </w:rPr>
            </w:pPr>
          </w:p>
        </w:tc>
        <w:tc>
          <w:tcPr>
            <w:tcW w:w="901" w:type="dxa"/>
            <w:vMerge/>
            <w:tcBorders>
              <w:left w:val="single" w:sz="4" w:space="0" w:color="auto"/>
              <w:right w:val="single" w:sz="4" w:space="0" w:color="auto"/>
            </w:tcBorders>
          </w:tcPr>
          <w:p w14:paraId="22C1EA7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left w:val="single" w:sz="4" w:space="0" w:color="auto"/>
              <w:right w:val="single" w:sz="4" w:space="0" w:color="auto"/>
            </w:tcBorders>
          </w:tcPr>
          <w:p w14:paraId="044CDEDB"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tcBorders>
              <w:top w:val="single" w:sz="4" w:space="0" w:color="auto"/>
              <w:left w:val="single" w:sz="4" w:space="0" w:color="auto"/>
              <w:bottom w:val="single" w:sz="4" w:space="0" w:color="auto"/>
              <w:right w:val="single" w:sz="4" w:space="0" w:color="auto"/>
            </w:tcBorders>
          </w:tcPr>
          <w:p w14:paraId="140E223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151</w:t>
            </w:r>
          </w:p>
        </w:tc>
        <w:tc>
          <w:tcPr>
            <w:tcW w:w="2549" w:type="dxa"/>
            <w:gridSpan w:val="2"/>
            <w:tcBorders>
              <w:top w:val="single" w:sz="4" w:space="0" w:color="auto"/>
              <w:left w:val="single" w:sz="4" w:space="0" w:color="auto"/>
              <w:bottom w:val="single" w:sz="4" w:space="0" w:color="auto"/>
              <w:right w:val="single" w:sz="4" w:space="0" w:color="auto"/>
            </w:tcBorders>
          </w:tcPr>
          <w:p w14:paraId="7D42993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6BdqPa,Lzd,Mfx</w:t>
            </w:r>
          </w:p>
        </w:tc>
        <w:tc>
          <w:tcPr>
            <w:tcW w:w="2941" w:type="dxa"/>
            <w:gridSpan w:val="3"/>
            <w:vMerge/>
            <w:tcBorders>
              <w:left w:val="single" w:sz="4" w:space="0" w:color="auto"/>
              <w:right w:val="single" w:sz="4" w:space="0" w:color="auto"/>
            </w:tcBorders>
          </w:tcPr>
          <w:p w14:paraId="7EFC2CD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left w:val="single" w:sz="4" w:space="0" w:color="auto"/>
              <w:right w:val="single" w:sz="4" w:space="0" w:color="auto"/>
            </w:tcBorders>
          </w:tcPr>
          <w:p w14:paraId="2B5122ED" w14:textId="77777777" w:rsidR="008027DF" w:rsidRDefault="008027DF" w:rsidP="008547D7">
            <w:pPr>
              <w:spacing w:after="0" w:line="240" w:lineRule="auto"/>
              <w:contextualSpacing/>
              <w:rPr>
                <w:rFonts w:ascii="Times New Roman" w:eastAsia="Calibri" w:hAnsi="Times New Roman" w:cs="Times New Roman"/>
                <w:sz w:val="18"/>
                <w:szCs w:val="18"/>
                <w:lang w:val="en-US"/>
              </w:rPr>
            </w:pPr>
          </w:p>
        </w:tc>
      </w:tr>
      <w:tr w:rsidR="008027DF" w14:paraId="7B84BB76" w14:textId="77777777" w:rsidTr="008547D7">
        <w:trPr>
          <w:trHeight w:val="332"/>
        </w:trPr>
        <w:tc>
          <w:tcPr>
            <w:tcW w:w="996" w:type="dxa"/>
            <w:vMerge/>
            <w:tcBorders>
              <w:left w:val="single" w:sz="4" w:space="0" w:color="auto"/>
              <w:bottom w:val="single" w:sz="4" w:space="0" w:color="auto"/>
              <w:right w:val="single" w:sz="4" w:space="0" w:color="auto"/>
            </w:tcBorders>
          </w:tcPr>
          <w:p w14:paraId="6E58DB2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left w:val="single" w:sz="4" w:space="0" w:color="auto"/>
              <w:bottom w:val="single" w:sz="4" w:space="0" w:color="auto"/>
              <w:right w:val="single" w:sz="4" w:space="0" w:color="auto"/>
            </w:tcBorders>
          </w:tcPr>
          <w:p w14:paraId="61DBB3F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left w:val="single" w:sz="4" w:space="0" w:color="auto"/>
              <w:bottom w:val="single" w:sz="4" w:space="0" w:color="auto"/>
              <w:right w:val="single" w:sz="4" w:space="0" w:color="auto"/>
            </w:tcBorders>
          </w:tcPr>
          <w:p w14:paraId="4494EED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left w:val="single" w:sz="4" w:space="0" w:color="auto"/>
              <w:bottom w:val="single" w:sz="4" w:space="0" w:color="auto"/>
              <w:right w:val="single" w:sz="4" w:space="0" w:color="auto"/>
            </w:tcBorders>
          </w:tcPr>
          <w:p w14:paraId="209C7B17" w14:textId="77777777" w:rsidR="008027DF" w:rsidRDefault="008027DF" w:rsidP="008547D7">
            <w:pPr>
              <w:spacing w:after="0" w:line="240" w:lineRule="auto"/>
              <w:rPr>
                <w:rFonts w:ascii="Times New Roman" w:hAnsi="Times New Roman" w:cs="Times New Roman"/>
                <w:sz w:val="18"/>
                <w:szCs w:val="18"/>
                <w:lang w:val="en-US"/>
              </w:rPr>
            </w:pPr>
          </w:p>
        </w:tc>
        <w:tc>
          <w:tcPr>
            <w:tcW w:w="927" w:type="dxa"/>
            <w:vMerge/>
            <w:tcBorders>
              <w:left w:val="single" w:sz="4" w:space="0" w:color="auto"/>
              <w:bottom w:val="single" w:sz="4" w:space="0" w:color="auto"/>
              <w:right w:val="single" w:sz="4" w:space="0" w:color="auto"/>
            </w:tcBorders>
          </w:tcPr>
          <w:p w14:paraId="2E2ADCED" w14:textId="77777777" w:rsidR="008027DF" w:rsidRDefault="008027DF" w:rsidP="008547D7">
            <w:pPr>
              <w:spacing w:after="0" w:line="240" w:lineRule="auto"/>
              <w:rPr>
                <w:rFonts w:ascii="Times New Roman" w:hAnsi="Times New Roman" w:cs="Times New Roman"/>
                <w:sz w:val="18"/>
                <w:szCs w:val="18"/>
                <w:lang w:val="en-US"/>
              </w:rPr>
            </w:pPr>
          </w:p>
        </w:tc>
        <w:tc>
          <w:tcPr>
            <w:tcW w:w="901" w:type="dxa"/>
            <w:vMerge/>
            <w:tcBorders>
              <w:left w:val="single" w:sz="4" w:space="0" w:color="auto"/>
              <w:bottom w:val="single" w:sz="4" w:space="0" w:color="auto"/>
              <w:right w:val="single" w:sz="4" w:space="0" w:color="auto"/>
            </w:tcBorders>
          </w:tcPr>
          <w:p w14:paraId="3D6A331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left w:val="single" w:sz="4" w:space="0" w:color="auto"/>
              <w:bottom w:val="single" w:sz="4" w:space="0" w:color="auto"/>
              <w:right w:val="single" w:sz="4" w:space="0" w:color="auto"/>
            </w:tcBorders>
          </w:tcPr>
          <w:p w14:paraId="2E36954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tcBorders>
              <w:top w:val="single" w:sz="4" w:space="0" w:color="auto"/>
              <w:left w:val="single" w:sz="4" w:space="0" w:color="auto"/>
              <w:bottom w:val="single" w:sz="4" w:space="0" w:color="auto"/>
              <w:right w:val="single" w:sz="4" w:space="0" w:color="auto"/>
            </w:tcBorders>
          </w:tcPr>
          <w:p w14:paraId="7F0AA1A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126</w:t>
            </w:r>
          </w:p>
        </w:tc>
        <w:tc>
          <w:tcPr>
            <w:tcW w:w="2549" w:type="dxa"/>
            <w:gridSpan w:val="2"/>
            <w:tcBorders>
              <w:top w:val="single" w:sz="4" w:space="0" w:color="auto"/>
              <w:left w:val="single" w:sz="4" w:space="0" w:color="auto"/>
              <w:bottom w:val="single" w:sz="4" w:space="0" w:color="auto"/>
              <w:right w:val="single" w:sz="4" w:space="0" w:color="auto"/>
            </w:tcBorders>
          </w:tcPr>
          <w:p w14:paraId="55E89F71"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 xml:space="preserve">6Bdq </w:t>
            </w:r>
            <w:proofErr w:type="spellStart"/>
            <w:r>
              <w:rPr>
                <w:rFonts w:ascii="Times New Roman" w:eastAsia="Calibri" w:hAnsi="Times New Roman" w:cs="Times New Roman"/>
                <w:sz w:val="18"/>
                <w:szCs w:val="18"/>
                <w:lang w:val="en-US"/>
              </w:rPr>
              <w:t>Pa,Lzd,Cfz</w:t>
            </w:r>
            <w:proofErr w:type="spellEnd"/>
          </w:p>
        </w:tc>
        <w:tc>
          <w:tcPr>
            <w:tcW w:w="2941" w:type="dxa"/>
            <w:gridSpan w:val="3"/>
            <w:vMerge/>
            <w:tcBorders>
              <w:left w:val="single" w:sz="4" w:space="0" w:color="auto"/>
              <w:bottom w:val="single" w:sz="4" w:space="0" w:color="auto"/>
              <w:right w:val="single" w:sz="4" w:space="0" w:color="auto"/>
            </w:tcBorders>
          </w:tcPr>
          <w:p w14:paraId="5839A42A"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left w:val="single" w:sz="4" w:space="0" w:color="auto"/>
              <w:bottom w:val="single" w:sz="4" w:space="0" w:color="auto"/>
              <w:right w:val="single" w:sz="4" w:space="0" w:color="auto"/>
            </w:tcBorders>
          </w:tcPr>
          <w:p w14:paraId="365BD199" w14:textId="77777777" w:rsidR="008027DF" w:rsidRDefault="008027DF" w:rsidP="008547D7">
            <w:pPr>
              <w:spacing w:after="0" w:line="240" w:lineRule="auto"/>
              <w:contextualSpacing/>
              <w:rPr>
                <w:rFonts w:ascii="Times New Roman" w:eastAsia="Calibri" w:hAnsi="Times New Roman" w:cs="Times New Roman"/>
                <w:sz w:val="18"/>
                <w:szCs w:val="18"/>
                <w:lang w:val="en-US"/>
              </w:rPr>
            </w:pPr>
          </w:p>
        </w:tc>
      </w:tr>
      <w:tr w:rsidR="008027DF" w14:paraId="3E30C872" w14:textId="77777777" w:rsidTr="008547D7">
        <w:trPr>
          <w:trHeight w:val="227"/>
        </w:trPr>
        <w:tc>
          <w:tcPr>
            <w:tcW w:w="996" w:type="dxa"/>
            <w:vMerge w:val="restart"/>
            <w:tcBorders>
              <w:top w:val="single" w:sz="4" w:space="0" w:color="auto"/>
              <w:left w:val="single" w:sz="4" w:space="0" w:color="auto"/>
              <w:bottom w:val="single" w:sz="4" w:space="0" w:color="auto"/>
              <w:right w:val="single" w:sz="4" w:space="0" w:color="auto"/>
            </w:tcBorders>
            <w:hideMark/>
          </w:tcPr>
          <w:p w14:paraId="2E1898C0"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P.du,Cross</w:t>
            </w:r>
            <w:proofErr w:type="spellEnd"/>
            <w:r>
              <w:rPr>
                <w:rFonts w:ascii="Times New Roman" w:eastAsia="Calibri" w:hAnsi="Times New Roman" w:cs="Times New Roman"/>
                <w:sz w:val="18"/>
                <w:szCs w:val="18"/>
                <w:lang w:val="en-US"/>
              </w:rPr>
              <w:t>, 2017</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{"citationID":"YosWLg05","properties":{"formattedCitation":"(26)","plainCitation":"(26)","noteIndex":0},"citationItems":[{"id":72,"uris":["http://zotero.org/users/9809337/items/7QUHFZAL"],"itemData":{"id":72,"type":"article-journal","title":"Du Cros, P., Khamraev, A., Lister, D., Ronnachit, A., Berry, C., Greig, J., Parpieva, N., Tillyashaykhov, M., Cooke, G., Dietrich, S., Pylypenko, T., Tigay, Z. and Achar, J. (n.d.). Comparing shorter with conventional MDR-TB treatment in Uzbekistan: 2-month culture-conversion rates and treatment outcomes. [online] Available at: https://d1hiluowqo0t4b.cloudfront.net/posters/docs/f1000research-164246.pdf [Accessed 7 Oct. 2023]."}}],"schema":"https://github.com/citation-style-language/schema/raw/master/csl-citation.json"}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(26)</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00A8D366"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67C294C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156</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2ED2238F" w14:textId="77777777" w:rsidR="008027DF" w:rsidRDefault="008027DF" w:rsidP="008547D7">
            <w:pPr>
              <w:spacing w:after="0" w:line="240" w:lineRule="auto"/>
              <w:rPr>
                <w:rFonts w:ascii="Times New Roman" w:eastAsia="Calibri" w:hAnsi="Times New Roman" w:cs="Times New Roman"/>
                <w:sz w:val="18"/>
                <w:szCs w:val="18"/>
                <w:lang w:val="en-GB"/>
              </w:rPr>
            </w:pPr>
            <w:r>
              <w:rPr>
                <w:rFonts w:ascii="Times New Roman" w:eastAsia="Calibri" w:hAnsi="Times New Roman" w:cs="Times New Roman"/>
                <w:sz w:val="18"/>
                <w:szCs w:val="18"/>
                <w:lang w:val="en-GB"/>
              </w:rPr>
              <w:t>173</w:t>
            </w:r>
          </w:p>
        </w:tc>
        <w:tc>
          <w:tcPr>
            <w:tcW w:w="927" w:type="dxa"/>
            <w:vMerge w:val="restart"/>
            <w:tcBorders>
              <w:top w:val="single" w:sz="4" w:space="0" w:color="auto"/>
              <w:left w:val="single" w:sz="4" w:space="0" w:color="auto"/>
              <w:bottom w:val="single" w:sz="4" w:space="0" w:color="auto"/>
              <w:right w:val="single" w:sz="4" w:space="0" w:color="auto"/>
            </w:tcBorders>
          </w:tcPr>
          <w:p w14:paraId="4EAAE9A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GB"/>
              </w:rPr>
              <w:t>0</w:t>
            </w:r>
          </w:p>
          <w:p w14:paraId="0DD2C18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val="restart"/>
            <w:tcBorders>
              <w:top w:val="single" w:sz="4" w:space="0" w:color="auto"/>
              <w:left w:val="single" w:sz="4" w:space="0" w:color="auto"/>
              <w:bottom w:val="single" w:sz="4" w:space="0" w:color="auto"/>
              <w:right w:val="single" w:sz="4" w:space="0" w:color="auto"/>
            </w:tcBorders>
            <w:hideMark/>
          </w:tcPr>
          <w:p w14:paraId="6957164E"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24</w:t>
            </w:r>
          </w:p>
        </w:tc>
        <w:tc>
          <w:tcPr>
            <w:tcW w:w="720" w:type="dxa"/>
            <w:vMerge w:val="restart"/>
            <w:tcBorders>
              <w:top w:val="single" w:sz="4" w:space="0" w:color="auto"/>
              <w:left w:val="single" w:sz="4" w:space="0" w:color="auto"/>
              <w:bottom w:val="single" w:sz="4" w:space="0" w:color="auto"/>
              <w:right w:val="single" w:sz="4" w:space="0" w:color="auto"/>
            </w:tcBorders>
            <w:hideMark/>
          </w:tcPr>
          <w:p w14:paraId="4CFFAC5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102</w:t>
            </w:r>
          </w:p>
        </w:tc>
        <w:tc>
          <w:tcPr>
            <w:tcW w:w="630" w:type="dxa"/>
            <w:vMerge w:val="restart"/>
            <w:tcBorders>
              <w:top w:val="single" w:sz="4" w:space="0" w:color="auto"/>
              <w:left w:val="single" w:sz="4" w:space="0" w:color="auto"/>
              <w:bottom w:val="single" w:sz="4" w:space="0" w:color="auto"/>
              <w:right w:val="single" w:sz="4" w:space="0" w:color="auto"/>
            </w:tcBorders>
          </w:tcPr>
          <w:p w14:paraId="0784598F"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230</w:t>
            </w:r>
          </w:p>
        </w:tc>
        <w:tc>
          <w:tcPr>
            <w:tcW w:w="1260" w:type="dxa"/>
            <w:tcBorders>
              <w:top w:val="single" w:sz="4" w:space="0" w:color="auto"/>
              <w:left w:val="single" w:sz="4" w:space="0" w:color="auto"/>
              <w:bottom w:val="nil"/>
              <w:right w:val="single" w:sz="4" w:space="0" w:color="auto"/>
            </w:tcBorders>
            <w:hideMark/>
          </w:tcPr>
          <w:p w14:paraId="7B6C7A6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0BA05E6B"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Cm,Mfx,Pto,Cfz,Z,E,H</w:t>
            </w:r>
            <w:proofErr w:type="spellEnd"/>
          </w:p>
        </w:tc>
        <w:tc>
          <w:tcPr>
            <w:tcW w:w="1289" w:type="dxa"/>
            <w:tcBorders>
              <w:top w:val="single" w:sz="4" w:space="0" w:color="auto"/>
              <w:left w:val="single" w:sz="4" w:space="0" w:color="auto"/>
              <w:bottom w:val="nil"/>
              <w:right w:val="single" w:sz="4" w:space="0" w:color="auto"/>
            </w:tcBorders>
            <w:hideMark/>
          </w:tcPr>
          <w:p w14:paraId="2252EDB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5MfxPtoCfzZE</w:t>
            </w:r>
          </w:p>
        </w:tc>
        <w:tc>
          <w:tcPr>
            <w:tcW w:w="1231" w:type="dxa"/>
            <w:vMerge w:val="restart"/>
            <w:tcBorders>
              <w:top w:val="single" w:sz="4" w:space="0" w:color="auto"/>
              <w:left w:val="single" w:sz="4" w:space="0" w:color="auto"/>
              <w:bottom w:val="single" w:sz="4" w:space="0" w:color="auto"/>
              <w:right w:val="single" w:sz="4" w:space="0" w:color="auto"/>
            </w:tcBorders>
            <w:hideMark/>
          </w:tcPr>
          <w:p w14:paraId="62772E5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w:t>
            </w:r>
          </w:p>
        </w:tc>
        <w:tc>
          <w:tcPr>
            <w:tcW w:w="1710" w:type="dxa"/>
            <w:gridSpan w:val="2"/>
            <w:vMerge w:val="restart"/>
            <w:tcBorders>
              <w:top w:val="single" w:sz="4" w:space="0" w:color="auto"/>
              <w:left w:val="single" w:sz="4" w:space="0" w:color="auto"/>
              <w:bottom w:val="single" w:sz="4" w:space="0" w:color="auto"/>
              <w:right w:val="single" w:sz="4" w:space="0" w:color="auto"/>
            </w:tcBorders>
          </w:tcPr>
          <w:p w14:paraId="1139D92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val="restart"/>
            <w:tcBorders>
              <w:top w:val="single" w:sz="4" w:space="0" w:color="auto"/>
              <w:left w:val="single" w:sz="4" w:space="0" w:color="auto"/>
              <w:bottom w:val="single" w:sz="4" w:space="0" w:color="auto"/>
              <w:right w:val="single" w:sz="4" w:space="0" w:color="auto"/>
            </w:tcBorders>
            <w:hideMark/>
          </w:tcPr>
          <w:p w14:paraId="734BCE28"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82*</w:t>
            </w:r>
          </w:p>
        </w:tc>
      </w:tr>
      <w:tr w:rsidR="008027DF" w14:paraId="7CAE9BD7"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7086974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76656A48"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2BAB4BE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58BF7F1" w14:textId="77777777" w:rsidR="008027DF" w:rsidRDefault="008027DF" w:rsidP="008547D7">
            <w:pPr>
              <w:spacing w:after="0" w:line="240" w:lineRule="auto"/>
              <w:rPr>
                <w:rFonts w:ascii="Times New Roman" w:eastAsia="Calibri" w:hAnsi="Times New Roman" w:cs="Times New Roman"/>
                <w:sz w:val="18"/>
                <w:szCs w:val="18"/>
                <w:lang w:val="en-GB"/>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45B3D1A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1E7E2213"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7EDEDCB"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2DC87C1C"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7F4DFF35"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6E448791"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31" w:type="dxa"/>
            <w:vMerge/>
            <w:tcBorders>
              <w:top w:val="single" w:sz="4" w:space="0" w:color="auto"/>
              <w:left w:val="single" w:sz="4" w:space="0" w:color="auto"/>
              <w:bottom w:val="single" w:sz="4" w:space="0" w:color="auto"/>
              <w:right w:val="single" w:sz="4" w:space="0" w:color="auto"/>
            </w:tcBorders>
            <w:vAlign w:val="center"/>
            <w:hideMark/>
          </w:tcPr>
          <w:p w14:paraId="5611B47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14:paraId="0046387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0F1F0C6"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5B45B3C3" w14:textId="77777777" w:rsidTr="008547D7">
        <w:trPr>
          <w:trHeight w:val="335"/>
        </w:trPr>
        <w:tc>
          <w:tcPr>
            <w:tcW w:w="996" w:type="dxa"/>
            <w:vMerge w:val="restart"/>
            <w:tcBorders>
              <w:top w:val="single" w:sz="4" w:space="0" w:color="auto"/>
              <w:left w:val="single" w:sz="4" w:space="0" w:color="auto"/>
              <w:bottom w:val="single" w:sz="4" w:space="0" w:color="auto"/>
              <w:right w:val="single" w:sz="4" w:space="0" w:color="auto"/>
            </w:tcBorders>
            <w:hideMark/>
          </w:tcPr>
          <w:p w14:paraId="519D935F"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Wahid,A</w:t>
            </w:r>
            <w:proofErr w:type="spellEnd"/>
            <w:r>
              <w:rPr>
                <w:rFonts w:ascii="Times New Roman" w:eastAsia="Calibri" w:hAnsi="Times New Roman" w:cs="Times New Roman"/>
                <w:sz w:val="18"/>
                <w:szCs w:val="18"/>
                <w:lang w:val="en-US"/>
              </w:rPr>
              <w:t>., 2022</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{"citationID":"c6smQCHG","properties":{"formattedCitation":"(29)","plainCitation":"(29)","noteIndex":0},"citationItems":[{"id":20,"uris":["http://zotero.org/users/9809337/items/XKCHCNAB"],"itemData":{"id":20,"type":"article-journal","abstract":"Objective:\n              To compare the effectiveness of second line injectables containing shorter (duration 9–12 months) and longer treatment regimens (LTR, duration ≥ 20 months) among multidrug-resistant tuberculosis (MDR-TB) patients with no documented resistance and history of treatment with any second-line anti-TB drug (SLD) for ≥ 1 month.\n            \n            \n              Methods:\n              This was an observational cohort study of MDR-TB patients treated at eight PMDT units in Pakistan. Patients’ data from baseline until treatment outcomes were collected from Electronic Nominal Recording and Reporting System. The treatment outcomes of “cured” and “treatment completed” were grouped together as successful, whereas “death,” “treatment failure,” and “lost to follow-up” were collectively grouped as unsuccessful outcomes. Time to sputum culture conversion (SCC) was analyzed using the Kaplan–Meier method and the differences between groups were compared through the log-rank test. Multivariate Cox proportional hazards and binary logistic regression analyses were used to find predictors of time to SCC and unsuccessful treatment outcomes. A\n              p\n              -value &amp;lt; 0.05 was considered statistically significant.\n            \n            \n              Results:\n              A total 701 eligible MDR-TB patients [313 treated with shorter treatment regimen (STR) and 388 treated with LTR at eight centres in Pakistan were evaluated]. Time to achieve SCC was significantly shorter in STR group [mean: 2.03 months, 95% confidence interval (CI):1.79–2.26] than in LTR group (mean: 2.69 months, 95% CI: 2.35–3.03) (\n              p\n              -value&amp;lt;0.001, Log-rank test). Treatment success was higher in STR (83.7%) than in LTR (73.2%) group (\n              p\n              -value &amp;lt;0.001) due to high cure (79.9% vs. 70.9%,\n              p\n              -value = 0.006) and low death (9.9% vs. 18.3%,\n              p\n              -value = 0.002) rates with STR. Treatment with STR emerged the only predictor of early SCC [adjusted Hazards ratio (aHR) = 0.815,\n              p\n              -value = 0.014], whereas, patient’s age of 41–60 (OR = 2.62,\n              p\n              -value&amp;lt;0.001) and &amp;gt;60 years (OR = 5.84,\n              p\n              -value&amp;lt;0.001), baseline body weight of 31–60 (OR = 0.36,\n              p\n              -value = 0.001) and &amp;gt;60 kg (OR = 0.23,\n              p\n              -value &amp;lt;0.001), and treatment with LTR (OR = 1.88,\n              p\n              -value = 0.001) had statistically significant association with unsuccessful treatment outcomes.\n            \n            \n              Conclusion:\n              STR exhibited superior anti-microbial activity against MDR-TB. When compared LTR, treatment with STR resulted in significantly early SCC, high cure, and lower death rates among MDR-TB patients who had no documented resistance and history of treatment with any SLD ≥ 1 month.","container-title":"Frontiers in Pharmacology","DOI":"10.3389/fphar.2022.973713","ISSN":"1663-9812","journalAbbreviation":"Front. Pharmacol.","page":"973713","source":"DOI.org (Crossref)","title":"Comparative effectiveness of individualized longer and standardized shorter regimens in the treatment of multidrug resistant tuberculosis in a high burden country","volume":"13","author":[{"family":"Wahid","given":"Abdul"},{"family":"Ghafoor","given":"Abdul"},{"family":"Khan","given":"Abdul Wali"},{"family":"Al-Worafi","given":"Yaser Mohammed"},{"family":"Latif","given":"Abdullah"},{"family":"Shahwani","given":"Nisar Ahmed"},{"family":"Atif","given":"Muhammad"},{"family":"Saleem","given":"Fahad"},{"family":"Ahmad","given":"Nafees"}],"issued":{"date-parts":[["2022",9,6]]}}}],"schema":"https://github.com/citation-style-language/schema/raw/master/csl-citation.json"}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(29)</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252B7E8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445</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10A2B54D"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646</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4D1208C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633</w:t>
            </w:r>
          </w:p>
        </w:tc>
        <w:tc>
          <w:tcPr>
            <w:tcW w:w="927" w:type="dxa"/>
            <w:vMerge w:val="restart"/>
            <w:tcBorders>
              <w:top w:val="single" w:sz="4" w:space="0" w:color="auto"/>
              <w:left w:val="single" w:sz="4" w:space="0" w:color="auto"/>
              <w:bottom w:val="single" w:sz="4" w:space="0" w:color="auto"/>
              <w:right w:val="single" w:sz="4" w:space="0" w:color="auto"/>
            </w:tcBorders>
            <w:hideMark/>
          </w:tcPr>
          <w:p w14:paraId="47E8019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901" w:type="dxa"/>
            <w:vMerge w:val="restart"/>
            <w:tcBorders>
              <w:top w:val="single" w:sz="4" w:space="0" w:color="auto"/>
              <w:left w:val="single" w:sz="4" w:space="0" w:color="auto"/>
              <w:bottom w:val="single" w:sz="4" w:space="0" w:color="auto"/>
              <w:right w:val="single" w:sz="4" w:space="0" w:color="auto"/>
            </w:tcBorders>
            <w:hideMark/>
          </w:tcPr>
          <w:p w14:paraId="2A92511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4A3D47D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313</w:t>
            </w:r>
          </w:p>
        </w:tc>
        <w:tc>
          <w:tcPr>
            <w:tcW w:w="630" w:type="dxa"/>
            <w:vMerge w:val="restart"/>
            <w:tcBorders>
              <w:top w:val="single" w:sz="4" w:space="0" w:color="auto"/>
              <w:left w:val="single" w:sz="4" w:space="0" w:color="auto"/>
              <w:bottom w:val="single" w:sz="4" w:space="0" w:color="auto"/>
              <w:right w:val="single" w:sz="4" w:space="0" w:color="auto"/>
            </w:tcBorders>
          </w:tcPr>
          <w:p w14:paraId="2BF9688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388</w:t>
            </w:r>
          </w:p>
        </w:tc>
        <w:tc>
          <w:tcPr>
            <w:tcW w:w="1260" w:type="dxa"/>
            <w:tcBorders>
              <w:top w:val="nil"/>
              <w:left w:val="single" w:sz="4" w:space="0" w:color="auto"/>
              <w:bottom w:val="nil"/>
              <w:right w:val="single" w:sz="4" w:space="0" w:color="auto"/>
            </w:tcBorders>
            <w:hideMark/>
          </w:tcPr>
          <w:p w14:paraId="1A2B0A9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w:t>
            </w:r>
          </w:p>
          <w:p w14:paraId="0040E6CC"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Km,Mfx,Pto,Cfz,Z,E,Hh</w:t>
            </w:r>
            <w:proofErr w:type="spellEnd"/>
          </w:p>
        </w:tc>
        <w:tc>
          <w:tcPr>
            <w:tcW w:w="1289" w:type="dxa"/>
            <w:tcBorders>
              <w:top w:val="nil"/>
              <w:left w:val="single" w:sz="4" w:space="0" w:color="auto"/>
              <w:bottom w:val="nil"/>
              <w:right w:val="single" w:sz="4" w:space="0" w:color="auto"/>
            </w:tcBorders>
            <w:hideMark/>
          </w:tcPr>
          <w:p w14:paraId="54E2C13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5Mfx,Cfz,Z,E</w:t>
            </w:r>
          </w:p>
        </w:tc>
        <w:tc>
          <w:tcPr>
            <w:tcW w:w="1231" w:type="dxa"/>
            <w:vMerge w:val="restart"/>
            <w:tcBorders>
              <w:top w:val="single" w:sz="4" w:space="0" w:color="auto"/>
              <w:left w:val="single" w:sz="4" w:space="0" w:color="auto"/>
              <w:bottom w:val="single" w:sz="4" w:space="0" w:color="auto"/>
              <w:right w:val="single" w:sz="4" w:space="0" w:color="auto"/>
            </w:tcBorders>
            <w:hideMark/>
          </w:tcPr>
          <w:p w14:paraId="1A1BB2D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SOC</w:t>
            </w:r>
          </w:p>
        </w:tc>
        <w:tc>
          <w:tcPr>
            <w:tcW w:w="1710" w:type="dxa"/>
            <w:gridSpan w:val="2"/>
            <w:vMerge w:val="restart"/>
            <w:tcBorders>
              <w:top w:val="single" w:sz="4" w:space="0" w:color="auto"/>
              <w:left w:val="single" w:sz="4" w:space="0" w:color="auto"/>
              <w:bottom w:val="single" w:sz="4" w:space="0" w:color="auto"/>
              <w:right w:val="single" w:sz="4" w:space="0" w:color="auto"/>
            </w:tcBorders>
          </w:tcPr>
          <w:p w14:paraId="33A922D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val="restart"/>
            <w:tcBorders>
              <w:top w:val="single" w:sz="4" w:space="0" w:color="auto"/>
              <w:left w:val="single" w:sz="4" w:space="0" w:color="auto"/>
              <w:bottom w:val="single" w:sz="4" w:space="0" w:color="auto"/>
              <w:right w:val="single" w:sz="4" w:space="0" w:color="auto"/>
            </w:tcBorders>
            <w:hideMark/>
          </w:tcPr>
          <w:p w14:paraId="7AA9B305"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0</w:t>
            </w:r>
          </w:p>
        </w:tc>
      </w:tr>
      <w:tr w:rsidR="008027DF" w14:paraId="4707A05E" w14:textId="77777777" w:rsidTr="008547D7">
        <w:trPr>
          <w:trHeight w:val="7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1C0E1DBA"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649732E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1788829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B0696F2"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76D9B5AD"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191BA01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3DA528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799CBE4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0D3CEE0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758477F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31" w:type="dxa"/>
            <w:vMerge/>
            <w:tcBorders>
              <w:top w:val="single" w:sz="4" w:space="0" w:color="auto"/>
              <w:left w:val="single" w:sz="4" w:space="0" w:color="auto"/>
              <w:bottom w:val="single" w:sz="4" w:space="0" w:color="auto"/>
              <w:right w:val="single" w:sz="4" w:space="0" w:color="auto"/>
            </w:tcBorders>
            <w:vAlign w:val="center"/>
            <w:hideMark/>
          </w:tcPr>
          <w:p w14:paraId="75FABDA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14:paraId="2F4BA79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468E436" w14:textId="77777777" w:rsidR="008027DF" w:rsidRDefault="008027DF" w:rsidP="008547D7">
            <w:pPr>
              <w:spacing w:after="0" w:line="240" w:lineRule="auto"/>
              <w:rPr>
                <w:rFonts w:ascii="Times New Roman" w:eastAsia="Calibri" w:hAnsi="Times New Roman" w:cs="Times New Roman"/>
                <w:sz w:val="18"/>
                <w:szCs w:val="18"/>
                <w:lang w:val="en-US"/>
              </w:rPr>
            </w:pPr>
          </w:p>
        </w:tc>
      </w:tr>
      <w:tr w:rsidR="008027DF" w14:paraId="3D59B1A2" w14:textId="77777777" w:rsidTr="008547D7">
        <w:trPr>
          <w:trHeight w:val="645"/>
        </w:trPr>
        <w:tc>
          <w:tcPr>
            <w:tcW w:w="996" w:type="dxa"/>
            <w:vMerge w:val="restart"/>
            <w:tcBorders>
              <w:top w:val="single" w:sz="4" w:space="0" w:color="auto"/>
              <w:left w:val="single" w:sz="4" w:space="0" w:color="auto"/>
              <w:bottom w:val="single" w:sz="4" w:space="0" w:color="auto"/>
              <w:right w:val="single" w:sz="4" w:space="0" w:color="auto"/>
            </w:tcBorders>
            <w:hideMark/>
          </w:tcPr>
          <w:p w14:paraId="0AA00B32"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Zhdanova,E</w:t>
            </w:r>
            <w:proofErr w:type="spellEnd"/>
            <w:r>
              <w:rPr>
                <w:rFonts w:ascii="Times New Roman" w:eastAsia="Calibri" w:hAnsi="Times New Roman" w:cs="Times New Roman"/>
                <w:sz w:val="18"/>
                <w:szCs w:val="18"/>
                <w:lang w:val="en-US"/>
              </w:rPr>
              <w:t>., 2021</w:t>
            </w:r>
            <w:r>
              <w:rPr>
                <w:rFonts w:ascii="Times New Roman" w:eastAsia="Calibri" w:hAnsi="Times New Roman" w:cs="Times New Roman"/>
                <w:sz w:val="18"/>
                <w:szCs w:val="18"/>
                <w:lang w:val="en-US"/>
              </w:rPr>
              <w:fldChar w:fldCharType="begin"/>
            </w:r>
            <w:r>
              <w:rPr>
                <w:rFonts w:ascii="Times New Roman" w:eastAsia="Calibri" w:hAnsi="Times New Roman" w:cs="Times New Roman"/>
                <w:sz w:val="18"/>
                <w:szCs w:val="18"/>
                <w:lang w:val="en-US"/>
              </w:rPr>
              <w:instrText xml:space="preserve"> ADDIN ZOTERO_ITEM CSL_CITATION {"citationID":"SZhVK2OM","properties":{"formattedCitation":"(30)","plainCitation":"(30)","noteIndex":0},"citationItems":[{"id":22,"uris":["http://zotero.org/users/9809337/items/LFYSJRPH"],"itemData":{"id":22,"type":"article-journal","abstract":"Introduction: MDR/RR-TB is a growing problem in Kyrgyzstan. In 2005, the country introduced standard or individualized treatment for 20-24 months. Because of poor treatment outcomes, in 2017 a short treatment with strict eligibility criteria was introduced. The aim of this study was to compare characteristics and treatment outcomes of MDR/RR-TB patients receiving short (9-12 months) treatment in 2017 with those receiving standard or individualized (20-24 months) treatment in 2016/2017. \nMethodology: A comparative cohort study using routine programmatic data. Characteristics, sputum culture conversion and treatment outcomes were compared between those on short treatment with those on standard/individualized treatment using the chi-square test, crude and adjusted risk ratios (RR and aRR). \nResults: The study included 274, 82 and 132 patients on standard, individualized and short treatment, respectively. There were more females, fewer migrants/homeless and unemployed and more new TB patients on short treatment compared with the other two groups. A favorable outcome (cure and treatment completed) was significantly higher in short treatment patients (83%) compared with those on standard (50%) or individualized (59%) treatment (p &lt; 0.001). There was higher 1-month sputum culture conversion with short treatment (35%) compared with the other two groups (19% and 24%, p &lt; 0.05). Short treatment (aRR 1.6, 1.4-1.8), female gender (aRR 1.2, 1.1-1.4), not being homeless (aRR 12.9, 4.5-17.3) and having new TB (aRR 1.3, 1.0-1.5) were independently associated with a favorable outcome. \nConclusions: The treatment success was higher in selected MDR-TB patients given short treatment in Kyrgyzstan: this regimen should be scaled-up to all MDR-TB patients.","container-title":"The Journal of Infection in Developing Countries","DOI":"10.3855/jidc.13757","ISSN":"1972-2680","issue":"09.1","journalAbbreviation":"J Infect Dev Ctries","page":"66S-74S","source":"DOI.org (Crossref)","title":"9-12 months short treatment for patients with MDR-TB increases treatment success in Kyrgyzstan","volume":"15","author":[{"family":"Zhdanova","given":"Elena"},{"family":"Goncharova","given":"Olga"},{"family":"Davtyan","given":"Hayk"},{"family":"Alaverdyan","given":"Sevak"},{"family":"Sargsyan","given":"Aelita"},{"family":"Harries","given":"Anthony D"},{"family":"Maykanaev","given":"Bolot"}],"issued":{"date-parts":[["2021",9,29]]}}}],"schema":"https://github.com/citation-style-language/schema/raw/master/csl-citation.json"} </w:instrText>
            </w:r>
            <w:r>
              <w:rPr>
                <w:rFonts w:ascii="Times New Roman" w:eastAsia="Calibri" w:hAnsi="Times New Roman" w:cs="Times New Roman"/>
                <w:sz w:val="18"/>
                <w:szCs w:val="18"/>
                <w:lang w:val="en-US"/>
              </w:rPr>
              <w:fldChar w:fldCharType="separate"/>
            </w:r>
            <w:r>
              <w:rPr>
                <w:rFonts w:ascii="Times New Roman" w:hAnsi="Times New Roman" w:cs="Times New Roman"/>
                <w:sz w:val="18"/>
              </w:rPr>
              <w:t>(30)</w:t>
            </w:r>
            <w:r>
              <w:rPr>
                <w:rFonts w:ascii="Times New Roman" w:eastAsia="Calibri" w:hAnsi="Times New Roman" w:cs="Times New Roman"/>
                <w:sz w:val="18"/>
                <w:szCs w:val="18"/>
                <w:lang w:val="en-US"/>
              </w:rPr>
              <w:fldChar w:fldCharType="end"/>
            </w:r>
          </w:p>
        </w:tc>
        <w:tc>
          <w:tcPr>
            <w:tcW w:w="1345" w:type="dxa"/>
            <w:vMerge w:val="restart"/>
            <w:tcBorders>
              <w:top w:val="single" w:sz="4" w:space="0" w:color="auto"/>
              <w:left w:val="single" w:sz="4" w:space="0" w:color="auto"/>
              <w:bottom w:val="single" w:sz="4" w:space="0" w:color="auto"/>
              <w:right w:val="single" w:sz="4" w:space="0" w:color="auto"/>
            </w:tcBorders>
            <w:hideMark/>
          </w:tcPr>
          <w:p w14:paraId="38DA36DC"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146</w:t>
            </w:r>
          </w:p>
        </w:tc>
        <w:tc>
          <w:tcPr>
            <w:tcW w:w="1129" w:type="dxa"/>
            <w:vMerge w:val="restart"/>
            <w:tcBorders>
              <w:top w:val="single" w:sz="4" w:space="0" w:color="auto"/>
              <w:left w:val="single" w:sz="4" w:space="0" w:color="auto"/>
              <w:bottom w:val="single" w:sz="4" w:space="0" w:color="auto"/>
              <w:right w:val="single" w:sz="4" w:space="0" w:color="auto"/>
            </w:tcBorders>
            <w:hideMark/>
          </w:tcPr>
          <w:p w14:paraId="26776A85"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1020" w:type="dxa"/>
            <w:vMerge w:val="restart"/>
            <w:tcBorders>
              <w:top w:val="single" w:sz="4" w:space="0" w:color="auto"/>
              <w:left w:val="single" w:sz="4" w:space="0" w:color="auto"/>
              <w:bottom w:val="single" w:sz="4" w:space="0" w:color="auto"/>
              <w:right w:val="single" w:sz="4" w:space="0" w:color="auto"/>
            </w:tcBorders>
            <w:hideMark/>
          </w:tcPr>
          <w:p w14:paraId="4E3E269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238</w:t>
            </w:r>
          </w:p>
        </w:tc>
        <w:tc>
          <w:tcPr>
            <w:tcW w:w="927" w:type="dxa"/>
            <w:vMerge w:val="restart"/>
            <w:tcBorders>
              <w:top w:val="single" w:sz="4" w:space="0" w:color="auto"/>
              <w:left w:val="single" w:sz="4" w:space="0" w:color="auto"/>
              <w:bottom w:val="single" w:sz="4" w:space="0" w:color="auto"/>
              <w:right w:val="single" w:sz="4" w:space="0" w:color="auto"/>
            </w:tcBorders>
            <w:hideMark/>
          </w:tcPr>
          <w:p w14:paraId="415A4FA2"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20</w:t>
            </w:r>
          </w:p>
        </w:tc>
        <w:tc>
          <w:tcPr>
            <w:tcW w:w="901" w:type="dxa"/>
            <w:vMerge w:val="restart"/>
            <w:tcBorders>
              <w:top w:val="single" w:sz="4" w:space="0" w:color="auto"/>
              <w:left w:val="single" w:sz="4" w:space="0" w:color="auto"/>
              <w:bottom w:val="single" w:sz="4" w:space="0" w:color="auto"/>
              <w:right w:val="single" w:sz="4" w:space="0" w:color="auto"/>
            </w:tcBorders>
            <w:hideMark/>
          </w:tcPr>
          <w:p w14:paraId="40ADD437"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NA</w:t>
            </w:r>
          </w:p>
        </w:tc>
        <w:tc>
          <w:tcPr>
            <w:tcW w:w="720" w:type="dxa"/>
            <w:vMerge w:val="restart"/>
            <w:tcBorders>
              <w:top w:val="single" w:sz="4" w:space="0" w:color="auto"/>
              <w:left w:val="single" w:sz="4" w:space="0" w:color="auto"/>
              <w:bottom w:val="single" w:sz="4" w:space="0" w:color="auto"/>
              <w:right w:val="single" w:sz="4" w:space="0" w:color="auto"/>
            </w:tcBorders>
            <w:hideMark/>
          </w:tcPr>
          <w:p w14:paraId="67B31E11"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132</w:t>
            </w:r>
          </w:p>
        </w:tc>
        <w:tc>
          <w:tcPr>
            <w:tcW w:w="630" w:type="dxa"/>
            <w:vMerge w:val="restart"/>
            <w:tcBorders>
              <w:top w:val="single" w:sz="4" w:space="0" w:color="auto"/>
              <w:left w:val="single" w:sz="4" w:space="0" w:color="auto"/>
              <w:bottom w:val="single" w:sz="4" w:space="0" w:color="auto"/>
              <w:right w:val="single" w:sz="4" w:space="0" w:color="auto"/>
            </w:tcBorders>
          </w:tcPr>
          <w:p w14:paraId="5D955514"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274</w:t>
            </w:r>
          </w:p>
        </w:tc>
        <w:tc>
          <w:tcPr>
            <w:tcW w:w="1260" w:type="dxa"/>
            <w:tcBorders>
              <w:top w:val="single" w:sz="4" w:space="0" w:color="auto"/>
              <w:left w:val="single" w:sz="4" w:space="0" w:color="auto"/>
              <w:bottom w:val="nil"/>
              <w:right w:val="single" w:sz="4" w:space="0" w:color="auto"/>
            </w:tcBorders>
            <w:hideMark/>
          </w:tcPr>
          <w:p w14:paraId="44EDD77A"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4-6 Km/</w:t>
            </w:r>
            <w:proofErr w:type="spellStart"/>
            <w:r>
              <w:rPr>
                <w:rFonts w:ascii="Times New Roman" w:eastAsia="Calibri" w:hAnsi="Times New Roman" w:cs="Times New Roman"/>
                <w:sz w:val="18"/>
                <w:szCs w:val="18"/>
                <w:lang w:val="en-US"/>
              </w:rPr>
              <w:t>Cm,Mfx</w:t>
            </w:r>
            <w:proofErr w:type="spellEnd"/>
            <w:r>
              <w:rPr>
                <w:rFonts w:ascii="Times New Roman" w:eastAsia="Calibri" w:hAnsi="Times New Roman" w:cs="Times New Roman"/>
                <w:sz w:val="18"/>
                <w:szCs w:val="18"/>
                <w:lang w:val="en-US"/>
              </w:rPr>
              <w:t>/</w:t>
            </w:r>
            <w:proofErr w:type="spellStart"/>
            <w:r>
              <w:rPr>
                <w:rFonts w:ascii="Times New Roman" w:eastAsia="Calibri" w:hAnsi="Times New Roman" w:cs="Times New Roman"/>
                <w:sz w:val="18"/>
                <w:szCs w:val="18"/>
                <w:lang w:val="en-US"/>
              </w:rPr>
              <w:t>Lfx,Pto,Cfz,Z,E,Hh</w:t>
            </w:r>
            <w:proofErr w:type="spellEnd"/>
          </w:p>
        </w:tc>
        <w:tc>
          <w:tcPr>
            <w:tcW w:w="1289" w:type="dxa"/>
            <w:tcBorders>
              <w:top w:val="single" w:sz="4" w:space="0" w:color="auto"/>
              <w:left w:val="single" w:sz="4" w:space="0" w:color="auto"/>
              <w:bottom w:val="nil"/>
              <w:right w:val="single" w:sz="4" w:space="0" w:color="auto"/>
            </w:tcBorders>
            <w:hideMark/>
          </w:tcPr>
          <w:p w14:paraId="73703CC8"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5-6</w:t>
            </w:r>
          </w:p>
          <w:p w14:paraId="33D8C037" w14:textId="77777777" w:rsidR="008027DF" w:rsidRDefault="008027DF" w:rsidP="008547D7">
            <w:pPr>
              <w:spacing w:after="0" w:line="240" w:lineRule="auto"/>
              <w:rPr>
                <w:rFonts w:ascii="Times New Roman" w:eastAsia="Calibri" w:hAnsi="Times New Roman" w:cs="Times New Roman"/>
                <w:sz w:val="18"/>
                <w:szCs w:val="18"/>
                <w:lang w:val="en-US"/>
              </w:rPr>
            </w:pPr>
            <w:proofErr w:type="spellStart"/>
            <w:r>
              <w:rPr>
                <w:rFonts w:ascii="Times New Roman" w:eastAsia="Calibri" w:hAnsi="Times New Roman" w:cs="Times New Roman"/>
                <w:sz w:val="18"/>
                <w:szCs w:val="18"/>
                <w:lang w:val="en-US"/>
              </w:rPr>
              <w:t>Mfx</w:t>
            </w:r>
            <w:proofErr w:type="spellEnd"/>
            <w:r>
              <w:rPr>
                <w:rFonts w:ascii="Times New Roman" w:eastAsia="Calibri" w:hAnsi="Times New Roman" w:cs="Times New Roman"/>
                <w:sz w:val="18"/>
                <w:szCs w:val="18"/>
                <w:lang w:val="en-US"/>
              </w:rPr>
              <w:t>/</w:t>
            </w:r>
            <w:proofErr w:type="spellStart"/>
            <w:r>
              <w:rPr>
                <w:rFonts w:ascii="Times New Roman" w:eastAsia="Calibri" w:hAnsi="Times New Roman" w:cs="Times New Roman"/>
                <w:sz w:val="18"/>
                <w:szCs w:val="18"/>
                <w:lang w:val="en-US"/>
              </w:rPr>
              <w:t>Lfx,Pto,Cfz,Z,E</w:t>
            </w:r>
            <w:proofErr w:type="spellEnd"/>
          </w:p>
        </w:tc>
        <w:tc>
          <w:tcPr>
            <w:tcW w:w="1231" w:type="dxa"/>
            <w:vMerge w:val="restart"/>
            <w:tcBorders>
              <w:top w:val="single" w:sz="4" w:space="0" w:color="auto"/>
              <w:left w:val="single" w:sz="4" w:space="0" w:color="auto"/>
              <w:bottom w:val="single" w:sz="4" w:space="0" w:color="auto"/>
              <w:right w:val="single" w:sz="4" w:space="0" w:color="auto"/>
            </w:tcBorders>
            <w:hideMark/>
          </w:tcPr>
          <w:p w14:paraId="1D52C5B0"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8Cm/</w:t>
            </w:r>
            <w:proofErr w:type="spellStart"/>
            <w:r>
              <w:rPr>
                <w:rFonts w:ascii="Times New Roman" w:eastAsia="Calibri" w:hAnsi="Times New Roman" w:cs="Times New Roman"/>
                <w:sz w:val="18"/>
                <w:szCs w:val="18"/>
                <w:lang w:val="en-US"/>
              </w:rPr>
              <w:t>Km,Lfx</w:t>
            </w:r>
            <w:proofErr w:type="spellEnd"/>
            <w:r>
              <w:rPr>
                <w:rFonts w:ascii="Times New Roman" w:eastAsia="Calibri" w:hAnsi="Times New Roman" w:cs="Times New Roman"/>
                <w:sz w:val="18"/>
                <w:szCs w:val="18"/>
                <w:lang w:val="en-US"/>
              </w:rPr>
              <w:t>/</w:t>
            </w:r>
            <w:proofErr w:type="spellStart"/>
            <w:r>
              <w:rPr>
                <w:rFonts w:ascii="Times New Roman" w:eastAsia="Calibri" w:hAnsi="Times New Roman" w:cs="Times New Roman"/>
                <w:sz w:val="18"/>
                <w:szCs w:val="18"/>
                <w:lang w:val="en-US"/>
              </w:rPr>
              <w:t>Mfx,Pto,Cs,PZA,PAS</w:t>
            </w:r>
            <w:proofErr w:type="spellEnd"/>
          </w:p>
        </w:tc>
        <w:tc>
          <w:tcPr>
            <w:tcW w:w="1710" w:type="dxa"/>
            <w:gridSpan w:val="2"/>
            <w:vMerge w:val="restart"/>
            <w:tcBorders>
              <w:top w:val="single" w:sz="4" w:space="0" w:color="auto"/>
              <w:left w:val="single" w:sz="4" w:space="0" w:color="auto"/>
              <w:bottom w:val="single" w:sz="4" w:space="0" w:color="auto"/>
              <w:right w:val="single" w:sz="4" w:space="0" w:color="auto"/>
            </w:tcBorders>
            <w:hideMark/>
          </w:tcPr>
          <w:p w14:paraId="0B76C443" w14:textId="77777777" w:rsidR="008027DF" w:rsidRDefault="008027DF" w:rsidP="008547D7">
            <w:pPr>
              <w:spacing w:after="0" w:line="240" w:lineRule="auto"/>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12Lfx/</w:t>
            </w:r>
            <w:proofErr w:type="spellStart"/>
            <w:r>
              <w:rPr>
                <w:rFonts w:ascii="Times New Roman" w:eastAsia="Calibri" w:hAnsi="Times New Roman" w:cs="Times New Roman"/>
                <w:sz w:val="18"/>
                <w:szCs w:val="18"/>
                <w:lang w:val="en-US"/>
              </w:rPr>
              <w:t>Mfx,Pto,Cs,PZA,PAS</w:t>
            </w:r>
            <w:proofErr w:type="spellEnd"/>
          </w:p>
        </w:tc>
        <w:tc>
          <w:tcPr>
            <w:tcW w:w="1692" w:type="dxa"/>
            <w:vMerge w:val="restart"/>
            <w:tcBorders>
              <w:top w:val="single" w:sz="4" w:space="0" w:color="auto"/>
              <w:left w:val="single" w:sz="4" w:space="0" w:color="auto"/>
              <w:bottom w:val="single" w:sz="4" w:space="0" w:color="auto"/>
              <w:right w:val="single" w:sz="4" w:space="0" w:color="auto"/>
            </w:tcBorders>
            <w:hideMark/>
          </w:tcPr>
          <w:p w14:paraId="6653F137" w14:textId="77777777" w:rsidR="008027DF" w:rsidRDefault="008027DF" w:rsidP="008547D7">
            <w:pPr>
              <w:spacing w:after="0" w:line="240" w:lineRule="auto"/>
              <w:contextualSpacing/>
              <w:rPr>
                <w:rFonts w:ascii="Times New Roman" w:eastAsia="Calibri" w:hAnsi="Times New Roman" w:cs="Times New Roman"/>
                <w:sz w:val="18"/>
                <w:szCs w:val="18"/>
                <w:lang w:val="en-US"/>
              </w:rPr>
            </w:pPr>
            <w:r>
              <w:rPr>
                <w:rFonts w:ascii="Times New Roman" w:eastAsia="Calibri" w:hAnsi="Times New Roman" w:cs="Times New Roman"/>
                <w:sz w:val="18"/>
                <w:szCs w:val="18"/>
                <w:lang w:val="en-US"/>
              </w:rPr>
              <w:t>0</w:t>
            </w:r>
          </w:p>
        </w:tc>
      </w:tr>
      <w:tr w:rsidR="008027DF" w14:paraId="29B3C12D" w14:textId="77777777" w:rsidTr="008547D7">
        <w:trPr>
          <w:trHeight w:val="80"/>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350067D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14:paraId="6B9CBB0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76C1165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020" w:type="dxa"/>
            <w:vMerge/>
            <w:tcBorders>
              <w:top w:val="single" w:sz="4" w:space="0" w:color="auto"/>
              <w:left w:val="single" w:sz="4" w:space="0" w:color="auto"/>
              <w:bottom w:val="single" w:sz="4" w:space="0" w:color="auto"/>
              <w:right w:val="single" w:sz="4" w:space="0" w:color="auto"/>
            </w:tcBorders>
            <w:vAlign w:val="center"/>
            <w:hideMark/>
          </w:tcPr>
          <w:p w14:paraId="68843850"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3371545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1DBE64EE"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C32BC94"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630" w:type="dxa"/>
            <w:vMerge/>
            <w:tcBorders>
              <w:top w:val="single" w:sz="4" w:space="0" w:color="auto"/>
              <w:left w:val="single" w:sz="4" w:space="0" w:color="auto"/>
              <w:bottom w:val="single" w:sz="4" w:space="0" w:color="auto"/>
              <w:right w:val="single" w:sz="4" w:space="0" w:color="auto"/>
            </w:tcBorders>
            <w:vAlign w:val="center"/>
          </w:tcPr>
          <w:p w14:paraId="3179437F"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60" w:type="dxa"/>
            <w:tcBorders>
              <w:top w:val="nil"/>
              <w:left w:val="single" w:sz="4" w:space="0" w:color="auto"/>
              <w:bottom w:val="single" w:sz="4" w:space="0" w:color="auto"/>
              <w:right w:val="single" w:sz="4" w:space="0" w:color="auto"/>
            </w:tcBorders>
          </w:tcPr>
          <w:p w14:paraId="141F2ECA"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89" w:type="dxa"/>
            <w:tcBorders>
              <w:top w:val="nil"/>
              <w:left w:val="single" w:sz="4" w:space="0" w:color="auto"/>
              <w:bottom w:val="single" w:sz="4" w:space="0" w:color="auto"/>
              <w:right w:val="single" w:sz="4" w:space="0" w:color="auto"/>
            </w:tcBorders>
          </w:tcPr>
          <w:p w14:paraId="0B52B216"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231" w:type="dxa"/>
            <w:vMerge/>
            <w:tcBorders>
              <w:top w:val="single" w:sz="4" w:space="0" w:color="auto"/>
              <w:left w:val="single" w:sz="4" w:space="0" w:color="auto"/>
              <w:bottom w:val="single" w:sz="4" w:space="0" w:color="auto"/>
              <w:right w:val="single" w:sz="4" w:space="0" w:color="auto"/>
            </w:tcBorders>
            <w:vAlign w:val="center"/>
            <w:hideMark/>
          </w:tcPr>
          <w:p w14:paraId="7E869A07"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710" w:type="dxa"/>
            <w:gridSpan w:val="2"/>
            <w:vMerge/>
            <w:tcBorders>
              <w:top w:val="single" w:sz="4" w:space="0" w:color="auto"/>
              <w:left w:val="single" w:sz="4" w:space="0" w:color="auto"/>
              <w:bottom w:val="single" w:sz="4" w:space="0" w:color="auto"/>
              <w:right w:val="single" w:sz="4" w:space="0" w:color="auto"/>
            </w:tcBorders>
            <w:vAlign w:val="center"/>
            <w:hideMark/>
          </w:tcPr>
          <w:p w14:paraId="0CD00CE9" w14:textId="77777777" w:rsidR="008027DF" w:rsidRDefault="008027DF" w:rsidP="008547D7">
            <w:pPr>
              <w:spacing w:after="0" w:line="240" w:lineRule="auto"/>
              <w:rPr>
                <w:rFonts w:ascii="Times New Roman" w:eastAsia="Calibri" w:hAnsi="Times New Roman" w:cs="Times New Roman"/>
                <w:sz w:val="18"/>
                <w:szCs w:val="18"/>
                <w:lang w:val="en-US"/>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48BFE9E" w14:textId="77777777" w:rsidR="008027DF" w:rsidRDefault="008027DF" w:rsidP="008547D7">
            <w:pPr>
              <w:spacing w:after="0" w:line="240" w:lineRule="auto"/>
              <w:rPr>
                <w:rFonts w:ascii="Times New Roman" w:eastAsia="Calibri" w:hAnsi="Times New Roman" w:cs="Times New Roman"/>
                <w:sz w:val="18"/>
                <w:szCs w:val="18"/>
                <w:lang w:val="en-US"/>
              </w:rPr>
            </w:pPr>
          </w:p>
        </w:tc>
      </w:tr>
    </w:tbl>
    <w:p w14:paraId="78558ED9" w14:textId="77777777" w:rsidR="008027DF" w:rsidRPr="001A0F9E" w:rsidRDefault="008027DF" w:rsidP="00515BEE">
      <w:pPr>
        <w:rPr>
          <w:rFonts w:ascii="Times New Roman" w:hAnsi="Times New Roman" w:cs="Times New Roman"/>
          <w:sz w:val="20"/>
          <w:szCs w:val="20"/>
          <w:lang w:val="en-US"/>
        </w:rPr>
      </w:pPr>
      <w:r w:rsidRPr="001A0F9E">
        <w:rPr>
          <w:rFonts w:ascii="Times New Roman" w:hAnsi="Times New Roman" w:cs="Times New Roman"/>
          <w:sz w:val="20"/>
          <w:szCs w:val="20"/>
          <w:lang w:val="en-US"/>
        </w:rPr>
        <w:t>*Resistance to second line injectable like kanamycin (Km)</w:t>
      </w:r>
    </w:p>
    <w:p w14:paraId="5B1B89FD" w14:textId="3A92CA8A" w:rsidR="008027DF" w:rsidRPr="001A0F9E" w:rsidRDefault="001A0F9E" w:rsidP="00515BEE">
      <w:pPr>
        <w:rPr>
          <w:rFonts w:ascii="Times New Roman" w:hAnsi="Times New Roman" w:cs="Times New Roman"/>
          <w:sz w:val="20"/>
          <w:szCs w:val="20"/>
          <w:lang w:val="en-US"/>
        </w:rPr>
      </w:pPr>
      <w:r w:rsidRPr="001A0F9E">
        <w:rPr>
          <w:rFonts w:ascii="Times New Roman" w:hAnsi="Times New Roman" w:cs="Times New Roman"/>
          <w:b/>
          <w:sz w:val="20"/>
          <w:szCs w:val="20"/>
          <w:lang w:val="en-US"/>
        </w:rPr>
        <w:t>AFB</w:t>
      </w:r>
      <w:r>
        <w:rPr>
          <w:rFonts w:ascii="Times New Roman" w:hAnsi="Times New Roman" w:cs="Times New Roman"/>
          <w:sz w:val="20"/>
          <w:szCs w:val="20"/>
          <w:lang w:val="en-US"/>
        </w:rPr>
        <w:t xml:space="preserve">: Acid- fast bacillus; </w:t>
      </w:r>
      <w:bookmarkStart w:id="0" w:name="_GoBack"/>
      <w:proofErr w:type="spellStart"/>
      <w:r w:rsidR="008027DF" w:rsidRPr="001A0F9E">
        <w:rPr>
          <w:rFonts w:ascii="Times New Roman" w:hAnsi="Times New Roman" w:cs="Times New Roman"/>
          <w:b/>
          <w:sz w:val="20"/>
          <w:szCs w:val="20"/>
          <w:lang w:val="en-US"/>
        </w:rPr>
        <w:t>Bdq</w:t>
      </w:r>
      <w:bookmarkEnd w:id="0"/>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Bedaqu</w:t>
      </w:r>
      <w:r w:rsidRPr="001A0F9E">
        <w:rPr>
          <w:rFonts w:ascii="Times New Roman" w:hAnsi="Times New Roman" w:cs="Times New Roman"/>
          <w:sz w:val="20"/>
          <w:szCs w:val="20"/>
          <w:lang w:val="en-US"/>
        </w:rPr>
        <w:t>iline</w:t>
      </w:r>
      <w:proofErr w:type="spellEnd"/>
      <w:r w:rsidRPr="001A0F9E">
        <w:rPr>
          <w:rFonts w:ascii="Times New Roman" w:hAnsi="Times New Roman" w:cs="Times New Roman"/>
          <w:sz w:val="20"/>
          <w:szCs w:val="20"/>
          <w:lang w:val="en-US"/>
        </w:rPr>
        <w:t xml:space="preserve">; </w:t>
      </w:r>
      <w:proofErr w:type="spellStart"/>
      <w:r w:rsidRPr="001A0F9E">
        <w:rPr>
          <w:rFonts w:ascii="Times New Roman" w:hAnsi="Times New Roman" w:cs="Times New Roman"/>
          <w:b/>
          <w:sz w:val="20"/>
          <w:szCs w:val="20"/>
          <w:lang w:val="en-US"/>
        </w:rPr>
        <w:t>Cfz</w:t>
      </w:r>
      <w:proofErr w:type="spellEnd"/>
      <w:r w:rsidRPr="001A0F9E">
        <w:rPr>
          <w:rFonts w:ascii="Times New Roman" w:hAnsi="Times New Roman" w:cs="Times New Roman"/>
          <w:sz w:val="20"/>
          <w:szCs w:val="20"/>
          <w:lang w:val="en-US"/>
        </w:rPr>
        <w:t xml:space="preserve">: </w:t>
      </w:r>
      <w:proofErr w:type="spellStart"/>
      <w:r w:rsidRPr="001A0F9E">
        <w:rPr>
          <w:rFonts w:ascii="Times New Roman" w:hAnsi="Times New Roman" w:cs="Times New Roman"/>
          <w:sz w:val="20"/>
          <w:szCs w:val="20"/>
          <w:lang w:val="en-US"/>
        </w:rPr>
        <w:t>Clofazimine</w:t>
      </w:r>
      <w:proofErr w:type="spellEnd"/>
      <w:r w:rsidR="008027DF" w:rsidRPr="001A0F9E">
        <w:rPr>
          <w:rFonts w:ascii="Times New Roman" w:hAnsi="Times New Roman" w:cs="Times New Roman"/>
          <w:sz w:val="20"/>
          <w:szCs w:val="20"/>
          <w:lang w:val="en-US"/>
        </w:rPr>
        <w:t xml:space="preserve">; </w:t>
      </w:r>
      <w:r w:rsidR="008027DF" w:rsidRPr="001A0F9E">
        <w:rPr>
          <w:rFonts w:ascii="Times New Roman" w:hAnsi="Times New Roman" w:cs="Times New Roman"/>
          <w:b/>
          <w:sz w:val="20"/>
          <w:szCs w:val="20"/>
          <w:lang w:val="en-US"/>
        </w:rPr>
        <w:t>Cm</w:t>
      </w:r>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Capreomycin</w:t>
      </w:r>
      <w:proofErr w:type="spellEnd"/>
      <w:r w:rsidR="008027DF" w:rsidRPr="001A0F9E">
        <w:rPr>
          <w:rFonts w:ascii="Times New Roman" w:hAnsi="Times New Roman" w:cs="Times New Roman"/>
          <w:sz w:val="20"/>
          <w:szCs w:val="20"/>
          <w:lang w:val="en-US"/>
        </w:rPr>
        <w:t xml:space="preserve">; </w:t>
      </w:r>
      <w:r w:rsidR="008027DF" w:rsidRPr="001A0F9E">
        <w:rPr>
          <w:rFonts w:ascii="Times New Roman" w:hAnsi="Times New Roman" w:cs="Times New Roman"/>
          <w:b/>
          <w:sz w:val="20"/>
          <w:szCs w:val="20"/>
          <w:lang w:val="en-US"/>
        </w:rPr>
        <w:t>Cs</w:t>
      </w:r>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Cycloserine</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b/>
          <w:sz w:val="20"/>
          <w:szCs w:val="20"/>
          <w:lang w:val="en-US"/>
        </w:rPr>
        <w:t>Dlm</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Delamanid</w:t>
      </w:r>
      <w:proofErr w:type="spellEnd"/>
      <w:r w:rsidR="008027DF" w:rsidRPr="001A0F9E">
        <w:rPr>
          <w:rFonts w:ascii="Times New Roman" w:hAnsi="Times New Roman" w:cs="Times New Roman"/>
          <w:sz w:val="20"/>
          <w:szCs w:val="20"/>
          <w:lang w:val="en-US"/>
        </w:rPr>
        <w:t xml:space="preserve">; </w:t>
      </w:r>
      <w:proofErr w:type="spellStart"/>
      <w:proofErr w:type="gramStart"/>
      <w:r w:rsidR="008027DF" w:rsidRPr="001A0F9E">
        <w:rPr>
          <w:rFonts w:ascii="Times New Roman" w:hAnsi="Times New Roman" w:cs="Times New Roman"/>
          <w:b/>
          <w:sz w:val="20"/>
          <w:szCs w:val="20"/>
          <w:lang w:val="en-US"/>
        </w:rPr>
        <w:t>Eto</w:t>
      </w:r>
      <w:proofErr w:type="spellEnd"/>
      <w:proofErr w:type="gram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Ethionamide</w:t>
      </w:r>
      <w:proofErr w:type="spellEnd"/>
      <w:r w:rsidR="008027DF" w:rsidRPr="001A0F9E">
        <w:rPr>
          <w:rFonts w:ascii="Times New Roman" w:hAnsi="Times New Roman" w:cs="Times New Roman"/>
          <w:sz w:val="20"/>
          <w:szCs w:val="20"/>
          <w:lang w:val="en-US"/>
        </w:rPr>
        <w:t xml:space="preserve">; </w:t>
      </w:r>
      <w:r w:rsidR="008027DF" w:rsidRPr="001A0F9E">
        <w:rPr>
          <w:rFonts w:ascii="Times New Roman" w:hAnsi="Times New Roman" w:cs="Times New Roman"/>
          <w:b/>
          <w:sz w:val="20"/>
          <w:szCs w:val="20"/>
          <w:lang w:val="en-US"/>
        </w:rPr>
        <w:t>H</w:t>
      </w:r>
      <w:r w:rsidR="008027DF" w:rsidRPr="001A0F9E">
        <w:rPr>
          <w:rFonts w:ascii="Times New Roman" w:hAnsi="Times New Roman" w:cs="Times New Roman"/>
          <w:sz w:val="20"/>
          <w:szCs w:val="20"/>
          <w:lang w:val="en-US"/>
        </w:rPr>
        <w:t xml:space="preserve">: Isoniazid; </w:t>
      </w:r>
      <w:proofErr w:type="spellStart"/>
      <w:r w:rsidR="008027DF" w:rsidRPr="001A0F9E">
        <w:rPr>
          <w:rFonts w:ascii="Times New Roman" w:hAnsi="Times New Roman" w:cs="Times New Roman"/>
          <w:b/>
          <w:sz w:val="20"/>
          <w:szCs w:val="20"/>
          <w:lang w:val="en-US"/>
        </w:rPr>
        <w:t>Hh</w:t>
      </w:r>
      <w:proofErr w:type="spellEnd"/>
      <w:r w:rsidR="008027DF" w:rsidRPr="001A0F9E">
        <w:rPr>
          <w:rFonts w:ascii="Times New Roman" w:hAnsi="Times New Roman" w:cs="Times New Roman"/>
          <w:sz w:val="20"/>
          <w:szCs w:val="20"/>
          <w:lang w:val="en-US"/>
        </w:rPr>
        <w:t xml:space="preserve">: Isoniazid high does; </w:t>
      </w:r>
      <w:r w:rsidR="008027DF" w:rsidRPr="001A0F9E">
        <w:rPr>
          <w:rFonts w:ascii="Times New Roman" w:hAnsi="Times New Roman" w:cs="Times New Roman"/>
          <w:b/>
          <w:sz w:val="20"/>
          <w:szCs w:val="20"/>
          <w:lang w:val="en-US"/>
        </w:rPr>
        <w:t>km</w:t>
      </w:r>
      <w:r w:rsidR="008027DF" w:rsidRPr="001A0F9E">
        <w:rPr>
          <w:rFonts w:ascii="Times New Roman" w:hAnsi="Times New Roman" w:cs="Times New Roman"/>
          <w:sz w:val="20"/>
          <w:szCs w:val="20"/>
          <w:lang w:val="en-US"/>
        </w:rPr>
        <w:t xml:space="preserve">: Kanamycin; </w:t>
      </w:r>
      <w:proofErr w:type="spellStart"/>
      <w:r w:rsidR="008027DF" w:rsidRPr="001A0F9E">
        <w:rPr>
          <w:rFonts w:ascii="Times New Roman" w:hAnsi="Times New Roman" w:cs="Times New Roman"/>
          <w:b/>
          <w:sz w:val="20"/>
          <w:szCs w:val="20"/>
          <w:lang w:val="en-US"/>
        </w:rPr>
        <w:t>Lfx</w:t>
      </w:r>
      <w:proofErr w:type="spellEnd"/>
      <w:r w:rsidR="008027DF" w:rsidRPr="001A0F9E">
        <w:rPr>
          <w:rFonts w:ascii="Times New Roman" w:hAnsi="Times New Roman" w:cs="Times New Roman"/>
          <w:sz w:val="20"/>
          <w:szCs w:val="20"/>
          <w:lang w:val="en-US"/>
        </w:rPr>
        <w:t xml:space="preserve">: Levofloxacin; </w:t>
      </w:r>
      <w:proofErr w:type="spellStart"/>
      <w:r w:rsidR="008027DF" w:rsidRPr="001A0F9E">
        <w:rPr>
          <w:rFonts w:ascii="Times New Roman" w:hAnsi="Times New Roman" w:cs="Times New Roman"/>
          <w:b/>
          <w:sz w:val="20"/>
          <w:szCs w:val="20"/>
          <w:lang w:val="en-US"/>
        </w:rPr>
        <w:t>Lzd</w:t>
      </w:r>
      <w:proofErr w:type="spellEnd"/>
      <w:r w:rsidR="008027DF" w:rsidRPr="001A0F9E">
        <w:rPr>
          <w:rFonts w:ascii="Times New Roman" w:hAnsi="Times New Roman" w:cs="Times New Roman"/>
          <w:sz w:val="20"/>
          <w:szCs w:val="20"/>
          <w:lang w:val="en-US"/>
        </w:rPr>
        <w:t xml:space="preserve">: Linezolid; </w:t>
      </w:r>
      <w:r w:rsidR="008027DF" w:rsidRPr="001A0F9E">
        <w:rPr>
          <w:rFonts w:ascii="Times New Roman" w:hAnsi="Times New Roman" w:cs="Times New Roman"/>
          <w:b/>
          <w:sz w:val="20"/>
          <w:szCs w:val="20"/>
          <w:lang w:val="en-US"/>
        </w:rPr>
        <w:t>LTF</w:t>
      </w:r>
      <w:r w:rsidR="008027DF" w:rsidRPr="001A0F9E">
        <w:rPr>
          <w:rFonts w:ascii="Times New Roman" w:hAnsi="Times New Roman" w:cs="Times New Roman"/>
          <w:sz w:val="20"/>
          <w:szCs w:val="20"/>
          <w:lang w:val="en-US"/>
        </w:rPr>
        <w:t xml:space="preserve">: Lost to follow up; </w:t>
      </w:r>
      <w:proofErr w:type="spellStart"/>
      <w:r w:rsidR="008027DF" w:rsidRPr="001A0F9E">
        <w:rPr>
          <w:rFonts w:ascii="Times New Roman" w:hAnsi="Times New Roman" w:cs="Times New Roman"/>
          <w:b/>
          <w:sz w:val="20"/>
          <w:szCs w:val="20"/>
          <w:lang w:val="en-US"/>
        </w:rPr>
        <w:t>Mfx</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Moxifloxacin</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b/>
          <w:sz w:val="20"/>
          <w:szCs w:val="20"/>
          <w:lang w:val="en-US"/>
        </w:rPr>
        <w:t>Mfxh</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Moxifloxacin</w:t>
      </w:r>
      <w:proofErr w:type="spellEnd"/>
      <w:r w:rsidR="008027DF" w:rsidRPr="001A0F9E">
        <w:rPr>
          <w:rFonts w:ascii="Times New Roman" w:hAnsi="Times New Roman" w:cs="Times New Roman"/>
          <w:sz w:val="20"/>
          <w:szCs w:val="20"/>
          <w:lang w:val="en-US"/>
        </w:rPr>
        <w:t xml:space="preserve"> high dose; </w:t>
      </w:r>
      <w:r w:rsidR="008027DF" w:rsidRPr="001A0F9E">
        <w:rPr>
          <w:rFonts w:ascii="Times New Roman" w:hAnsi="Times New Roman" w:cs="Times New Roman"/>
          <w:b/>
          <w:sz w:val="20"/>
          <w:szCs w:val="20"/>
          <w:lang w:val="en-US"/>
        </w:rPr>
        <w:t>Pa</w:t>
      </w:r>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Pretomanid</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b/>
          <w:sz w:val="20"/>
          <w:szCs w:val="20"/>
          <w:lang w:val="en-US"/>
        </w:rPr>
        <w:t>Pto</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Prothionamide</w:t>
      </w:r>
      <w:proofErr w:type="spellEnd"/>
      <w:r w:rsidR="008027DF" w:rsidRPr="001A0F9E">
        <w:rPr>
          <w:rFonts w:ascii="Times New Roman" w:hAnsi="Times New Roman" w:cs="Times New Roman"/>
          <w:sz w:val="20"/>
          <w:szCs w:val="20"/>
          <w:lang w:val="en-US"/>
        </w:rPr>
        <w:t>;</w:t>
      </w:r>
      <w:r w:rsidR="008027DF" w:rsidRPr="001A0F9E">
        <w:rPr>
          <w:rFonts w:ascii="Times New Roman" w:hAnsi="Times New Roman" w:cs="Times New Roman"/>
          <w:b/>
          <w:sz w:val="20"/>
          <w:szCs w:val="20"/>
          <w:lang w:val="en-US"/>
        </w:rPr>
        <w:t xml:space="preserve"> SOC</w:t>
      </w:r>
      <w:r w:rsidR="008027DF" w:rsidRPr="001A0F9E">
        <w:rPr>
          <w:rFonts w:ascii="Times New Roman" w:hAnsi="Times New Roman" w:cs="Times New Roman"/>
          <w:sz w:val="20"/>
          <w:szCs w:val="20"/>
          <w:lang w:val="en-US"/>
        </w:rPr>
        <w:t xml:space="preserve">: Standard of Care; </w:t>
      </w:r>
      <w:r w:rsidR="008027DF" w:rsidRPr="001A0F9E">
        <w:rPr>
          <w:rFonts w:ascii="Times New Roman" w:hAnsi="Times New Roman" w:cs="Times New Roman"/>
          <w:b/>
          <w:sz w:val="20"/>
          <w:szCs w:val="20"/>
          <w:lang w:val="en-US"/>
        </w:rPr>
        <w:t>STR</w:t>
      </w:r>
      <w:r w:rsidR="008027DF" w:rsidRPr="001A0F9E">
        <w:rPr>
          <w:rFonts w:ascii="Times New Roman" w:hAnsi="Times New Roman" w:cs="Times New Roman"/>
          <w:sz w:val="20"/>
          <w:szCs w:val="20"/>
          <w:lang w:val="en-US"/>
        </w:rPr>
        <w:t>: Short treatment</w:t>
      </w:r>
      <w:r>
        <w:rPr>
          <w:rFonts w:ascii="Times New Roman" w:hAnsi="Times New Roman" w:cs="Times New Roman"/>
          <w:sz w:val="20"/>
          <w:szCs w:val="20"/>
          <w:lang w:val="en-US"/>
        </w:rPr>
        <w:t xml:space="preserve"> regimen;</w:t>
      </w:r>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b/>
          <w:sz w:val="20"/>
          <w:szCs w:val="20"/>
          <w:lang w:val="en-US"/>
        </w:rPr>
        <w:t>Trd</w:t>
      </w:r>
      <w:proofErr w:type="spellEnd"/>
      <w:r w:rsidR="008027DF" w:rsidRPr="001A0F9E">
        <w:rPr>
          <w:rFonts w:ascii="Times New Roman" w:hAnsi="Times New Roman" w:cs="Times New Roman"/>
          <w:sz w:val="20"/>
          <w:szCs w:val="20"/>
          <w:lang w:val="en-US"/>
        </w:rPr>
        <w:t xml:space="preserve">: </w:t>
      </w:r>
      <w:proofErr w:type="spellStart"/>
      <w:r w:rsidR="008027DF" w:rsidRPr="001A0F9E">
        <w:rPr>
          <w:rFonts w:ascii="Times New Roman" w:hAnsi="Times New Roman" w:cs="Times New Roman"/>
          <w:sz w:val="20"/>
          <w:szCs w:val="20"/>
          <w:lang w:val="en-US"/>
        </w:rPr>
        <w:t>Terizidone</w:t>
      </w:r>
      <w:proofErr w:type="spellEnd"/>
      <w:r w:rsidR="008027DF" w:rsidRPr="001A0F9E">
        <w:rPr>
          <w:rFonts w:ascii="Times New Roman" w:hAnsi="Times New Roman" w:cs="Times New Roman"/>
          <w:sz w:val="20"/>
          <w:szCs w:val="20"/>
          <w:lang w:val="en-US"/>
        </w:rPr>
        <w:t xml:space="preserve">; </w:t>
      </w:r>
      <w:r w:rsidR="008027DF" w:rsidRPr="001A0F9E">
        <w:rPr>
          <w:rFonts w:ascii="Times New Roman" w:hAnsi="Times New Roman" w:cs="Times New Roman"/>
          <w:b/>
          <w:sz w:val="20"/>
          <w:szCs w:val="20"/>
          <w:lang w:val="en-US"/>
        </w:rPr>
        <w:t>Z</w:t>
      </w:r>
      <w:r w:rsidR="008027DF" w:rsidRPr="001A0F9E">
        <w:rPr>
          <w:rFonts w:ascii="Times New Roman" w:hAnsi="Times New Roman" w:cs="Times New Roman"/>
          <w:sz w:val="20"/>
          <w:szCs w:val="20"/>
          <w:lang w:val="en-US"/>
        </w:rPr>
        <w:t>: Pyrazinamide.</w:t>
      </w:r>
    </w:p>
    <w:sectPr w:rsidR="008027DF" w:rsidRPr="001A0F9E" w:rsidSect="00FE256F">
      <w:head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4C0FA" w14:textId="77777777" w:rsidR="002D3EA3" w:rsidRDefault="002D3EA3" w:rsidP="008027DF">
      <w:pPr>
        <w:spacing w:after="0" w:line="240" w:lineRule="auto"/>
      </w:pPr>
      <w:r>
        <w:separator/>
      </w:r>
    </w:p>
  </w:endnote>
  <w:endnote w:type="continuationSeparator" w:id="0">
    <w:p w14:paraId="01459DE2" w14:textId="77777777" w:rsidR="002D3EA3" w:rsidRDefault="002D3EA3" w:rsidP="00802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altName w:val="Times New Roman"/>
    <w:charset w:val="00"/>
    <w:family w:val="auto"/>
    <w:pitch w:val="variable"/>
    <w:sig w:usb0="A000006F" w:usb1="00000000"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53E3A6" w14:textId="77777777" w:rsidR="002D3EA3" w:rsidRDefault="002D3EA3" w:rsidP="008027DF">
      <w:pPr>
        <w:spacing w:after="0" w:line="240" w:lineRule="auto"/>
      </w:pPr>
      <w:r>
        <w:separator/>
      </w:r>
    </w:p>
  </w:footnote>
  <w:footnote w:type="continuationSeparator" w:id="0">
    <w:p w14:paraId="379B23DA" w14:textId="77777777" w:rsidR="002D3EA3" w:rsidRDefault="002D3EA3" w:rsidP="00802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2A9DF" w14:textId="77777777" w:rsidR="008027DF" w:rsidRDefault="008027DF">
    <w:pPr>
      <w:pStyle w:val="Header"/>
      <w:rPr>
        <w:lang w:val="en-US"/>
      </w:rPr>
    </w:pPr>
  </w:p>
  <w:p w14:paraId="135539EF" w14:textId="7968CC88" w:rsidR="008027DF" w:rsidRPr="008027DF" w:rsidRDefault="008027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239F8"/>
    <w:multiLevelType w:val="hybridMultilevel"/>
    <w:tmpl w:val="2416A59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1256812"/>
    <w:multiLevelType w:val="hybridMultilevel"/>
    <w:tmpl w:val="4858E3FE"/>
    <w:lvl w:ilvl="0" w:tplc="8F58BD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680080"/>
    <w:multiLevelType w:val="hybridMultilevel"/>
    <w:tmpl w:val="4D0A10D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DCF0BF3"/>
    <w:multiLevelType w:val="hybridMultilevel"/>
    <w:tmpl w:val="A42A6E6E"/>
    <w:lvl w:ilvl="0" w:tplc="921260D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F67078"/>
    <w:multiLevelType w:val="hybridMultilevel"/>
    <w:tmpl w:val="11C033F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76F27ECA"/>
    <w:multiLevelType w:val="hybridMultilevel"/>
    <w:tmpl w:val="E51E67B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56F"/>
    <w:rsid w:val="001A0F9E"/>
    <w:rsid w:val="002B773F"/>
    <w:rsid w:val="002D3EA3"/>
    <w:rsid w:val="002F0DD5"/>
    <w:rsid w:val="0030568F"/>
    <w:rsid w:val="00330F6A"/>
    <w:rsid w:val="004E08F9"/>
    <w:rsid w:val="00515BEE"/>
    <w:rsid w:val="00580904"/>
    <w:rsid w:val="00715DC3"/>
    <w:rsid w:val="007B2B8B"/>
    <w:rsid w:val="008006D4"/>
    <w:rsid w:val="008027DF"/>
    <w:rsid w:val="008B1739"/>
    <w:rsid w:val="009817DD"/>
    <w:rsid w:val="009E3080"/>
    <w:rsid w:val="009F3803"/>
    <w:rsid w:val="00A30E2B"/>
    <w:rsid w:val="00A75036"/>
    <w:rsid w:val="00AB2577"/>
    <w:rsid w:val="00AF0A33"/>
    <w:rsid w:val="00B436B4"/>
    <w:rsid w:val="00B777AA"/>
    <w:rsid w:val="00BB0337"/>
    <w:rsid w:val="00BE08B9"/>
    <w:rsid w:val="00BE23D3"/>
    <w:rsid w:val="00CA2A02"/>
    <w:rsid w:val="00D8734E"/>
    <w:rsid w:val="00DB2C98"/>
    <w:rsid w:val="00E41AFC"/>
    <w:rsid w:val="00EA0121"/>
    <w:rsid w:val="00F4641D"/>
    <w:rsid w:val="00F81675"/>
    <w:rsid w:val="00F96F94"/>
    <w:rsid w:val="00FC330F"/>
    <w:rsid w:val="00FD622F"/>
    <w:rsid w:val="00FE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B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6F"/>
    <w:pPr>
      <w:spacing w:after="160" w:line="256" w:lineRule="auto"/>
    </w:pPr>
    <w:rPr>
      <w:kern w:val="2"/>
      <w:lang w:val="am-E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256F"/>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5BEE"/>
    <w:pPr>
      <w:ind w:left="720"/>
      <w:contextualSpacing/>
    </w:pPr>
  </w:style>
  <w:style w:type="paragraph" w:styleId="Header">
    <w:name w:val="header"/>
    <w:basedOn w:val="Normal"/>
    <w:link w:val="HeaderChar"/>
    <w:uiPriority w:val="99"/>
    <w:unhideWhenUsed/>
    <w:rsid w:val="00802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7DF"/>
    <w:rPr>
      <w:kern w:val="2"/>
      <w:lang w:val="am-ET"/>
      <w14:ligatures w14:val="standardContextual"/>
    </w:rPr>
  </w:style>
  <w:style w:type="paragraph" w:styleId="Footer">
    <w:name w:val="footer"/>
    <w:basedOn w:val="Normal"/>
    <w:link w:val="FooterChar"/>
    <w:uiPriority w:val="99"/>
    <w:unhideWhenUsed/>
    <w:rsid w:val="00802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7DF"/>
    <w:rPr>
      <w:kern w:val="2"/>
      <w:lang w:val="am-ET"/>
      <w14:ligatures w14:val="standardContextual"/>
    </w:rPr>
  </w:style>
  <w:style w:type="paragraph" w:styleId="BalloonText">
    <w:name w:val="Balloon Text"/>
    <w:basedOn w:val="Normal"/>
    <w:link w:val="BalloonTextChar"/>
    <w:uiPriority w:val="99"/>
    <w:semiHidden/>
    <w:unhideWhenUsed/>
    <w:rsid w:val="00802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7DF"/>
    <w:rPr>
      <w:rFonts w:ascii="Tahoma" w:hAnsi="Tahoma" w:cs="Tahoma"/>
      <w:kern w:val="2"/>
      <w:sz w:val="16"/>
      <w:szCs w:val="16"/>
      <w:lang w:val="am-ET"/>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56F"/>
    <w:pPr>
      <w:spacing w:after="160" w:line="256" w:lineRule="auto"/>
    </w:pPr>
    <w:rPr>
      <w:kern w:val="2"/>
      <w:lang w:val="am-ET"/>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256F"/>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5BEE"/>
    <w:pPr>
      <w:ind w:left="720"/>
      <w:contextualSpacing/>
    </w:pPr>
  </w:style>
  <w:style w:type="paragraph" w:styleId="Header">
    <w:name w:val="header"/>
    <w:basedOn w:val="Normal"/>
    <w:link w:val="HeaderChar"/>
    <w:uiPriority w:val="99"/>
    <w:unhideWhenUsed/>
    <w:rsid w:val="00802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7DF"/>
    <w:rPr>
      <w:kern w:val="2"/>
      <w:lang w:val="am-ET"/>
      <w14:ligatures w14:val="standardContextual"/>
    </w:rPr>
  </w:style>
  <w:style w:type="paragraph" w:styleId="Footer">
    <w:name w:val="footer"/>
    <w:basedOn w:val="Normal"/>
    <w:link w:val="FooterChar"/>
    <w:uiPriority w:val="99"/>
    <w:unhideWhenUsed/>
    <w:rsid w:val="00802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7DF"/>
    <w:rPr>
      <w:kern w:val="2"/>
      <w:lang w:val="am-ET"/>
      <w14:ligatures w14:val="standardContextual"/>
    </w:rPr>
  </w:style>
  <w:style w:type="paragraph" w:styleId="BalloonText">
    <w:name w:val="Balloon Text"/>
    <w:basedOn w:val="Normal"/>
    <w:link w:val="BalloonTextChar"/>
    <w:uiPriority w:val="99"/>
    <w:semiHidden/>
    <w:unhideWhenUsed/>
    <w:rsid w:val="00802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7DF"/>
    <w:rPr>
      <w:rFonts w:ascii="Tahoma" w:hAnsi="Tahoma" w:cs="Tahoma"/>
      <w:kern w:val="2"/>
      <w:sz w:val="16"/>
      <w:szCs w:val="16"/>
      <w:lang w:val="am-E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34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E26C3-0887-4FAF-9E6D-D02F30916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4239</Words>
  <Characters>24164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yishak abraham</dc:creator>
  <cp:lastModifiedBy>A</cp:lastModifiedBy>
  <cp:revision>4</cp:revision>
  <dcterms:created xsi:type="dcterms:W3CDTF">2023-10-14T09:21:00Z</dcterms:created>
  <dcterms:modified xsi:type="dcterms:W3CDTF">2024-07-15T00:59:00Z</dcterms:modified>
</cp:coreProperties>
</file>