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D0" w:rsidRPr="00D267D0" w:rsidRDefault="00D267D0" w:rsidP="00D267D0">
      <w:pPr>
        <w:spacing w:after="200" w:line="276" w:lineRule="auto"/>
        <w:rPr>
          <w:rFonts w:ascii="Calibri" w:eastAsia="Calibri" w:hAnsi="Calibri" w:cs="Times New Roman"/>
          <w:noProof/>
          <w:lang w:val="en-US"/>
        </w:rPr>
      </w:pPr>
    </w:p>
    <w:p w:rsidR="00D267D0" w:rsidRPr="00D267D0" w:rsidRDefault="00D267D0" w:rsidP="00D267D0">
      <w:pPr>
        <w:spacing w:after="200" w:line="276" w:lineRule="auto"/>
        <w:rPr>
          <w:rFonts w:ascii="Calibri" w:eastAsia="Calibri" w:hAnsi="Calibri" w:cs="Times New Roman"/>
          <w:b/>
          <w:noProof/>
          <w:lang w:val="en-US"/>
        </w:rPr>
      </w:pPr>
      <w:r w:rsidRPr="00D267D0">
        <w:rPr>
          <w:rFonts w:ascii="Calibri" w:eastAsia="Calibri" w:hAnsi="Calibri" w:cs="Times New Roman"/>
          <w:b/>
          <w:noProof/>
          <w:lang w:val="en-US"/>
        </w:rPr>
        <w:t>Supplement</w:t>
      </w: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Times New Roman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Times New Roman"/>
          <w:iCs/>
          <w:sz w:val="18"/>
          <w:szCs w:val="18"/>
          <w:lang w:val="en-US"/>
        </w:rPr>
        <w:t>Table 1 Chosen Endpoints in the study</w:t>
      </w:r>
    </w:p>
    <w:tbl>
      <w:tblPr>
        <w:tblStyle w:val="Tabellenraster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59"/>
        <w:gridCol w:w="5587"/>
      </w:tblGrid>
      <w:tr w:rsidR="00D267D0" w:rsidRPr="00D267D0" w:rsidTr="00527E59">
        <w:tc>
          <w:tcPr>
            <w:tcW w:w="0" w:type="auto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ICD-10 Code</w:t>
            </w:r>
          </w:p>
        </w:tc>
      </w:tr>
      <w:tr w:rsidR="00D267D0" w:rsidRPr="00D267D0" w:rsidTr="00527E59">
        <w:tc>
          <w:tcPr>
            <w:tcW w:w="0" w:type="auto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R53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G93.3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R06.0, R06.2, R06.88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J96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Chest pain (when breathing)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R07.1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Cognitive impairment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F06.7, U51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R41</w:t>
            </w:r>
          </w:p>
        </w:tc>
      </w:tr>
      <w:tr w:rsidR="00D267D0" w:rsidRPr="00D267D0" w:rsidTr="00527E59"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I26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J84.0, J84.1, J93.8, J98.4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I30.0, I30.8, I30.9, I31.9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I40</w:t>
            </w:r>
          </w:p>
        </w:tc>
      </w:tr>
      <w:tr w:rsidR="00D267D0" w:rsidRPr="00D267D0" w:rsidTr="00527E59"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C43</w:t>
            </w:r>
          </w:p>
        </w:tc>
      </w:tr>
      <w:tr w:rsidR="00D267D0" w:rsidRPr="00D267D0" w:rsidTr="00527E59"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B35.3</w:t>
            </w:r>
          </w:p>
        </w:tc>
      </w:tr>
      <w:tr w:rsidR="00D267D0" w:rsidRPr="00D267D0" w:rsidTr="00527E59"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Other Endpoints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Abdominal pain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R10.1, R10.2, R10.3, R10.4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Acute pain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R52.0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Adjustment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F43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Anuria, oliguria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R34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Anxiety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F40, F41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Arthritis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M02, M13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Ascites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Behavioral symptoms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Cachexia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R64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Carditis due to viruses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B33.2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Changes in bowel habits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R19.4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Concentration impairment/Concentration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Deficit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R41.8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Cough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R05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COVID toe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L93.2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Depression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F32, F33, F34.1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Developmental delay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F80, F81, F82, F83, F84, F88, F89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Diarrhea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A09, A58, K52.9, R19.4, R19.5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Disorientation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R41.0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Dysgeusia/Anosmia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R43.0, R43.2, R43.8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Dyslexia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Dysmenorrhea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N91, N92, N94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Dysphagia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Dysuria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R30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Emotional and behavioral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F54, F59, F91, F92, F93, F95, F98.8, F98.9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Epistaxis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R04.0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Eye pain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H57.1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Facial nerve paralysis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G51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Fever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R50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Flatulence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</w:t>
            </w:r>
            <w:proofErr w:type="spellStart"/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Gangraen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R02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General symptoms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R68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Hair loss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L63.9, L65.8, L65.9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Headache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R51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Hearing loss/tinnitus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H91.9, H93.1, H93.2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Heart failure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I11.0, I13.0, I13.2, I50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Heart murmurs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R01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Heartburn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lastRenderedPageBreak/>
              <w:t xml:space="preserve">  Hemorrhage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R58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Hepatomegaly and splenomegaly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Hoarseness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Hyperhidrosis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R61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Hypotension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I95.0, I95.1, I95.8, I95.9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Impaired balance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R29.6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Joint pain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M25.4, M25.5, M25.8, M25.9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Loss of appetite, eating disorders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F50, R63.0, R63.4, R63.5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Lymphadenopathy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R59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Meningism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R29.1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Mood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R45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Movement disorders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F90, G25.0, G25.2, G25.5, G25.8, R25, R26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Multisystemic inflammatory syndrome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D76.4, M08.2, M30.3, R65, U10.9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Myalgia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M79.1, M79.2, M79.6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Myocardial infarction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I20, I21, I22, I23, I24, I25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Nausea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R11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Neurasthenia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F48.0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Neurological manifestation of Post-COVID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G57.3, G61.0, G72.80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Obsessive-compulsive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F42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</w:t>
            </w:r>
            <w:proofErr w:type="spellStart"/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Oedema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R60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Other cardiac arrhythmias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it-IT" w:eastAsia="de-DE"/>
              </w:rPr>
              <w:t>I44, I45, I46, I47, I48, I49.1, I49.2, I49.3, I49.5, I49.8, I49.9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it-IT" w:eastAsia="de-DE"/>
              </w:rPr>
              <w:t xml:space="preserve">  </w:t>
            </w: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Other coordination disorders/ataxia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R27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Other symptoms of the urinary system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R39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Pain, not elsewhere classified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R52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Paresis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G82.00, G82.02, G82.35, G83.0, G83.1, G83.2, G83.3, G83.6, G83.8, G83.9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Paresthesia of skin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R20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Pathological findings from male genital</w:t>
            </w:r>
          </w:p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tract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R86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Pathological reflexes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R29.2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Polyuria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R35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Rash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R21, R23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Seizures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G40, R56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Sensation and perception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R44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Shock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R57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Sinus vein thrombosis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I67.6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Sleep disorders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F51, G47.0, G47.1, G47.2, G47.8, G47.9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Somatization disorder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F45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Somnolence, sopor, coma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R40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Speech and language disorders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R47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Stroke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it-IT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de-DE"/>
              </w:rPr>
              <w:t>I60, I61, I62, I63, I64, I65, I66, I67, I68, I69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de-DE"/>
              </w:rPr>
              <w:t xml:space="preserve">  </w:t>
            </w: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Subcutaneous nodules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R22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Syncope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R55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Tachycardia/Palpitation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I49.0, I49.4, R00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Tetany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R29.0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Thrombosis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I80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Urethral discharge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R36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Urinary retention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R33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Vertigo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H</w:t>
            </w:r>
            <w:proofErr w:type="gramStart"/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81,H</w:t>
            </w:r>
            <w:proofErr w:type="gramEnd"/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82,R42</w:t>
            </w:r>
          </w:p>
        </w:tc>
      </w:tr>
      <w:tr w:rsidR="00D267D0" w:rsidRPr="00D267D0" w:rsidTr="00527E59">
        <w:tc>
          <w:tcPr>
            <w:tcW w:w="0" w:type="auto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 xml:space="preserve">  Visual disturbances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</w:pPr>
            <w:r w:rsidRPr="00D267D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de-DE"/>
              </w:rPr>
              <w:t>H53</w:t>
            </w:r>
          </w:p>
        </w:tc>
      </w:tr>
    </w:tbl>
    <w:p w:rsidR="00D267D0" w:rsidRPr="00D267D0" w:rsidRDefault="00D267D0" w:rsidP="00D267D0">
      <w:pPr>
        <w:keepNext/>
        <w:spacing w:after="0" w:line="240" w:lineRule="auto"/>
        <w:rPr>
          <w:rFonts w:ascii="Arial" w:eastAsia="Calibri" w:hAnsi="Arial" w:cs="Arial"/>
          <w:i/>
          <w:iCs/>
          <w:sz w:val="18"/>
          <w:szCs w:val="18"/>
          <w:lang w:val="en-US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Times New Roman"/>
          <w:i/>
          <w:iCs/>
          <w:sz w:val="18"/>
          <w:szCs w:val="18"/>
          <w:lang w:val="en-US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Times New Roman"/>
          <w:b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Times New Roman"/>
          <w:iCs/>
          <w:sz w:val="18"/>
          <w:szCs w:val="18"/>
          <w:lang w:val="en-US"/>
        </w:rPr>
        <w:t>Table2 Follow-up time for each cohort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816"/>
        <w:gridCol w:w="3025"/>
        <w:gridCol w:w="1336"/>
        <w:gridCol w:w="1561"/>
        <w:gridCol w:w="1329"/>
      </w:tblGrid>
      <w:tr w:rsidR="00D267D0" w:rsidRPr="00D267D0" w:rsidTr="00527E59">
        <w:tc>
          <w:tcPr>
            <w:tcW w:w="1001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66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Category</w:t>
            </w:r>
          </w:p>
        </w:tc>
        <w:tc>
          <w:tcPr>
            <w:tcW w:w="73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 COVID-19 in 2020</w:t>
            </w:r>
          </w:p>
        </w:tc>
        <w:tc>
          <w:tcPr>
            <w:tcW w:w="86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Contemporary controls no COVID-19 </w:t>
            </w:r>
            <w:r w:rsidR="0050212C"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until</w:t>
            </w:r>
            <w:bookmarkStart w:id="0" w:name="_GoBack"/>
            <w:bookmarkEnd w:id="0"/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30/9/2021</w:t>
            </w:r>
          </w:p>
        </w:tc>
        <w:tc>
          <w:tcPr>
            <w:tcW w:w="73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Influenza in 2018</w:t>
            </w:r>
          </w:p>
        </w:tc>
      </w:tr>
      <w:tr w:rsidR="00D267D0" w:rsidRPr="00D267D0" w:rsidTr="00527E59">
        <w:tc>
          <w:tcPr>
            <w:tcW w:w="100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Follow-up time</w:t>
            </w:r>
          </w:p>
        </w:tc>
        <w:tc>
          <w:tcPr>
            <w:tcW w:w="166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 Quarter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573,791</w:t>
            </w:r>
          </w:p>
        </w:tc>
        <w:tc>
          <w:tcPr>
            <w:tcW w:w="861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1,635,841</w:t>
            </w:r>
          </w:p>
        </w:tc>
        <w:tc>
          <w:tcPr>
            <w:tcW w:w="73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569,154</w:t>
            </w:r>
          </w:p>
        </w:tc>
      </w:tr>
      <w:tr w:rsidR="00D267D0" w:rsidRPr="00D267D0" w:rsidTr="00527E59"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 Quarters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573,791</w:t>
            </w: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ab/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1,635,841</w:t>
            </w: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ab/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569,154</w:t>
            </w:r>
          </w:p>
        </w:tc>
      </w:tr>
      <w:tr w:rsidR="00D267D0" w:rsidRPr="00D267D0" w:rsidTr="00527E59"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3 Quarters 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569,067</w:t>
            </w: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ab/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1,613,348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563,721</w:t>
            </w:r>
          </w:p>
        </w:tc>
      </w:tr>
      <w:tr w:rsidR="00D267D0" w:rsidRPr="00D267D0" w:rsidTr="00527E59"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 Quarters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278,406</w:t>
            </w: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ab/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792,378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276,851</w:t>
            </w:r>
          </w:p>
        </w:tc>
      </w:tr>
      <w:tr w:rsidR="00D267D0" w:rsidRPr="00D267D0" w:rsidTr="00527E59"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 Quarters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149,157</w:t>
            </w: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ab/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421,856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147,751</w:t>
            </w:r>
          </w:p>
        </w:tc>
      </w:tr>
      <w:tr w:rsidR="00D267D0" w:rsidRPr="00D267D0" w:rsidTr="00527E59">
        <w:trPr>
          <w:trHeight w:val="50"/>
        </w:trPr>
        <w:tc>
          <w:tcPr>
            <w:tcW w:w="1001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66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 Quarters</w:t>
            </w:r>
          </w:p>
        </w:tc>
        <w:tc>
          <w:tcPr>
            <w:tcW w:w="73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67,785</w:t>
            </w: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ab/>
            </w:r>
          </w:p>
        </w:tc>
        <w:tc>
          <w:tcPr>
            <w:tcW w:w="86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192,838</w:t>
            </w:r>
          </w:p>
        </w:tc>
        <w:tc>
          <w:tcPr>
            <w:tcW w:w="73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D267D0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66,896</w:t>
            </w:r>
          </w:p>
        </w:tc>
      </w:tr>
    </w:tbl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Times New Roman"/>
          <w:i/>
          <w:iCs/>
          <w:sz w:val="18"/>
          <w:szCs w:val="18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D267D0">
        <w:rPr>
          <w:rFonts w:ascii="Calibri" w:eastAsia="Calibri" w:hAnsi="Calibri" w:cs="Times New Roman"/>
          <w:i/>
          <w:iCs/>
          <w:sz w:val="18"/>
          <w:szCs w:val="18"/>
        </w:rPr>
        <w:br w:type="textWrapping" w:clear="all"/>
      </w: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Calibri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t>Table3 Estimates of Poisson regression of COVID-19 compared to the matched Non-COVID contemporary control 3 to 6 and 12 to 15 months after infection for each sex. IRR – Incidence rate ratios, IR – Incidence difference per 1000 person-years.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2621"/>
        <w:gridCol w:w="600"/>
        <w:gridCol w:w="1121"/>
        <w:gridCol w:w="1286"/>
        <w:gridCol w:w="1034"/>
        <w:gridCol w:w="1121"/>
        <w:gridCol w:w="1284"/>
      </w:tblGrid>
      <w:tr w:rsidR="00D267D0" w:rsidRPr="0050212C" w:rsidTr="00527E59">
        <w:tc>
          <w:tcPr>
            <w:tcW w:w="5000" w:type="pct"/>
            <w:gridSpan w:val="7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Female</w:t>
            </w:r>
          </w:p>
        </w:tc>
      </w:tr>
      <w:tr w:rsidR="00D267D0" w:rsidRPr="0050212C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657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897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3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570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31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2.09-2.20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81.11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1.65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1.57-1.73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51.16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1.92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1.85- 2.00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25.21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1.52-1.76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25.21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5.24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4.61-5.94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9.84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3.26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2.64-4.01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7.80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3.12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2.98-3.27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43.30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2.11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1.93-2.31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24.41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2.01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1.85-2.18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6.98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1.48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1.25-1.75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3.26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2.43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1.74-3.39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0.56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1.66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0.94- 2.95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0.37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1.42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1.31-1.53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3.94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1.02-1.36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1.77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3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1.75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1.58-1.94</w:t>
            </w:r>
          </w:p>
        </w:tc>
        <w:tc>
          <w:tcPr>
            <w:tcW w:w="70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3.66</w:t>
            </w:r>
          </w:p>
        </w:tc>
        <w:tc>
          <w:tcPr>
            <w:tcW w:w="570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1.23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1.02- 1.50</w:t>
            </w:r>
          </w:p>
        </w:tc>
        <w:tc>
          <w:tcPr>
            <w:tcW w:w="70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1.30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2.51-3.43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3.36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2.17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1.66-2.84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2.73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2.66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2.16-3.29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1.61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1.25-2.71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1.01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5.22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3.14-8.66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0.61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1.79-8.23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0.71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5.34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2.76-10.32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0.37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5.22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1.75-15.56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0.48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33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0.98-1.44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0.29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0.95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0.69-1.30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-0.12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1.22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1.06-1.40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0.92-1.52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0.62</w:t>
            </w:r>
          </w:p>
        </w:tc>
      </w:tr>
      <w:tr w:rsidR="00D267D0" w:rsidRPr="0050212C" w:rsidTr="00527E59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Male</w:t>
            </w:r>
          </w:p>
        </w:tc>
      </w:tr>
      <w:tr w:rsidR="00D267D0" w:rsidRPr="0050212C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657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897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3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570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31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2.16-2.31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68.90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1.53-1.75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42.18</w:t>
            </w:r>
          </w:p>
        </w:tc>
      </w:tr>
      <w:tr w:rsidR="00D267D0" w:rsidRPr="00D267D0" w:rsidTr="00527E59">
        <w:trPr>
          <w:trHeight w:val="302"/>
        </w:trPr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2.06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1.95-2.18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23.82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1.63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1.46-1.81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17.11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6.71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5.40-8.34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6.09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4.28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2.95-6.21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5.15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2.88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2.72-3.05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34.19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1.72-2.17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19.24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2.44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2.23-2.67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11.32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1.56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1.30-1.87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5.07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2.19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1.50-3.20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0.53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1.92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0.85- 4.34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0.37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3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1.50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1.36-1.66</w:t>
            </w:r>
          </w:p>
        </w:tc>
        <w:tc>
          <w:tcPr>
            <w:tcW w:w="70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3.87</w:t>
            </w:r>
          </w:p>
        </w:tc>
        <w:tc>
          <w:tcPr>
            <w:tcW w:w="570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1.21</w:t>
            </w:r>
          </w:p>
        </w:tc>
        <w:tc>
          <w:tcPr>
            <w:tcW w:w="61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1.00-1.46</w:t>
            </w:r>
          </w:p>
        </w:tc>
        <w:tc>
          <w:tcPr>
            <w:tcW w:w="70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3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1.74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1.52-1.98</w:t>
            </w:r>
          </w:p>
        </w:tc>
        <w:tc>
          <w:tcPr>
            <w:tcW w:w="70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2.94</w:t>
            </w:r>
          </w:p>
        </w:tc>
        <w:tc>
          <w:tcPr>
            <w:tcW w:w="570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</w:t>
            </w:r>
          </w:p>
        </w:tc>
        <w:tc>
          <w:tcPr>
            <w:tcW w:w="61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1.12-1.85</w:t>
            </w:r>
          </w:p>
        </w:tc>
        <w:tc>
          <w:tcPr>
            <w:tcW w:w="70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2.07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3.67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3.09-4.37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5.03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1.84-3.51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3.61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3.89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3.15-4.82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3.50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1.70-3.51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2.73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1.56-4.46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0.36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0.88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0.32-2.41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-0.05</w:t>
            </w:r>
          </w:p>
        </w:tc>
      </w:tr>
      <w:tr w:rsidR="00D267D0" w:rsidRPr="00D267D0" w:rsidTr="00527E59">
        <w:tc>
          <w:tcPr>
            <w:tcW w:w="1446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3.37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1.90-5.97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0.41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2.82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1.08-7.36</w:t>
            </w:r>
          </w:p>
        </w:tc>
        <w:tc>
          <w:tcPr>
            <w:tcW w:w="70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33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1.33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1.04-1.71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0.57-1.34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-0.26</w:t>
            </w:r>
          </w:p>
        </w:tc>
      </w:tr>
      <w:tr w:rsidR="00D267D0" w:rsidRPr="00D267D0" w:rsidTr="00527E59"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1.10-1.44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1.01-1.66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1.49</w:t>
            </w:r>
          </w:p>
        </w:tc>
      </w:tr>
    </w:tbl>
    <w:p w:rsidR="00D267D0" w:rsidRPr="00D267D0" w:rsidRDefault="00D267D0" w:rsidP="00D267D0">
      <w:pPr>
        <w:spacing w:after="200" w:line="276" w:lineRule="auto"/>
        <w:rPr>
          <w:rFonts w:ascii="Calibri" w:eastAsia="Calibri" w:hAnsi="Calibri" w:cs="Calibri"/>
          <w:sz w:val="18"/>
          <w:szCs w:val="18"/>
          <w:lang w:val="en-US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Calibri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t>Table4 Estimates of Poisson regression of COVID-19 compared to the matched influenza cohort 3 to 6 and 12 to 15 months after infection for each sex. IRR – Incidence rate ratios, IR – Incidence difference per 1000 person-years.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2565"/>
        <w:gridCol w:w="685"/>
        <w:gridCol w:w="1195"/>
        <w:gridCol w:w="1258"/>
        <w:gridCol w:w="1012"/>
        <w:gridCol w:w="1095"/>
        <w:gridCol w:w="1257"/>
      </w:tblGrid>
      <w:tr w:rsidR="00D267D0" w:rsidRPr="00D267D0" w:rsidTr="00527E59">
        <w:tc>
          <w:tcPr>
            <w:tcW w:w="5000" w:type="pct"/>
            <w:gridSpan w:val="7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Influenza Female</w:t>
            </w:r>
          </w:p>
        </w:tc>
      </w:tr>
      <w:tr w:rsidR="00D267D0" w:rsidRPr="0050212C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855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7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5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6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55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0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693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7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1.74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1.70-1.79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62.67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1.31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1.25-1.37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29.12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1.45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1.40-1.50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20.50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1.36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1.27-1.46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16.28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7.04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6.12-8.11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10.33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0.99-1.33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2.74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2.62-2.87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39.39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1.71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1.57-1.86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18.35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1.41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1.30-1.52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3.60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1.31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1.11-1.55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2.24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2.83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2.01-3.99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0.63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3.63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1.72-7.65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0.66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1.23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1.14-1.32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2.27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1.08-1.47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2.29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7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2.26</w:t>
            </w:r>
          </w:p>
        </w:tc>
        <w:tc>
          <w:tcPr>
            <w:tcW w:w="65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2.03-2.53</w:t>
            </w:r>
          </w:p>
        </w:tc>
        <w:tc>
          <w:tcPr>
            <w:tcW w:w="6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4.60</w:t>
            </w:r>
          </w:p>
        </w:tc>
        <w:tc>
          <w:tcPr>
            <w:tcW w:w="55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0.90</w:t>
            </w:r>
          </w:p>
        </w:tc>
        <w:tc>
          <w:tcPr>
            <w:tcW w:w="60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0.75-1.07</w:t>
            </w:r>
          </w:p>
        </w:tc>
        <w:tc>
          <w:tcPr>
            <w:tcW w:w="693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-0.77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lastRenderedPageBreak/>
              <w:t>Tissue damage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2.91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2.50-3.40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3.28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1.69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1.33-2.16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2.06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2.80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2.27-3.45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2.56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2.76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1.78-4.28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2.15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3.27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2.17-4.95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0.52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3.49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1.71-7.09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0.69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3.42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2.01-5.81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0.46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5.18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1.76-15.21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0.52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3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0.49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0.42-0.58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0.36-0.64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-2.25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1.59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1.37-1.85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1.01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0.80-1.28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0.04</w:t>
            </w:r>
          </w:p>
        </w:tc>
      </w:tr>
      <w:tr w:rsidR="00D267D0" w:rsidRPr="00D267D0" w:rsidTr="00527E59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Influenza Male</w:t>
            </w:r>
          </w:p>
        </w:tc>
      </w:tr>
      <w:tr w:rsidR="00D267D0" w:rsidRPr="0050212C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31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855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7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5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6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55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0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693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1414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7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2.16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2.09-2.23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64.58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1.50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1.40-1.59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34.23</w:t>
            </w:r>
          </w:p>
        </w:tc>
      </w:tr>
      <w:tr w:rsidR="00D267D0" w:rsidRPr="00D267D0" w:rsidTr="00527E59">
        <w:trPr>
          <w:trHeight w:val="302"/>
        </w:trPr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2.30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2.17-2.43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25.30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1.81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1.62-2.02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19.28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13.92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10.34-18.72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6.59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1.34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1.05-1.72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1.65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2.51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2.38-2.66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30.56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1.39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1.25-1.55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10.66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1.96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1.80-2.14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8.39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1.85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1.53-2.25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6.13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11.18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5.42-23.09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0.88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1.75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0.79-3.85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0.32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7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1.12</w:t>
            </w:r>
          </w:p>
        </w:tc>
        <w:tc>
          <w:tcPr>
            <w:tcW w:w="65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1.02-1.23</w:t>
            </w:r>
          </w:p>
        </w:tc>
        <w:tc>
          <w:tcPr>
            <w:tcW w:w="6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1.09</w:t>
            </w:r>
          </w:p>
        </w:tc>
        <w:tc>
          <w:tcPr>
            <w:tcW w:w="55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60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0.80-1.15</w:t>
            </w:r>
          </w:p>
        </w:tc>
        <w:tc>
          <w:tcPr>
            <w:tcW w:w="693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-0.45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7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2.28</w:t>
            </w:r>
          </w:p>
        </w:tc>
        <w:tc>
          <w:tcPr>
            <w:tcW w:w="65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1.97-2.64</w:t>
            </w:r>
          </w:p>
        </w:tc>
        <w:tc>
          <w:tcPr>
            <w:tcW w:w="6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3.74</w:t>
            </w:r>
          </w:p>
        </w:tc>
        <w:tc>
          <w:tcPr>
            <w:tcW w:w="55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2.45</w:t>
            </w:r>
          </w:p>
        </w:tc>
        <w:tc>
          <w:tcPr>
            <w:tcW w:w="60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1.82-3.30</w:t>
            </w:r>
          </w:p>
        </w:tc>
        <w:tc>
          <w:tcPr>
            <w:tcW w:w="693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3.84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2.29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1.98-2.65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3.68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2.51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1.82-3.45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3.47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1.75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1.49-2.06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1.90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2.28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1.60-3.25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2.45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1.11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0.75-1.63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0.06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1.09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0.38-3.11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0.03</w:t>
            </w:r>
          </w:p>
        </w:tc>
      </w:tr>
      <w:tr w:rsidR="00D267D0" w:rsidRPr="00D267D0" w:rsidTr="00527E59">
        <w:tc>
          <w:tcPr>
            <w:tcW w:w="1414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1.81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1.15-2.84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0.26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2.50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1.03-6.07</w:t>
            </w:r>
          </w:p>
        </w:tc>
        <w:tc>
          <w:tcPr>
            <w:tcW w:w="693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0.44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3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0.97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0.77-1.22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0.97-2.68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0.66</w:t>
            </w:r>
          </w:p>
        </w:tc>
      </w:tr>
      <w:tr w:rsidR="00D267D0" w:rsidRPr="00D267D0" w:rsidTr="00527E59"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0.89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0.79-1.00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0.64-0.99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-1.64</w:t>
            </w:r>
          </w:p>
        </w:tc>
      </w:tr>
    </w:tbl>
    <w:p w:rsidR="00D267D0" w:rsidRPr="00D267D0" w:rsidRDefault="00D267D0" w:rsidP="00D267D0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Calibri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t>Table5 Estimates of Poisson regression of COVID-19 compared to the matched Non-COVID contemporary control and influenza cohort 3 to 6 and 12 to 15 months after infection for outpatient patients. IRR – Incidence rate ratios, IR – Incidence difference per 1000 person-years.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2755"/>
        <w:gridCol w:w="629"/>
        <w:gridCol w:w="1177"/>
        <w:gridCol w:w="1351"/>
        <w:gridCol w:w="629"/>
        <w:gridCol w:w="1177"/>
        <w:gridCol w:w="1349"/>
      </w:tblGrid>
      <w:tr w:rsidR="00D267D0" w:rsidRPr="0050212C" w:rsidTr="00527E59">
        <w:tc>
          <w:tcPr>
            <w:tcW w:w="5000" w:type="pct"/>
            <w:gridSpan w:val="7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Outpatient</w:t>
            </w:r>
          </w:p>
        </w:tc>
      </w:tr>
      <w:tr w:rsidR="00D267D0" w:rsidRPr="0050212C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741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4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44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47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2.04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2.00-2.09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62.38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1.57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1.51-1.64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40.73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1.87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1.81-1.93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25.73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1.58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1.49-1.68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20.23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5.22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4.65-5.86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7.41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3.06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2.53-3.69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5.66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2.94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2.83-3.06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35.09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1.96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1.82-2.11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19.76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1.47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1.36-1.59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2.73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1.27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1.11-1.47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1.79-3.04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0.54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1.60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0.97-2.64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0.29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1.07-1.24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1.11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1.10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0.97-1.25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0.88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1.62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1.47-1.78</w:t>
            </w:r>
          </w:p>
        </w:tc>
        <w:tc>
          <w:tcPr>
            <w:tcW w:w="74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2.26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1.06-1.49</w:t>
            </w:r>
          </w:p>
        </w:tc>
        <w:tc>
          <w:tcPr>
            <w:tcW w:w="744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2.08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1.81-2.39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1.67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1.47-2.33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1.80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1.95-2.79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1.59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1.18-2.13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3.34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2.27-4.92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2.26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1.24-4.11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0.37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3.41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2.17-5.34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3.49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1.68-7.27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0.44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3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1.21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1.03-1.42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0.70-1.20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-0.17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1.27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1.15-1.41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1.04-1.49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0.98</w:t>
            </w:r>
          </w:p>
        </w:tc>
      </w:tr>
      <w:tr w:rsidR="00D267D0" w:rsidRPr="00D267D0" w:rsidTr="00527E59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Influenza Outpatient</w:t>
            </w:r>
          </w:p>
        </w:tc>
      </w:tr>
      <w:tr w:rsidR="00D267D0" w:rsidRPr="0050212C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741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4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44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1519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47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1.93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1.76-2.11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56.91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1.39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1.27-1.53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29.97</w:t>
            </w:r>
          </w:p>
        </w:tc>
      </w:tr>
      <w:tr w:rsidR="00D267D0" w:rsidRPr="00D267D0" w:rsidTr="00527E59">
        <w:trPr>
          <w:trHeight w:val="302"/>
        </w:trPr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1.68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1.48-1.92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21.85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1.50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1.30-1.73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17.41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8.71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4.34-17.49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8.08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1.06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0.79-1.42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0.44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 xml:space="preserve">  Dyspnea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2.63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2.23-3.10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32.19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1.61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1.36-1.90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14.63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1.46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1.06-2.00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2.43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1.75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1.20-2.55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3.50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4.34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0.94-20.07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0.72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3.29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0.63-17.16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0.53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0.87-1.53</w:t>
            </w:r>
          </w:p>
        </w:tc>
        <w:tc>
          <w:tcPr>
            <w:tcW w:w="74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0.99</w:t>
            </w:r>
          </w:p>
        </w:tc>
        <w:tc>
          <w:tcPr>
            <w:tcW w:w="34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1.24</w:t>
            </w:r>
          </w:p>
        </w:tc>
        <w:tc>
          <w:tcPr>
            <w:tcW w:w="64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0.91-1.69</w:t>
            </w:r>
          </w:p>
        </w:tc>
        <w:tc>
          <w:tcPr>
            <w:tcW w:w="744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1.72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2.91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1.74-4.87</w:t>
            </w:r>
          </w:p>
        </w:tc>
        <w:tc>
          <w:tcPr>
            <w:tcW w:w="74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3.71</w:t>
            </w:r>
          </w:p>
        </w:tc>
        <w:tc>
          <w:tcPr>
            <w:tcW w:w="34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0.84-1.82</w:t>
            </w:r>
          </w:p>
        </w:tc>
        <w:tc>
          <w:tcPr>
            <w:tcW w:w="744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1.08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2.31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1.24-4.29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1.77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2.08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1.17-3.72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2.07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1.77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0.91-3.47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0.89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2.52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1.06-5.97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1.28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3.62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0.62-21.11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0.43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2.56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0.55-12.01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0.41</w:t>
            </w:r>
          </w:p>
        </w:tc>
      </w:tr>
      <w:tr w:rsidR="00D267D0" w:rsidRPr="00D267D0" w:rsidTr="00527E59">
        <w:tc>
          <w:tcPr>
            <w:tcW w:w="1519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2.90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0.47-17.92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0.29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4.25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0.52-34.64</w:t>
            </w:r>
          </w:p>
        </w:tc>
        <w:tc>
          <w:tcPr>
            <w:tcW w:w="744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0.46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3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0.55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0.36-0.85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-1.28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0.58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0.36-0.93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-1.34</w:t>
            </w:r>
          </w:p>
        </w:tc>
      </w:tr>
      <w:tr w:rsidR="00D267D0" w:rsidRPr="00D267D0" w:rsidTr="00527E59"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0.79-1.69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0.63-1.29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-0.52</w:t>
            </w:r>
          </w:p>
        </w:tc>
      </w:tr>
    </w:tbl>
    <w:p w:rsidR="00D267D0" w:rsidRPr="00D267D0" w:rsidRDefault="00D267D0" w:rsidP="00D267D0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Calibri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t>Table6</w:t>
      </w:r>
      <w:r w:rsidRPr="00D267D0">
        <w:rPr>
          <w:rFonts w:ascii="Calibri" w:eastAsia="Calibri" w:hAnsi="Calibri" w:cs="Times New Roman"/>
          <w:iCs/>
          <w:color w:val="1F497D"/>
          <w:sz w:val="18"/>
          <w:szCs w:val="18"/>
          <w:lang w:val="en-US"/>
        </w:rPr>
        <w:t xml:space="preserve"> </w:t>
      </w: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t>Estimates of Poisson regression of COVID-19 compared to the matched Non-COVID contemporary control and influenza cohort 3 to 6 and 12 to 15 months after infection for hospitalized non-ICU patients. IRR – Incidence rate ratios, IR – Incidence difference per 1000 person-years.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2629"/>
        <w:gridCol w:w="704"/>
        <w:gridCol w:w="1226"/>
        <w:gridCol w:w="1289"/>
        <w:gridCol w:w="704"/>
        <w:gridCol w:w="1226"/>
        <w:gridCol w:w="1289"/>
      </w:tblGrid>
      <w:tr w:rsidR="00D267D0" w:rsidRPr="0050212C" w:rsidTr="00527E59">
        <w:tc>
          <w:tcPr>
            <w:tcW w:w="5000" w:type="pct"/>
            <w:gridSpan w:val="7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Hospital</w:t>
            </w:r>
          </w:p>
        </w:tc>
      </w:tr>
      <w:tr w:rsidR="00D267D0" w:rsidRPr="0050212C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75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775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1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8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2.62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2.48-2.78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192.39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2.01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1.75-2.31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120.58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2.74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2.45-3.06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58.22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2.21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1.70-2.87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43.80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8.19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5.65-11.88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16.48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11.56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4.33-30.84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18.69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3.25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2.92-3.61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81.05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2.46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1.89-3.22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49.32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3.23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2.84-3.67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53.53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1.92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1.39-2.65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22.54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2.21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0.89-5.45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0.60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3.51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0.73-16.87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2.04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2.19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1.93-2.48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34.12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1.59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1.15-2.18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15.94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1.94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1.63-2.30</w:t>
            </w: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14.01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1.63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1.06-2.50</w:t>
            </w:r>
          </w:p>
        </w:tc>
        <w:tc>
          <w:tcPr>
            <w:tcW w:w="711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8.93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8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6.64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5.05-8.73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24.82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3.87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2.20-6.83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17.81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4.64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3.33-6.46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11.40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6.74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2.75-16.50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12.93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8.44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2.71-26.29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1.82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4.81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0.45-50.92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1.29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14.07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1.85-107.02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0.96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9.01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0.25-322.83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1.09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0.94-2.29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0.32-2.12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-0.68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0.79-1.43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0.47-2.35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0.21</w:t>
            </w:r>
          </w:p>
        </w:tc>
      </w:tr>
      <w:tr w:rsidR="00D267D0" w:rsidRPr="00D267D0" w:rsidTr="00527E59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Influenza Hospital</w:t>
            </w:r>
          </w:p>
        </w:tc>
      </w:tr>
      <w:tr w:rsidR="00D267D0" w:rsidRPr="0050212C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75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775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1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1450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8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8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1.56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1.44-1.69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108.19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1.13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0.99-1.30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27.15</w:t>
            </w:r>
          </w:p>
        </w:tc>
      </w:tr>
      <w:tr w:rsidR="00D267D0" w:rsidRPr="00D267D0" w:rsidTr="00527E59">
        <w:trPr>
          <w:trHeight w:val="302"/>
        </w:trPr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1.41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1.22-1.64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26.15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1.42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1.07-1.89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22.31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4.74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2.76-8.14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14.46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2.76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1.43-5.33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12.92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2.60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2.18-3.09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71.35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1.15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0.89-1.49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10.51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1.59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1.34-1.89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27.20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1.17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0.84-1.63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6.84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2.14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0.51-8.90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0.67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1.92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0.38-9.78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1.00-1.40</w:t>
            </w:r>
          </w:p>
        </w:tc>
        <w:tc>
          <w:tcPr>
            <w:tcW w:w="711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9.04</w:t>
            </w:r>
          </w:p>
        </w:tc>
        <w:tc>
          <w:tcPr>
            <w:tcW w:w="388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676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0.60-1.12</w:t>
            </w:r>
          </w:p>
        </w:tc>
        <w:tc>
          <w:tcPr>
            <w:tcW w:w="711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-9.41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1.45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1.13-1.87</w:t>
            </w: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9.26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1.08</w:t>
            </w:r>
          </w:p>
        </w:tc>
        <w:tc>
          <w:tcPr>
            <w:tcW w:w="676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0.70-1.67</w:t>
            </w:r>
          </w:p>
        </w:tc>
        <w:tc>
          <w:tcPr>
            <w:tcW w:w="711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1.78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8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8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2.75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1.96-3.85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18.34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1.85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1.08-3.16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10.48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2.81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1.73-4.55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9.23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2.36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1.16-4.82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8.91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0.68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0.33-1.38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-0.95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1.92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0.26-14.11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0.79</w:t>
            </w:r>
          </w:p>
        </w:tc>
      </w:tr>
      <w:tr w:rsidR="00D267D0" w:rsidRPr="00D267D0" w:rsidTr="00527E59">
        <w:tc>
          <w:tcPr>
            <w:tcW w:w="1450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2.35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0.46-12.09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0.59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1.44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0.18-11.45</w:t>
            </w:r>
          </w:p>
        </w:tc>
        <w:tc>
          <w:tcPr>
            <w:tcW w:w="711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0.38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0.67-2.73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4.32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0.67-27.64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2.88</w:t>
            </w:r>
          </w:p>
        </w:tc>
      </w:tr>
      <w:tr w:rsidR="00D267D0" w:rsidRPr="00D267D0" w:rsidTr="00527E59"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0.53-1.25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-1.49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0.28-1.27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-3.77</w:t>
            </w:r>
          </w:p>
        </w:tc>
      </w:tr>
    </w:tbl>
    <w:p w:rsidR="00D267D0" w:rsidRPr="00D267D0" w:rsidRDefault="00D267D0" w:rsidP="00D267D0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Calibri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lastRenderedPageBreak/>
        <w:t>Table7</w:t>
      </w:r>
      <w:r w:rsidRPr="00D267D0">
        <w:rPr>
          <w:rFonts w:ascii="Calibri" w:eastAsia="Calibri" w:hAnsi="Calibri" w:cs="Times New Roman"/>
          <w:iCs/>
          <w:color w:val="1F497D"/>
          <w:sz w:val="18"/>
          <w:szCs w:val="18"/>
          <w:lang w:val="en-US"/>
        </w:rPr>
        <w:t xml:space="preserve"> </w:t>
      </w:r>
      <w:r w:rsidRPr="00D267D0">
        <w:rPr>
          <w:rFonts w:ascii="Calibri" w:eastAsia="Calibri" w:hAnsi="Calibri" w:cs="Calibri"/>
          <w:iCs/>
          <w:sz w:val="18"/>
          <w:szCs w:val="18"/>
          <w:lang w:val="en-US"/>
        </w:rPr>
        <w:t>Estimates of Poisson regression of COVID-19 compared to the matched Non-COVID contemporary control and influenza cohort 3 to 6 and 12 to 15 months after infection for hospitalized ICU patients. IRR – Incidence rate ratios, IR – Incidence difference per 1000 person-years.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2660"/>
        <w:gridCol w:w="713"/>
        <w:gridCol w:w="1240"/>
        <w:gridCol w:w="1304"/>
        <w:gridCol w:w="713"/>
        <w:gridCol w:w="1137"/>
        <w:gridCol w:w="1300"/>
      </w:tblGrid>
      <w:tr w:rsidR="00D267D0" w:rsidRPr="00D267D0" w:rsidTr="00527E59">
        <w:tc>
          <w:tcPr>
            <w:tcW w:w="5000" w:type="pct"/>
            <w:gridSpan w:val="7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ICU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95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738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8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2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27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4.40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3.94-4.91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400.00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3.44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2.71-4.36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304.26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3.96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3.16-4.96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91.46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3.56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2.13-5.93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73.25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12.83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5.94-27.69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25.00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14.99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3.98-56.41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46.36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4.79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3.91-5.86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144.64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4.31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2.80-6.63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132.08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7.62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6.14-9.45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204.67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5.73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3.29-9.97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106.29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0.47-11.47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2.00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0.07-59.58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0.71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3.17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2.47-4.08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56.55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2.02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1.12-3.66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25.18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2.97</w:t>
            </w:r>
          </w:p>
        </w:tc>
        <w:tc>
          <w:tcPr>
            <w:tcW w:w="68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2.10-4.20</w:t>
            </w:r>
          </w:p>
        </w:tc>
        <w:tc>
          <w:tcPr>
            <w:tcW w:w="71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26.16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1.36</w:t>
            </w:r>
          </w:p>
        </w:tc>
        <w:tc>
          <w:tcPr>
            <w:tcW w:w="62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0.72-2.59</w:t>
            </w:r>
          </w:p>
        </w:tc>
        <w:tc>
          <w:tcPr>
            <w:tcW w:w="71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8.49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9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2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10.73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6.82-16.88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61.13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10.08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3.45-29.49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47.84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12.29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6.65-22.73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37.68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5.76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2.03-16.29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28.32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0.49-4.18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0.32-4.17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0.95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0.54-1.67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1.50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0.42-5.31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2.86</w:t>
            </w:r>
          </w:p>
        </w:tc>
      </w:tr>
      <w:tr w:rsidR="00D267D0" w:rsidRPr="00D267D0" w:rsidTr="00527E59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Influenza ICU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95" w:type="pct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1738" w:type="pct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8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62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1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1467" w:type="pct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27" w:type="pct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1.80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1.56-2.08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230.75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1.15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0.93-1.42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55.26</w:t>
            </w:r>
          </w:p>
        </w:tc>
      </w:tr>
      <w:tr w:rsidR="00D267D0" w:rsidRPr="00D267D0" w:rsidTr="00527E59">
        <w:trPr>
          <w:trHeight w:val="302"/>
        </w:trPr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1.56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1.15-2.11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40.96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0.63-1.53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-1.50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40.38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2.49-654.49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27.09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2.94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2.13-4.06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125.16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1.74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1.12-2.68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69.43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2.08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1.64-2.65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129.41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0.90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0.62-1.32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-14.06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1.12</w:t>
            </w:r>
          </w:p>
        </w:tc>
        <w:tc>
          <w:tcPr>
            <w:tcW w:w="684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0.83-1.51</w:t>
            </w:r>
          </w:p>
        </w:tc>
        <w:tc>
          <w:tcPr>
            <w:tcW w:w="719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9.21</w:t>
            </w:r>
          </w:p>
        </w:tc>
        <w:tc>
          <w:tcPr>
            <w:tcW w:w="393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0.62</w:t>
            </w:r>
          </w:p>
        </w:tc>
        <w:tc>
          <w:tcPr>
            <w:tcW w:w="627" w:type="pct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0.37-1.04</w:t>
            </w:r>
          </w:p>
        </w:tc>
        <w:tc>
          <w:tcPr>
            <w:tcW w:w="719" w:type="pct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-32.83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1.38</w:t>
            </w:r>
          </w:p>
        </w:tc>
        <w:tc>
          <w:tcPr>
            <w:tcW w:w="684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0.86-2.21</w:t>
            </w:r>
          </w:p>
        </w:tc>
        <w:tc>
          <w:tcPr>
            <w:tcW w:w="719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11.20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0.64</w:t>
            </w:r>
          </w:p>
        </w:tc>
        <w:tc>
          <w:tcPr>
            <w:tcW w:w="627" w:type="pct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0.32-1.29</w:t>
            </w:r>
          </w:p>
        </w:tc>
        <w:tc>
          <w:tcPr>
            <w:tcW w:w="719" w:type="pct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-15.90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39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27" w:type="pct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2.82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1.73-4.61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44.84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1.22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0.65-2.29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9.43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2.43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1.33-4.43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23.38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1.77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0.69-4.55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12.93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719" w:type="pct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0.56-10.20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1.23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0.26-5.87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1.54</w:t>
            </w:r>
          </w:p>
        </w:tc>
      </w:tr>
    </w:tbl>
    <w:p w:rsidR="00D267D0" w:rsidRPr="00D267D0" w:rsidRDefault="00D267D0" w:rsidP="00D267D0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:rsidR="00D267D0" w:rsidRPr="00D267D0" w:rsidRDefault="00D267D0" w:rsidP="00D267D0">
      <w:pPr>
        <w:keepNext/>
        <w:spacing w:after="0" w:line="240" w:lineRule="auto"/>
        <w:rPr>
          <w:rFonts w:ascii="Calibri" w:eastAsia="Calibri" w:hAnsi="Calibri" w:cs="Times New Roman"/>
          <w:iCs/>
          <w:sz w:val="18"/>
          <w:szCs w:val="18"/>
          <w:lang w:val="en-US"/>
        </w:rPr>
      </w:pPr>
      <w:r w:rsidRPr="00D267D0">
        <w:rPr>
          <w:rFonts w:ascii="Calibri" w:eastAsia="Calibri" w:hAnsi="Calibri" w:cs="Times New Roman"/>
          <w:iCs/>
          <w:sz w:val="18"/>
          <w:szCs w:val="18"/>
          <w:lang w:val="en-US"/>
        </w:rPr>
        <w:t>Table8 Estimates of Poisson regression of COVID-19 compared to the matched Non-COVID contemporary control 3 to 6 and 12 to 15 months after infection by age groups. IRR – Incidence rate ratios, IR – Incidence difference per 1000 person-years.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694"/>
        <w:gridCol w:w="627"/>
        <w:gridCol w:w="1532"/>
        <w:gridCol w:w="1073"/>
        <w:gridCol w:w="536"/>
        <w:gridCol w:w="1532"/>
        <w:gridCol w:w="1073"/>
      </w:tblGrid>
      <w:tr w:rsidR="00D267D0" w:rsidRPr="00D267D0" w:rsidTr="00527E59">
        <w:tc>
          <w:tcPr>
            <w:tcW w:w="0" w:type="auto"/>
            <w:gridSpan w:val="7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18-29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1.96-2.19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48.56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1.45-1.79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33.51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1.60-1.85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22.24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1.32-1.72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19.28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2.89-5.34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1.31-3.84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2.89-3.53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26.94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1.75-2.65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15.11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2.00-4.11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1.80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0.91-3.55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1.00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1.10-3.32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5.14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1.27-20.91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0.96-1.84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0.75-2.26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1.93-4.29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0.81-3.41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0.78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lastRenderedPageBreak/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1.87-7.47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0.47-4.84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0.23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1.36-8.62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0.32-4.18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0.87-5.26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0.58-96.60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0.73-4.17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1.16-30.93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0.62-2.19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0.23-2.25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-0.20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0.87-1.47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0.52-1.47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-0.38</w:t>
            </w: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30-39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2.14-2.42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59.80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1.61-2.03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42.80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1.73-2.04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27.86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1.44-1.93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24.02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5.91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4.35-8.05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7.54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3.17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1.86-5.38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4.56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3.66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3.26-4.12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31.31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2.05-3.21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19.73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1.64-3.48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1.23-5.43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1.65-6.06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0.50-3.67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1.14-2.13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0.90-2.44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1.86-4.48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2.68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1.08-6.68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1.24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1.94-5.26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1.39-9.72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1.26-7.93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0.38-6.00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2.59-46.77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0.58-42.78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1.83-19.71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8.40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0.87-81.38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0.72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1.41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  <w:t>0.75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  <w:t>2.65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0.22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1.67</w:t>
            </w:r>
            <w:r w:rsidRPr="00D267D0">
              <w:rPr>
                <w:rFonts w:ascii="Calibri" w:eastAsia="Calibri" w:hAnsi="Calibri" w:cs="Calibri"/>
                <w:sz w:val="18"/>
                <w:szCs w:val="18"/>
              </w:rPr>
              <w:tab/>
              <w:t>0.66</w:t>
            </w:r>
            <w:r w:rsidRPr="00D267D0">
              <w:rPr>
                <w:rFonts w:ascii="Calibri" w:eastAsia="Calibri" w:hAnsi="Calibri" w:cs="Calibri"/>
                <w:sz w:val="18"/>
                <w:szCs w:val="18"/>
              </w:rPr>
              <w:tab/>
              <w:t>4.22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1.49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  <w:t>1.11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ab/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1.16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1.67</w:t>
            </w:r>
            <w:r w:rsidRPr="00D267D0">
              <w:rPr>
                <w:rFonts w:ascii="Calibri" w:eastAsia="Calibri" w:hAnsi="Calibri" w:cs="Calibri"/>
                <w:sz w:val="18"/>
                <w:szCs w:val="18"/>
              </w:rPr>
              <w:tab/>
              <w:t>1.05</w:t>
            </w:r>
            <w:r w:rsidRPr="00D267D0">
              <w:rPr>
                <w:rFonts w:ascii="Calibri" w:eastAsia="Calibri" w:hAnsi="Calibri" w:cs="Calibri"/>
                <w:sz w:val="18"/>
                <w:szCs w:val="18"/>
              </w:rPr>
              <w:tab/>
              <w:t>2.66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40-49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2.47-2.75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79.26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1.55-1.90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41.85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1.83-2.12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30.37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1.31-1.73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18.25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5.59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4.35-7.17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9.05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3.54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2.32-5.38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7.20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4.41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4.00-4.86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47.37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2.36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1.96-2.85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21.94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1.61-2.76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0.88-2.27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1.67-5.06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0.51-4.68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1.24-2.02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0.66-1.70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2.76-5.63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3.02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0.79-2.72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1.89-3.95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1.43-4.99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2.28-6.75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0.55-3.02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1.81-11.44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0.56-5.64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2.34-16.52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0.44-9.13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0.25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1.00-2.13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0.34-1.41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-0.57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1.10-1.75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0.98-2.19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1.87</w:t>
            </w: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50-59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2.50-2.74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87.80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1.72-2.04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56.68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1.98-2.27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31.70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1.52-1.95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23.77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6.09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5.00-7.41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3.98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2.90-5.48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11.01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3.53-4.12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50.99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2.20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1.90-2.54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25.63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1.89-2.64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5.31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1.17-2.19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highlight w:val="yellow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1.46-4.94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0.41-3.15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0.08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1.51-2.17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1.09-2.04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2.46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3.36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2.64-4.27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2.12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1.39-3.23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2.75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2.52-4.21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3.72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2.48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1.60-3.85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3.22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2.27-4.28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1.20-3.66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2.59-11.68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2.64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0.85-8.15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0.53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5.79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2.21-15.21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7.71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1.12-53.05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0.61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0.93-1.70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0.55-1.39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-0.38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1.01-1.52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0.77-1.60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</w:t>
            </w: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60-69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2.45-2.75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99.55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1.69-2.09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66.12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2.28-2.80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33.04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1.68-2.44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25.87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8.00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5.79-11.03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11.65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4.36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2.70-7.03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10.04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2.95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2.69-3.23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50.05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2.22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1.86-2.64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33.85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2.40-3.25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16.75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1.33-2.31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8.87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1.20-5.66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3.00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0.42-21.30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1.51-2.15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6.07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0.86-1.72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1.80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1.73-2.81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4.51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1.19-2.80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3.87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3.34-5.66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9.07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2.84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1.79-4.49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6.58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2.72-5.29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4.92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1.84-6.16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4.68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1.06-6.46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0.66-11.87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0.81-11.09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0.06-15.99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0.00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0.81-1.73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0.36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0.62-2.00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0.36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1.00-1.62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0.77-1.85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1.05</w:t>
            </w: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70-79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1.74-1.97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97.63</w:t>
            </w:r>
          </w:p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1.28-1.62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61.25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2.20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1.93-2.51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29.26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1.30-2.13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20.87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2.56-6.08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5.47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3.63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1.66-7.93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6.17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1.98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1.78-2.21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37.92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1.32-2.03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28.07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2.05-2.66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33.09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1.25-2.18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16.23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0.44-3.00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0.09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0.29-5.52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0.24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1.21-1.56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11.37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0.87-1.43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4.46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1.21-1.71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6.96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0.79-1.51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2.03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2.58-4.49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1.18-3.21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6.51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2.40-4.49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8.47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1.47-4.48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7.94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0.95-8.80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0.28-14.21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0.78-22.80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0.37-10.93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0.59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0.64-1.43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0.41-1.80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-0.64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0.89-1.57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0.56-1.84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0.10</w:t>
            </w: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80-89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1.50-1.67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95.33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1.10-1.38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44.21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1.64-2.06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32.39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1.17-1.91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21.20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3.94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2.43-6.39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4.74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0.68-4.36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1.82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1. 50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1.35-1.68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23.43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1.31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1.04-1.66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15.98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1.83-2.30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38.75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1.09-1.81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16.21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0.47-3.37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2.25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0.29-17.31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1.26-1.55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22.33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0.90-1.39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8.17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1.28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1.10-1.47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7.68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0.76-1.37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0.60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2.17-3.61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11.58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1.10-2.91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7.38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2.86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2.02-4.04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6.31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0.79-3.08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2.76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0.76-1.75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0.33-1.73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-1.16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0.70-1.32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-0.24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0.59-2.72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1.17</w:t>
            </w:r>
          </w:p>
        </w:tc>
      </w:tr>
      <w:tr w:rsidR="00D267D0" w:rsidRPr="00D267D0" w:rsidTr="00527E59"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COVID-19 versus Non-COVID Age group 90+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gridSpan w:val="3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 to 6 months after index date</w:t>
            </w:r>
          </w:p>
        </w:tc>
        <w:tc>
          <w:tcPr>
            <w:tcW w:w="0" w:type="auto"/>
            <w:gridSpan w:val="3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12 to 15 months after index date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Symptom or Condition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IR difference</w:t>
            </w:r>
          </w:p>
        </w:tc>
      </w:tr>
      <w:tr w:rsidR="00D267D0" w:rsidRPr="00D267D0" w:rsidTr="00527E59">
        <w:trPr>
          <w:trHeight w:val="30"/>
        </w:trPr>
        <w:tc>
          <w:tcPr>
            <w:tcW w:w="2694" w:type="dxa"/>
            <w:tcBorders>
              <w:top w:val="single" w:sz="12" w:space="0" w:color="auto"/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WHO post-COVID</w:t>
            </w:r>
          </w:p>
        </w:tc>
        <w:tc>
          <w:tcPr>
            <w:tcW w:w="627" w:type="dxa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 </w:t>
            </w: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WHO post-COVID Definition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1.07-1.31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35.40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0.80-1.23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-1.72</w:t>
            </w:r>
          </w:p>
        </w:tc>
      </w:tr>
      <w:tr w:rsidR="00D267D0" w:rsidRPr="00D267D0" w:rsidTr="00527E59">
        <w:trPr>
          <w:trHeight w:val="302"/>
        </w:trPr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Malaise/exhaustion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1.07-1.58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16.32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1.40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0.93-2.11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22.45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Chronic fatigue syndrome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3.17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0.90-11.23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2.74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0.50-14.89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4.04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Dyspnea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1.33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1.07-1.64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14.55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0.59-1.44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-4.51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Respiratory insufficiency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1.15-1.71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19.82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0.47-1.16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-15.91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Chest pain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Cognitive Impairment </w:t>
            </w:r>
          </w:p>
        </w:tc>
        <w:tc>
          <w:tcPr>
            <w:tcW w:w="627" w:type="dxa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1.06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0.87-1.28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3.77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0.65-1.55</w:t>
            </w:r>
          </w:p>
        </w:tc>
        <w:tc>
          <w:tcPr>
            <w:tcW w:w="0" w:type="auto"/>
            <w:tcBorders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0.18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Memory disorder</w:t>
            </w:r>
          </w:p>
        </w:tc>
        <w:tc>
          <w:tcPr>
            <w:tcW w:w="627" w:type="dxa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0.67-1.13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-4.77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0.41-1.24</w:t>
            </w:r>
          </w:p>
        </w:tc>
        <w:tc>
          <w:tcPr>
            <w:tcW w:w="0" w:type="auto"/>
            <w:tcBorders>
              <w:bottom w:val="single" w:sz="12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-12.07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Tissue damage</w:t>
            </w:r>
          </w:p>
        </w:tc>
        <w:tc>
          <w:tcPr>
            <w:tcW w:w="627" w:type="dxa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Pulmonary embolism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1.82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1.04-3.17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0.54-5.15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4.14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Lung damage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0.57-3.63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0.37-10.97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2.57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Pericarditis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Myocarditis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Negative control endpoints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Melanoma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0.95-5.58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0.23-7.15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0.87</w:t>
            </w:r>
          </w:p>
        </w:tc>
      </w:tr>
      <w:tr w:rsidR="00D267D0" w:rsidRPr="00D267D0" w:rsidTr="00527E59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 Tinea pedis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0.57-2.09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2.15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</w:rPr>
              <w:t>0.46-10.19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7D0" w:rsidRPr="00D267D0" w:rsidRDefault="00D267D0" w:rsidP="00D267D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267D0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3.45</w:t>
            </w:r>
          </w:p>
        </w:tc>
      </w:tr>
    </w:tbl>
    <w:p w:rsidR="00D267D0" w:rsidRPr="00D267D0" w:rsidRDefault="00D267D0" w:rsidP="00D267D0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:rsidR="005F6B44" w:rsidRDefault="0050212C"/>
    <w:sectPr w:rsidR="005F6B44" w:rsidSect="00D267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11F87"/>
    <w:multiLevelType w:val="hybridMultilevel"/>
    <w:tmpl w:val="76561E9A"/>
    <w:lvl w:ilvl="0" w:tplc="9C5AC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C74F9"/>
    <w:multiLevelType w:val="hybridMultilevel"/>
    <w:tmpl w:val="8C788248"/>
    <w:lvl w:ilvl="0" w:tplc="F7CE2C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0398F"/>
    <w:multiLevelType w:val="hybridMultilevel"/>
    <w:tmpl w:val="BE125264"/>
    <w:lvl w:ilvl="0" w:tplc="F7CE2C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D0"/>
    <w:rsid w:val="001878AB"/>
    <w:rsid w:val="002A73CC"/>
    <w:rsid w:val="0050212C"/>
    <w:rsid w:val="00D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92C78-0661-4C40-87E6-509F88F0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D26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267D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numbering" w:customStyle="1" w:styleId="KeineListe1">
    <w:name w:val="Keine Liste1"/>
    <w:next w:val="KeineListe"/>
    <w:uiPriority w:val="99"/>
    <w:semiHidden/>
    <w:unhideWhenUsed/>
    <w:rsid w:val="00D267D0"/>
  </w:style>
  <w:style w:type="paragraph" w:customStyle="1" w:styleId="EndNoteBibliographyTitle">
    <w:name w:val="EndNote Bibliography Title"/>
    <w:basedOn w:val="Standard"/>
    <w:link w:val="EndNoteBibliographyTitleZchn"/>
    <w:rsid w:val="00D267D0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267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267D0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267D0"/>
    <w:rPr>
      <w:rFonts w:ascii="Calibri" w:hAnsi="Calibri" w:cs="Calibri"/>
      <w:noProof/>
      <w:lang w:val="en-US"/>
    </w:rPr>
  </w:style>
  <w:style w:type="character" w:customStyle="1" w:styleId="Hyperlink1">
    <w:name w:val="Hyperlink1"/>
    <w:basedOn w:val="Absatz-Standardschriftart"/>
    <w:uiPriority w:val="99"/>
    <w:unhideWhenUsed/>
    <w:rsid w:val="00D267D0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267D0"/>
    <w:rPr>
      <w:color w:val="605E5C"/>
      <w:shd w:val="clear" w:color="auto" w:fill="E1DFDD"/>
    </w:rPr>
  </w:style>
  <w:style w:type="character" w:customStyle="1" w:styleId="BesuchterLink1">
    <w:name w:val="BesuchterLink1"/>
    <w:basedOn w:val="Absatz-Standardschriftart"/>
    <w:uiPriority w:val="99"/>
    <w:semiHidden/>
    <w:unhideWhenUsed/>
    <w:rsid w:val="00D267D0"/>
    <w:rPr>
      <w:color w:val="800080"/>
      <w:u w:val="single"/>
    </w:rPr>
  </w:style>
  <w:style w:type="character" w:styleId="Hervorhebung">
    <w:name w:val="Emphasis"/>
    <w:basedOn w:val="Absatz-Standardschriftart"/>
    <w:uiPriority w:val="20"/>
    <w:qFormat/>
    <w:rsid w:val="00D267D0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67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267D0"/>
    <w:pPr>
      <w:spacing w:after="20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267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67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67D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67D0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D2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99"/>
    <w:rsid w:val="00D2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chriftung1">
    <w:name w:val="Beschriftung1"/>
    <w:basedOn w:val="Standard"/>
    <w:next w:val="Standard"/>
    <w:uiPriority w:val="35"/>
    <w:unhideWhenUsed/>
    <w:qFormat/>
    <w:rsid w:val="00D267D0"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26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67D0"/>
  </w:style>
  <w:style w:type="paragraph" w:styleId="Fuzeile">
    <w:name w:val="footer"/>
    <w:basedOn w:val="Standard"/>
    <w:link w:val="FuzeileZchn"/>
    <w:uiPriority w:val="99"/>
    <w:unhideWhenUsed/>
    <w:rsid w:val="00D26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67D0"/>
  </w:style>
  <w:style w:type="paragraph" w:styleId="berarbeitung">
    <w:name w:val="Revision"/>
    <w:hidden/>
    <w:uiPriority w:val="99"/>
    <w:semiHidden/>
    <w:rsid w:val="00D267D0"/>
    <w:pPr>
      <w:spacing w:after="0" w:line="240" w:lineRule="auto"/>
    </w:p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D267D0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2">
    <w:name w:val="Gitternetztabelle 1 hell2"/>
    <w:basedOn w:val="NormaleTabelle"/>
    <w:next w:val="Gitternetztabelle1hell"/>
    <w:uiPriority w:val="46"/>
    <w:rsid w:val="00D267D0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element-citation">
    <w:name w:val="element-citation"/>
    <w:basedOn w:val="Absatz-Standardschriftart"/>
    <w:rsid w:val="00D267D0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267D0"/>
    <w:rPr>
      <w:color w:val="605E5C"/>
      <w:shd w:val="clear" w:color="auto" w:fill="E1DFDD"/>
    </w:rPr>
  </w:style>
  <w:style w:type="paragraph" w:customStyle="1" w:styleId="p">
    <w:name w:val="p"/>
    <w:basedOn w:val="Standard"/>
    <w:rsid w:val="00D26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67D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D26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D267D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267D0"/>
    <w:rPr>
      <w:color w:val="954F72" w:themeColor="followedHyperlink"/>
      <w:u w:val="single"/>
    </w:rPr>
  </w:style>
  <w:style w:type="table" w:styleId="Gitternetztabelle1hell">
    <w:name w:val="Grid Table 1 Light"/>
    <w:basedOn w:val="NormaleTabelle"/>
    <w:uiPriority w:val="46"/>
    <w:rsid w:val="00D267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3386</Words>
  <Characters>21334</Characters>
  <Application>Microsoft Office Word</Application>
  <DocSecurity>0</DocSecurity>
  <Lines>177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Carl Gustav Carus</Company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Tesch, Falko</dc:creator>
  <cp:keywords/>
  <dc:description/>
  <cp:lastModifiedBy>Tesch, Falko</cp:lastModifiedBy>
  <cp:revision>2</cp:revision>
  <dcterms:created xsi:type="dcterms:W3CDTF">2024-01-16T09:56:00Z</dcterms:created>
  <dcterms:modified xsi:type="dcterms:W3CDTF">2024-04-05T12:44:00Z</dcterms:modified>
</cp:coreProperties>
</file>