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lang w:val="en-GB"/>
        </w:rPr>
      </w:pPr>
      <w:r>
        <w:rPr>
          <w:lang w:val="en-GB"/>
        </w:rPr>
        <w:t xml:space="preserve">Supplementary Table S2 </w:t>
      </w:r>
    </w:p>
    <w:p>
      <w:pPr>
        <w:rPr>
          <w:lang w:val="en-GB"/>
        </w:rPr>
      </w:pPr>
      <w:r>
        <w:rPr>
          <w:lang w:val="en-GB"/>
        </w:rPr>
        <w:t>Separate multivariable</w:t>
      </w:r>
      <w:bookmarkStart w:id="0" w:name="_GoBack"/>
      <w:bookmarkEnd w:id="0"/>
      <w:r>
        <w:rPr>
          <w:lang w:val="en-GB"/>
        </w:rPr>
        <w:t xml:space="preserve"> regression analyses for reported mpox cases and serologically suspected mpox cases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47"/>
        <w:gridCol w:w="1116"/>
        <w:gridCol w:w="878"/>
        <w:gridCol w:w="1762"/>
        <w:gridCol w:w="1112"/>
        <w:gridCol w:w="939"/>
        <w:gridCol w:w="1716"/>
        <w:gridCol w:w="1083"/>
      </w:tblGrid>
      <w:tr>
        <w:tc>
          <w:tcPr>
            <w:tcW w:w="0" w:type="auto"/>
          </w:tcPr>
          <w:p>
            <w:pPr>
              <w:rPr>
                <w:rFonts w:cstheme="minorHAnsi"/>
                <w:lang w:val="en-GB"/>
              </w:rPr>
            </w:pPr>
            <w:bookmarkStart w:id="1" w:name="_Hlk165105746"/>
          </w:p>
        </w:tc>
        <w:tc>
          <w:tcPr>
            <w:tcW w:w="0" w:type="auto"/>
          </w:tcPr>
          <w:p>
            <w:pPr>
              <w:rPr>
                <w:rFonts w:cstheme="minorHAnsi"/>
                <w:lang w:val="en-GB"/>
              </w:rPr>
            </w:pPr>
          </w:p>
        </w:tc>
        <w:tc>
          <w:tcPr>
            <w:tcW w:w="0" w:type="auto"/>
            <w:gridSpan w:val="3"/>
          </w:tcPr>
          <w:p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Multivariable (N=502, mpox diagnosed)</w:t>
            </w:r>
          </w:p>
        </w:tc>
        <w:tc>
          <w:tcPr>
            <w:tcW w:w="0" w:type="auto"/>
            <w:gridSpan w:val="3"/>
          </w:tcPr>
          <w:p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Multivariable (N=508, mpox suspected)</w:t>
            </w:r>
          </w:p>
        </w:tc>
      </w:tr>
      <w:tr>
        <w:tc>
          <w:tcPr>
            <w:tcW w:w="0" w:type="auto"/>
          </w:tcPr>
          <w:p>
            <w:pPr>
              <w:rPr>
                <w:rFonts w:cstheme="minorHAnsi"/>
                <w:lang w:val="en-GB"/>
              </w:rPr>
            </w:pPr>
          </w:p>
        </w:tc>
        <w:tc>
          <w:tcPr>
            <w:tcW w:w="0" w:type="auto"/>
          </w:tcPr>
          <w:p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b/>
                <w:bCs/>
                <w:kern w:val="24"/>
                <w:lang w:val="en-GB"/>
              </w:rPr>
              <w:t> </w:t>
            </w: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OR</w:t>
            </w:r>
          </w:p>
        </w:tc>
        <w:tc>
          <w:tcPr>
            <w:tcW w:w="0" w:type="auto"/>
          </w:tcPr>
          <w:p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95% CI</w:t>
            </w: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</w:t>
            </w: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OR </w:t>
            </w:r>
          </w:p>
        </w:tc>
        <w:tc>
          <w:tcPr>
            <w:tcW w:w="0" w:type="auto"/>
          </w:tcPr>
          <w:p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95% CI</w:t>
            </w: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</w:t>
            </w:r>
          </w:p>
        </w:tc>
      </w:tr>
      <w:tr>
        <w:tc>
          <w:tcPr>
            <w:tcW w:w="0" w:type="auto"/>
          </w:tcPr>
          <w:p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Age group</w:t>
            </w:r>
          </w:p>
        </w:tc>
        <w:tc>
          <w:tcPr>
            <w:tcW w:w="0" w:type="auto"/>
          </w:tcPr>
          <w:p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b/>
                <w:bCs/>
                <w:kern w:val="24"/>
                <w:lang w:val="en-GB"/>
              </w:rPr>
              <w:t>18-29</w:t>
            </w: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ref</w:t>
            </w:r>
          </w:p>
        </w:tc>
        <w:tc>
          <w:tcPr>
            <w:tcW w:w="0" w:type="auto"/>
          </w:tcPr>
          <w:p>
            <w:pPr>
              <w:rPr>
                <w:rFonts w:cstheme="minorHAnsi"/>
                <w:lang w:val="en-GB"/>
              </w:rPr>
            </w:pPr>
          </w:p>
        </w:tc>
        <w:tc>
          <w:tcPr>
            <w:tcW w:w="0" w:type="auto"/>
          </w:tcPr>
          <w:p>
            <w:pPr>
              <w:rPr>
                <w:rFonts w:cstheme="minorHAnsi"/>
                <w:lang w:val="en-GB"/>
              </w:rPr>
            </w:pP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ref</w:t>
            </w:r>
          </w:p>
        </w:tc>
        <w:tc>
          <w:tcPr>
            <w:tcW w:w="0" w:type="auto"/>
          </w:tcPr>
          <w:p>
            <w:pPr>
              <w:rPr>
                <w:rFonts w:cstheme="minorHAnsi"/>
                <w:lang w:val="en-GB"/>
              </w:rPr>
            </w:pPr>
          </w:p>
        </w:tc>
        <w:tc>
          <w:tcPr>
            <w:tcW w:w="0" w:type="auto"/>
          </w:tcPr>
          <w:p>
            <w:pPr>
              <w:rPr>
                <w:rFonts w:cstheme="minorHAnsi"/>
                <w:lang w:val="en-GB"/>
              </w:rPr>
            </w:pPr>
          </w:p>
        </w:tc>
      </w:tr>
      <w:tr>
        <w:tc>
          <w:tcPr>
            <w:tcW w:w="0" w:type="auto"/>
          </w:tcPr>
          <w:p>
            <w:pPr>
              <w:rPr>
                <w:rFonts w:cstheme="minorHAnsi"/>
                <w:lang w:val="en-GB"/>
              </w:rPr>
            </w:pPr>
          </w:p>
        </w:tc>
        <w:tc>
          <w:tcPr>
            <w:tcW w:w="0" w:type="auto"/>
          </w:tcPr>
          <w:p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b/>
                <w:bCs/>
                <w:kern w:val="24"/>
                <w:lang w:val="en-GB"/>
              </w:rPr>
              <w:t>30-39</w:t>
            </w: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lang w:val="en-GB"/>
              </w:rPr>
            </w:pPr>
            <w:r>
              <w:t xml:space="preserve"> 1.07</w:t>
            </w:r>
            <w:r>
              <w:rPr>
                <w:rFonts w:cstheme="minorHAnsi"/>
                <w:lang w:val="en-GB"/>
              </w:rPr>
              <w:t xml:space="preserve"> </w:t>
            </w:r>
          </w:p>
        </w:tc>
        <w:tc>
          <w:tcPr>
            <w:tcW w:w="0" w:type="auto"/>
          </w:tcPr>
          <w:p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0.45 - 2.65</w:t>
            </w: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0.885</w:t>
            </w: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bCs/>
                <w:kern w:val="24"/>
                <w:lang w:val="en-GB"/>
              </w:rPr>
              <w:t>0.65</w:t>
            </w:r>
          </w:p>
        </w:tc>
        <w:tc>
          <w:tcPr>
            <w:tcW w:w="0" w:type="auto"/>
          </w:tcPr>
          <w:p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bCs/>
                <w:kern w:val="24"/>
                <w:lang w:val="en-GB"/>
              </w:rPr>
              <w:t>0.30 - 1.43</w:t>
            </w: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bCs/>
                <w:kern w:val="24"/>
                <w:lang w:val="en-GB"/>
              </w:rPr>
              <w:t>0.284</w:t>
            </w:r>
          </w:p>
        </w:tc>
      </w:tr>
      <w:tr>
        <w:tc>
          <w:tcPr>
            <w:tcW w:w="0" w:type="auto"/>
          </w:tcPr>
          <w:p>
            <w:pPr>
              <w:rPr>
                <w:rFonts w:cstheme="minorHAnsi"/>
                <w:lang w:val="en-GB"/>
              </w:rPr>
            </w:pPr>
          </w:p>
        </w:tc>
        <w:tc>
          <w:tcPr>
            <w:tcW w:w="0" w:type="auto"/>
          </w:tcPr>
          <w:p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b/>
                <w:bCs/>
                <w:kern w:val="24"/>
                <w:lang w:val="en-GB"/>
              </w:rPr>
              <w:t>40-49</w:t>
            </w: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1.03</w:t>
            </w:r>
          </w:p>
        </w:tc>
        <w:tc>
          <w:tcPr>
            <w:tcW w:w="0" w:type="auto"/>
          </w:tcPr>
          <w:p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0.37 - 2.82</w:t>
            </w: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0.955</w:t>
            </w: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bCs/>
                <w:kern w:val="24"/>
                <w:lang w:val="en-GB"/>
              </w:rPr>
              <w:t>0.73</w:t>
            </w:r>
          </w:p>
        </w:tc>
        <w:tc>
          <w:tcPr>
            <w:tcW w:w="0" w:type="auto"/>
          </w:tcPr>
          <w:p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color w:val="000000" w:themeColor="dark1"/>
                <w:kern w:val="24"/>
                <w:lang w:val="en-GB"/>
              </w:rPr>
              <w:t>0.29 - 1.77</w:t>
            </w: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color w:val="000000" w:themeColor="dark1"/>
                <w:kern w:val="24"/>
                <w:lang w:val="en-GB"/>
              </w:rPr>
              <w:t>0.493</w:t>
            </w:r>
          </w:p>
        </w:tc>
      </w:tr>
      <w:tr>
        <w:tc>
          <w:tcPr>
            <w:tcW w:w="0" w:type="auto"/>
          </w:tcPr>
          <w:p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Social contact with MPXV</w:t>
            </w:r>
          </w:p>
        </w:tc>
        <w:tc>
          <w:tcPr>
            <w:tcW w:w="0" w:type="auto"/>
          </w:tcPr>
          <w:p>
            <w:pPr>
              <w:pStyle w:val="StandardWeb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kern w:val="24"/>
                <w:sz w:val="22"/>
                <w:szCs w:val="22"/>
                <w:lang w:val="en-GB"/>
              </w:rPr>
              <w:t>No</w:t>
            </w:r>
          </w:p>
          <w:p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b/>
                <w:bCs/>
                <w:kern w:val="24"/>
                <w:lang w:val="en-GB"/>
              </w:rPr>
              <w:t>Yes</w:t>
            </w: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Ref</w:t>
            </w:r>
          </w:p>
          <w:p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1.50 </w:t>
            </w:r>
          </w:p>
        </w:tc>
        <w:tc>
          <w:tcPr>
            <w:tcW w:w="0" w:type="auto"/>
          </w:tcPr>
          <w:p>
            <w:pPr>
              <w:jc w:val="center"/>
              <w:rPr>
                <w:rFonts w:cstheme="minorHAnsi"/>
                <w:lang w:val="en-GB"/>
              </w:rPr>
            </w:pPr>
          </w:p>
          <w:p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0.63 - 3.62</w:t>
            </w: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lang w:val="en-GB"/>
              </w:rPr>
            </w:pPr>
          </w:p>
          <w:p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0.363</w:t>
            </w:r>
          </w:p>
        </w:tc>
        <w:tc>
          <w:tcPr>
            <w:tcW w:w="0" w:type="auto"/>
          </w:tcPr>
          <w:p>
            <w:pPr>
              <w:pStyle w:val="StandardWeb"/>
              <w:spacing w:before="0" w:beforeAutospacing="0" w:after="0" w:afterAutospacing="0"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Cs/>
                <w:kern w:val="24"/>
                <w:sz w:val="22"/>
                <w:szCs w:val="22"/>
                <w:lang w:val="en-GB"/>
              </w:rPr>
              <w:t>ref</w:t>
            </w:r>
          </w:p>
          <w:p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eastAsia="Calibri" w:cstheme="minorHAnsi"/>
                <w:bCs/>
                <w:kern w:val="24"/>
                <w:lang w:val="en-GB"/>
              </w:rPr>
              <w:t>0.78</w:t>
            </w:r>
          </w:p>
        </w:tc>
        <w:tc>
          <w:tcPr>
            <w:tcW w:w="0" w:type="auto"/>
          </w:tcPr>
          <w:p>
            <w:pPr>
              <w:pStyle w:val="StandardWeb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dark1"/>
                <w:kern w:val="24"/>
                <w:sz w:val="22"/>
                <w:szCs w:val="22"/>
                <w:lang w:val="en-GB"/>
              </w:rPr>
              <w:t> </w:t>
            </w:r>
          </w:p>
          <w:p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eastAsia="Calibri" w:cstheme="minorHAnsi"/>
                <w:color w:val="000000" w:themeColor="dark1"/>
                <w:kern w:val="24"/>
                <w:lang w:val="en-GB"/>
              </w:rPr>
              <w:t>0.36 - 1.62</w:t>
            </w:r>
          </w:p>
        </w:tc>
        <w:tc>
          <w:tcPr>
            <w:tcW w:w="0" w:type="auto"/>
          </w:tcPr>
          <w:p>
            <w:pPr>
              <w:jc w:val="right"/>
              <w:rPr>
                <w:rFonts w:eastAsia="Calibri" w:cstheme="minorHAnsi"/>
                <w:color w:val="000000" w:themeColor="dark1"/>
                <w:kern w:val="24"/>
                <w:lang w:val="en-GB"/>
              </w:rPr>
            </w:pPr>
          </w:p>
          <w:p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eastAsia="Calibri" w:cstheme="minorHAnsi"/>
                <w:color w:val="000000" w:themeColor="dark1"/>
                <w:kern w:val="24"/>
                <w:lang w:val="en-GB"/>
              </w:rPr>
              <w:t>0.505</w:t>
            </w:r>
          </w:p>
        </w:tc>
      </w:tr>
      <w:tr>
        <w:tc>
          <w:tcPr>
            <w:tcW w:w="0" w:type="auto"/>
          </w:tcPr>
          <w:p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Sexual contact</w:t>
            </w:r>
          </w:p>
        </w:tc>
        <w:tc>
          <w:tcPr>
            <w:tcW w:w="0" w:type="auto"/>
          </w:tcPr>
          <w:p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b/>
                <w:bCs/>
                <w:kern w:val="24"/>
                <w:lang w:val="en-GB"/>
              </w:rPr>
              <w:t> </w:t>
            </w: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>7.45</w:t>
            </w:r>
          </w:p>
        </w:tc>
        <w:tc>
          <w:tcPr>
            <w:tcW w:w="0" w:type="auto"/>
          </w:tcPr>
          <w:p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2.95 – 19.44</w:t>
            </w: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>&lt;0.001</w:t>
            </w: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eastAsia="Calibri" w:cstheme="minorHAnsi"/>
                <w:bCs/>
                <w:kern w:val="24"/>
                <w:lang w:val="en-GB"/>
              </w:rPr>
              <w:t>1.21</w:t>
            </w:r>
          </w:p>
        </w:tc>
        <w:tc>
          <w:tcPr>
            <w:tcW w:w="0" w:type="auto"/>
          </w:tcPr>
          <w:p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eastAsia="Calibri" w:cstheme="minorHAnsi"/>
                <w:color w:val="000000" w:themeColor="dark1"/>
                <w:kern w:val="24"/>
                <w:lang w:val="en-GB"/>
              </w:rPr>
              <w:t>0.39 – 3.33</w:t>
            </w: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eastAsia="Calibri" w:cstheme="minorHAnsi"/>
                <w:bCs/>
                <w:color w:val="000000" w:themeColor="dark1"/>
                <w:kern w:val="24"/>
                <w:lang w:val="en-GB"/>
              </w:rPr>
              <w:t>0.720</w:t>
            </w:r>
          </w:p>
        </w:tc>
      </w:tr>
      <w:tr>
        <w:tc>
          <w:tcPr>
            <w:tcW w:w="0" w:type="auto"/>
          </w:tcPr>
          <w:p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Sexual partners (last three months)</w:t>
            </w:r>
          </w:p>
        </w:tc>
        <w:tc>
          <w:tcPr>
            <w:tcW w:w="0" w:type="auto"/>
          </w:tcPr>
          <w:p>
            <w:pPr>
              <w:pStyle w:val="StandardWeb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kern w:val="24"/>
                <w:sz w:val="22"/>
                <w:szCs w:val="22"/>
                <w:lang w:val="en-GB"/>
              </w:rPr>
              <w:t>None or 1</w:t>
            </w:r>
          </w:p>
          <w:p>
            <w:pPr>
              <w:pStyle w:val="StandardWeb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kern w:val="24"/>
                <w:sz w:val="22"/>
                <w:szCs w:val="22"/>
                <w:lang w:val="en-GB"/>
              </w:rPr>
              <w:t>2-4</w:t>
            </w:r>
          </w:p>
          <w:p>
            <w:pPr>
              <w:pStyle w:val="StandardWeb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kern w:val="24"/>
                <w:sz w:val="22"/>
                <w:szCs w:val="22"/>
                <w:lang w:val="en-GB"/>
              </w:rPr>
              <w:t>5-10</w:t>
            </w:r>
          </w:p>
          <w:p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b/>
                <w:bCs/>
                <w:kern w:val="24"/>
                <w:lang w:val="en-GB"/>
              </w:rPr>
              <w:t>&gt;10</w:t>
            </w:r>
          </w:p>
        </w:tc>
        <w:tc>
          <w:tcPr>
            <w:tcW w:w="0" w:type="auto"/>
          </w:tcPr>
          <w:p>
            <w:pPr>
              <w:spacing w:line="276" w:lineRule="auto"/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Ref.</w:t>
            </w:r>
          </w:p>
          <w:p>
            <w:pPr>
              <w:spacing w:line="276" w:lineRule="auto"/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0.23 </w:t>
            </w:r>
          </w:p>
          <w:p>
            <w:pPr>
              <w:spacing w:line="276" w:lineRule="auto"/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0.06</w:t>
            </w:r>
          </w:p>
          <w:p>
            <w:pPr>
              <w:spacing w:line="276" w:lineRule="auto"/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0.13</w:t>
            </w:r>
          </w:p>
        </w:tc>
        <w:tc>
          <w:tcPr>
            <w:tcW w:w="0" w:type="auto"/>
          </w:tcPr>
          <w:p>
            <w:pPr>
              <w:spacing w:line="276" w:lineRule="auto"/>
              <w:jc w:val="center"/>
              <w:rPr>
                <w:rFonts w:cstheme="minorHAnsi"/>
                <w:lang w:val="en-GB"/>
              </w:rPr>
            </w:pPr>
          </w:p>
          <w:p>
            <w:pPr>
              <w:spacing w:line="276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0.05 - 1.07</w:t>
            </w:r>
          </w:p>
          <w:p>
            <w:pPr>
              <w:spacing w:line="276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0.01 - 0.37</w:t>
            </w:r>
          </w:p>
          <w:p>
            <w:pPr>
              <w:spacing w:line="276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0.01 - 1.03</w:t>
            </w:r>
          </w:p>
        </w:tc>
        <w:tc>
          <w:tcPr>
            <w:tcW w:w="0" w:type="auto"/>
          </w:tcPr>
          <w:p>
            <w:pPr>
              <w:spacing w:line="276" w:lineRule="auto"/>
              <w:jc w:val="right"/>
              <w:rPr>
                <w:rFonts w:cstheme="minorHAnsi"/>
                <w:lang w:val="en-GB"/>
              </w:rPr>
            </w:pPr>
          </w:p>
          <w:p>
            <w:pPr>
              <w:spacing w:line="276" w:lineRule="auto"/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0.056</w:t>
            </w:r>
          </w:p>
          <w:p>
            <w:pPr>
              <w:spacing w:line="276" w:lineRule="auto"/>
              <w:jc w:val="right"/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>0.004</w:t>
            </w:r>
          </w:p>
          <w:p>
            <w:pPr>
              <w:spacing w:line="276" w:lineRule="auto"/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0.060</w:t>
            </w:r>
          </w:p>
        </w:tc>
        <w:tc>
          <w:tcPr>
            <w:tcW w:w="0" w:type="auto"/>
          </w:tcPr>
          <w:p>
            <w:pPr>
              <w:pStyle w:val="StandardWeb"/>
              <w:spacing w:before="0" w:beforeAutospacing="0" w:after="0" w:afterAutospacing="0"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Cs/>
                <w:kern w:val="24"/>
                <w:sz w:val="22"/>
                <w:szCs w:val="22"/>
                <w:lang w:val="en-GB"/>
              </w:rPr>
              <w:t>ref</w:t>
            </w:r>
          </w:p>
          <w:p>
            <w:pPr>
              <w:pStyle w:val="StandardWeb"/>
              <w:spacing w:before="0" w:beforeAutospacing="0" w:after="0" w:afterAutospacing="0" w:line="276" w:lineRule="auto"/>
              <w:jc w:val="right"/>
              <w:rPr>
                <w:rFonts w:asciiTheme="minorHAnsi" w:eastAsia="Calibri" w:hAnsiTheme="minorHAnsi" w:cstheme="minorHAnsi"/>
                <w:bCs/>
                <w:kern w:val="24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theme="minorHAnsi"/>
                <w:bCs/>
                <w:kern w:val="24"/>
                <w:sz w:val="22"/>
                <w:szCs w:val="22"/>
                <w:lang w:val="en-GB"/>
              </w:rPr>
              <w:t>0.76</w:t>
            </w:r>
          </w:p>
          <w:p>
            <w:pPr>
              <w:pStyle w:val="StandardWeb"/>
              <w:spacing w:before="0" w:beforeAutospacing="0" w:after="0" w:afterAutospacing="0"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Cs/>
                <w:kern w:val="24"/>
                <w:sz w:val="22"/>
                <w:szCs w:val="22"/>
                <w:lang w:val="en-GB"/>
              </w:rPr>
              <w:t xml:space="preserve"> 0.40</w:t>
            </w:r>
          </w:p>
          <w:p>
            <w:pPr>
              <w:spacing w:line="276" w:lineRule="auto"/>
              <w:jc w:val="right"/>
              <w:rPr>
                <w:rFonts w:cstheme="minorHAnsi"/>
                <w:lang w:val="en-GB"/>
              </w:rPr>
            </w:pPr>
            <w:r>
              <w:rPr>
                <w:rFonts w:eastAsia="Calibri" w:cstheme="minorHAnsi"/>
                <w:bCs/>
                <w:kern w:val="24"/>
                <w:lang w:val="en-GB"/>
              </w:rPr>
              <w:t>0.46</w:t>
            </w:r>
          </w:p>
        </w:tc>
        <w:tc>
          <w:tcPr>
            <w:tcW w:w="0" w:type="auto"/>
          </w:tcPr>
          <w:p>
            <w:pPr>
              <w:pStyle w:val="StandardWeb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dark1"/>
                <w:kern w:val="24"/>
                <w:sz w:val="22"/>
                <w:szCs w:val="22"/>
                <w:lang w:val="en-GB"/>
              </w:rPr>
              <w:t> </w:t>
            </w:r>
          </w:p>
          <w:p>
            <w:pPr>
              <w:pStyle w:val="StandardWeb"/>
              <w:spacing w:before="0" w:beforeAutospacing="0" w:after="0" w:afterAutospacing="0" w:line="276" w:lineRule="auto"/>
              <w:jc w:val="center"/>
              <w:rPr>
                <w:rFonts w:asciiTheme="minorHAnsi" w:eastAsia="Calibri" w:hAnsiTheme="minorHAnsi" w:cstheme="minorHAnsi"/>
                <w:color w:val="000000" w:themeColor="dark1"/>
                <w:kern w:val="24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theme="minorHAnsi"/>
                <w:color w:val="000000" w:themeColor="dark1"/>
                <w:kern w:val="24"/>
                <w:sz w:val="22"/>
                <w:szCs w:val="22"/>
                <w:lang w:val="en-GB"/>
              </w:rPr>
              <w:t>0.20 - 3.74</w:t>
            </w:r>
          </w:p>
          <w:p>
            <w:pPr>
              <w:spacing w:line="276" w:lineRule="auto"/>
              <w:jc w:val="center"/>
              <w:rPr>
                <w:rFonts w:eastAsia="Calibri" w:cstheme="minorHAnsi"/>
                <w:color w:val="000000" w:themeColor="dark1"/>
                <w:kern w:val="24"/>
                <w:lang w:val="en-GB" w:eastAsia="de-DE"/>
              </w:rPr>
            </w:pPr>
            <w:r>
              <w:rPr>
                <w:rFonts w:eastAsia="Calibri" w:cstheme="minorHAnsi"/>
                <w:color w:val="000000" w:themeColor="dark1"/>
                <w:kern w:val="24"/>
                <w:lang w:val="en-GB" w:eastAsia="de-DE"/>
              </w:rPr>
              <w:t>0.07 - 2.35</w:t>
            </w:r>
          </w:p>
          <w:p>
            <w:pPr>
              <w:spacing w:line="276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eastAsia="Calibri" w:cstheme="minorHAnsi"/>
                <w:color w:val="000000" w:themeColor="dark1"/>
                <w:kern w:val="24"/>
                <w:lang w:val="en-GB"/>
              </w:rPr>
              <w:t>0.06 - 3.54</w:t>
            </w:r>
          </w:p>
        </w:tc>
        <w:tc>
          <w:tcPr>
            <w:tcW w:w="0" w:type="auto"/>
          </w:tcPr>
          <w:p>
            <w:pPr>
              <w:pStyle w:val="StandardWeb"/>
              <w:spacing w:before="0" w:beforeAutospacing="0" w:after="0" w:afterAutospacing="0"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dark1"/>
                <w:kern w:val="24"/>
                <w:sz w:val="22"/>
                <w:szCs w:val="22"/>
                <w:lang w:val="en-GB"/>
              </w:rPr>
              <w:t> </w:t>
            </w:r>
          </w:p>
          <w:p>
            <w:pPr>
              <w:pStyle w:val="StandardWeb"/>
              <w:spacing w:before="0" w:beforeAutospacing="0" w:after="0" w:afterAutospacing="0"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dark1"/>
                <w:kern w:val="24"/>
                <w:sz w:val="22"/>
                <w:szCs w:val="22"/>
                <w:lang w:val="en-GB"/>
              </w:rPr>
              <w:t>0.710</w:t>
            </w:r>
          </w:p>
          <w:p>
            <w:pPr>
              <w:pStyle w:val="StandardWeb"/>
              <w:spacing w:before="0" w:beforeAutospacing="0" w:after="0" w:afterAutospacing="0"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dark1"/>
                <w:kern w:val="24"/>
                <w:sz w:val="22"/>
                <w:szCs w:val="22"/>
                <w:lang w:val="en-GB"/>
              </w:rPr>
              <w:t>0.282</w:t>
            </w:r>
          </w:p>
          <w:p>
            <w:pPr>
              <w:spacing w:line="276" w:lineRule="auto"/>
              <w:jc w:val="right"/>
              <w:rPr>
                <w:rFonts w:cstheme="minorHAnsi"/>
                <w:lang w:val="en-GB"/>
              </w:rPr>
            </w:pPr>
            <w:r>
              <w:rPr>
                <w:rFonts w:eastAsia="Calibri" w:cstheme="minorHAnsi"/>
                <w:color w:val="000000" w:themeColor="dark1"/>
                <w:kern w:val="24"/>
                <w:lang w:val="en-GB"/>
              </w:rPr>
              <w:t>0.451</w:t>
            </w:r>
          </w:p>
        </w:tc>
      </w:tr>
      <w:tr>
        <w:tc>
          <w:tcPr>
            <w:tcW w:w="0" w:type="auto"/>
          </w:tcPr>
          <w:p>
            <w:pPr>
              <w:rPr>
                <w:rFonts w:cstheme="minorHAnsi"/>
                <w:lang w:val="en-GB"/>
              </w:rPr>
            </w:pPr>
            <w:proofErr w:type="spellStart"/>
            <w:r>
              <w:rPr>
                <w:rFonts w:cstheme="minorHAnsi"/>
                <w:lang w:val="en-GB"/>
              </w:rPr>
              <w:t>Condomless</w:t>
            </w:r>
            <w:proofErr w:type="spellEnd"/>
            <w:r>
              <w:rPr>
                <w:rFonts w:cstheme="minorHAnsi"/>
                <w:lang w:val="en-GB"/>
              </w:rPr>
              <w:t xml:space="preserve"> anal sex partners (last three months)</w:t>
            </w:r>
          </w:p>
        </w:tc>
        <w:tc>
          <w:tcPr>
            <w:tcW w:w="0" w:type="auto"/>
          </w:tcPr>
          <w:p>
            <w:pPr>
              <w:pStyle w:val="StandardWeb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kern w:val="24"/>
                <w:sz w:val="22"/>
                <w:szCs w:val="22"/>
                <w:lang w:val="en-GB"/>
              </w:rPr>
              <w:t>None or 1</w:t>
            </w:r>
          </w:p>
          <w:p>
            <w:pPr>
              <w:pStyle w:val="StandardWeb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kern w:val="24"/>
                <w:sz w:val="22"/>
                <w:szCs w:val="22"/>
                <w:lang w:val="en-GB"/>
              </w:rPr>
              <w:t>2-4</w:t>
            </w:r>
          </w:p>
          <w:p>
            <w:pPr>
              <w:pStyle w:val="StandardWeb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kern w:val="24"/>
                <w:sz w:val="22"/>
                <w:szCs w:val="22"/>
                <w:lang w:val="en-GB"/>
              </w:rPr>
              <w:t>5-10</w:t>
            </w:r>
          </w:p>
          <w:p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b/>
                <w:bCs/>
                <w:kern w:val="24"/>
                <w:lang w:val="en-GB"/>
              </w:rPr>
              <w:t>&gt;10</w:t>
            </w:r>
          </w:p>
        </w:tc>
        <w:tc>
          <w:tcPr>
            <w:tcW w:w="0" w:type="auto"/>
          </w:tcPr>
          <w:p>
            <w:pPr>
              <w:spacing w:line="276" w:lineRule="auto"/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Ref.</w:t>
            </w:r>
          </w:p>
          <w:p>
            <w:pPr>
              <w:spacing w:line="276" w:lineRule="auto"/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3.01</w:t>
            </w:r>
          </w:p>
          <w:p>
            <w:pPr>
              <w:spacing w:line="276" w:lineRule="auto"/>
              <w:jc w:val="right"/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 xml:space="preserve">7.14 </w:t>
            </w:r>
          </w:p>
          <w:p>
            <w:pPr>
              <w:spacing w:line="276" w:lineRule="auto"/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>8.66</w:t>
            </w:r>
          </w:p>
        </w:tc>
        <w:tc>
          <w:tcPr>
            <w:tcW w:w="0" w:type="auto"/>
          </w:tcPr>
          <w:p>
            <w:pPr>
              <w:spacing w:line="276" w:lineRule="auto"/>
              <w:jc w:val="center"/>
              <w:rPr>
                <w:rFonts w:cstheme="minorHAnsi"/>
                <w:lang w:val="en-GB"/>
              </w:rPr>
            </w:pPr>
          </w:p>
          <w:p>
            <w:pPr>
              <w:spacing w:line="276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0.94 – 11.62</w:t>
            </w:r>
          </w:p>
          <w:p>
            <w:pPr>
              <w:spacing w:line="276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1.47 - 43.83</w:t>
            </w:r>
          </w:p>
          <w:p>
            <w:pPr>
              <w:spacing w:line="276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1.52 – 63.94</w:t>
            </w:r>
          </w:p>
        </w:tc>
        <w:tc>
          <w:tcPr>
            <w:tcW w:w="0" w:type="auto"/>
          </w:tcPr>
          <w:p>
            <w:pPr>
              <w:spacing w:line="276" w:lineRule="auto"/>
              <w:jc w:val="right"/>
              <w:rPr>
                <w:rFonts w:cstheme="minorHAnsi"/>
                <w:lang w:val="en-GB"/>
              </w:rPr>
            </w:pPr>
          </w:p>
          <w:p>
            <w:pPr>
              <w:spacing w:line="276" w:lineRule="auto"/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0.079</w:t>
            </w:r>
          </w:p>
          <w:p>
            <w:pPr>
              <w:spacing w:line="276" w:lineRule="auto"/>
              <w:jc w:val="right"/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>0.021</w:t>
            </w:r>
          </w:p>
          <w:p>
            <w:pPr>
              <w:spacing w:line="276" w:lineRule="auto"/>
              <w:jc w:val="right"/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>0.023</w:t>
            </w:r>
          </w:p>
        </w:tc>
        <w:tc>
          <w:tcPr>
            <w:tcW w:w="0" w:type="auto"/>
          </w:tcPr>
          <w:p>
            <w:pPr>
              <w:pStyle w:val="StandardWeb"/>
              <w:spacing w:before="0" w:beforeAutospacing="0" w:after="0" w:afterAutospacing="0"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Cs/>
                <w:kern w:val="24"/>
                <w:sz w:val="22"/>
                <w:szCs w:val="22"/>
                <w:lang w:val="en-GB"/>
              </w:rPr>
              <w:t>ref</w:t>
            </w:r>
          </w:p>
          <w:p>
            <w:pPr>
              <w:pStyle w:val="StandardWeb"/>
              <w:spacing w:before="0" w:beforeAutospacing="0" w:after="0" w:afterAutospacing="0" w:line="276" w:lineRule="auto"/>
              <w:jc w:val="right"/>
              <w:rPr>
                <w:rFonts w:asciiTheme="minorHAnsi" w:eastAsia="Calibri" w:hAnsiTheme="minorHAnsi" w:cstheme="minorHAnsi"/>
                <w:bCs/>
                <w:kern w:val="24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theme="minorHAnsi"/>
                <w:bCs/>
                <w:kern w:val="24"/>
                <w:sz w:val="22"/>
                <w:szCs w:val="22"/>
                <w:lang w:val="en-GB"/>
              </w:rPr>
              <w:t xml:space="preserve">1.79 </w:t>
            </w:r>
          </w:p>
          <w:p>
            <w:pPr>
              <w:spacing w:line="276" w:lineRule="auto"/>
              <w:jc w:val="right"/>
              <w:rPr>
                <w:rFonts w:eastAsia="Calibri" w:cstheme="minorHAnsi"/>
                <w:b/>
                <w:bCs/>
                <w:kern w:val="24"/>
                <w:lang w:val="en-GB" w:eastAsia="de-DE"/>
              </w:rPr>
            </w:pPr>
            <w:r>
              <w:rPr>
                <w:rFonts w:eastAsia="Calibri" w:cstheme="minorHAnsi"/>
                <w:b/>
                <w:bCs/>
                <w:kern w:val="24"/>
                <w:lang w:val="en-GB" w:eastAsia="de-DE"/>
              </w:rPr>
              <w:t xml:space="preserve">5.74 </w:t>
            </w:r>
          </w:p>
          <w:p>
            <w:pPr>
              <w:spacing w:line="276" w:lineRule="auto"/>
              <w:jc w:val="right"/>
              <w:rPr>
                <w:rFonts w:cstheme="minorHAnsi"/>
                <w:lang w:val="en-GB"/>
              </w:rPr>
            </w:pPr>
            <w:r>
              <w:rPr>
                <w:rFonts w:eastAsia="Calibri" w:cstheme="minorHAnsi"/>
                <w:b/>
                <w:bCs/>
                <w:kern w:val="24"/>
                <w:lang w:val="en-GB"/>
              </w:rPr>
              <w:t>12.26</w:t>
            </w:r>
          </w:p>
        </w:tc>
        <w:tc>
          <w:tcPr>
            <w:tcW w:w="0" w:type="auto"/>
          </w:tcPr>
          <w:p>
            <w:pPr>
              <w:pStyle w:val="StandardWeb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dark1"/>
                <w:kern w:val="24"/>
                <w:sz w:val="22"/>
                <w:szCs w:val="22"/>
                <w:lang w:val="en-GB"/>
              </w:rPr>
              <w:t> </w:t>
            </w:r>
          </w:p>
          <w:p>
            <w:pPr>
              <w:pStyle w:val="StandardWeb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dark1"/>
                <w:kern w:val="24"/>
                <w:sz w:val="22"/>
                <w:szCs w:val="22"/>
                <w:lang w:val="en-GB"/>
              </w:rPr>
              <w:t>0.65 – 5.17</w:t>
            </w:r>
          </w:p>
          <w:p>
            <w:pPr>
              <w:spacing w:line="276" w:lineRule="auto"/>
              <w:jc w:val="center"/>
              <w:rPr>
                <w:rFonts w:eastAsia="Calibri" w:cstheme="minorHAnsi"/>
                <w:color w:val="000000" w:themeColor="dark1"/>
                <w:kern w:val="24"/>
                <w:lang w:val="en-GB" w:eastAsia="de-DE"/>
              </w:rPr>
            </w:pPr>
            <w:r>
              <w:rPr>
                <w:rFonts w:eastAsia="Calibri" w:cstheme="minorHAnsi"/>
                <w:color w:val="000000" w:themeColor="dark1"/>
                <w:kern w:val="24"/>
                <w:lang w:val="en-GB" w:eastAsia="de-DE"/>
              </w:rPr>
              <w:t>1.55 – 24.77</w:t>
            </w:r>
          </w:p>
          <w:p>
            <w:pPr>
              <w:spacing w:line="276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eastAsia="Calibri" w:cstheme="minorHAnsi"/>
                <w:color w:val="000000" w:themeColor="dark1"/>
                <w:kern w:val="24"/>
                <w:lang w:val="en-GB"/>
              </w:rPr>
              <w:t>2.39 – 80.38</w:t>
            </w:r>
          </w:p>
        </w:tc>
        <w:tc>
          <w:tcPr>
            <w:tcW w:w="0" w:type="auto"/>
          </w:tcPr>
          <w:p>
            <w:pPr>
              <w:pStyle w:val="StandardWeb"/>
              <w:spacing w:before="0" w:beforeAutospacing="0" w:after="0" w:afterAutospacing="0"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dark1"/>
                <w:kern w:val="24"/>
                <w:sz w:val="22"/>
                <w:szCs w:val="22"/>
                <w:lang w:val="en-GB"/>
              </w:rPr>
              <w:t> </w:t>
            </w:r>
          </w:p>
          <w:p>
            <w:pPr>
              <w:pStyle w:val="StandardWeb"/>
              <w:spacing w:before="0" w:beforeAutospacing="0" w:after="0" w:afterAutospacing="0"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dark1"/>
                <w:kern w:val="24"/>
                <w:sz w:val="22"/>
                <w:szCs w:val="22"/>
                <w:lang w:val="en-GB"/>
              </w:rPr>
              <w:t>0.265</w:t>
            </w:r>
          </w:p>
          <w:p>
            <w:pPr>
              <w:pStyle w:val="StandardWeb"/>
              <w:spacing w:before="0" w:beforeAutospacing="0" w:after="0" w:afterAutospacing="0"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dark1"/>
                <w:kern w:val="24"/>
                <w:sz w:val="22"/>
                <w:szCs w:val="22"/>
                <w:lang w:val="en-GB"/>
              </w:rPr>
              <w:t>0.012</w:t>
            </w:r>
          </w:p>
          <w:p>
            <w:pPr>
              <w:spacing w:line="276" w:lineRule="auto"/>
              <w:jc w:val="right"/>
              <w:rPr>
                <w:rFonts w:cstheme="minorHAnsi"/>
                <w:lang w:val="en-GB"/>
              </w:rPr>
            </w:pPr>
            <w:r>
              <w:rPr>
                <w:rFonts w:eastAsia="Calibri" w:cstheme="minorHAnsi"/>
                <w:b/>
                <w:bCs/>
                <w:color w:val="000000" w:themeColor="dark1"/>
                <w:kern w:val="24"/>
                <w:lang w:val="en-GB"/>
              </w:rPr>
              <w:t>0.005</w:t>
            </w:r>
          </w:p>
        </w:tc>
      </w:tr>
      <w:tr>
        <w:tc>
          <w:tcPr>
            <w:tcW w:w="0" w:type="auto"/>
          </w:tcPr>
          <w:p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Sex venues</w:t>
            </w:r>
          </w:p>
        </w:tc>
        <w:tc>
          <w:tcPr>
            <w:tcW w:w="0" w:type="auto"/>
          </w:tcPr>
          <w:p>
            <w:pPr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b/>
                <w:bCs/>
                <w:kern w:val="24"/>
                <w:lang w:val="en-GB"/>
              </w:rPr>
              <w:t> Yes</w:t>
            </w: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>2.71</w:t>
            </w:r>
          </w:p>
        </w:tc>
        <w:tc>
          <w:tcPr>
            <w:tcW w:w="0" w:type="auto"/>
          </w:tcPr>
          <w:p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1.15 - 6.72</w:t>
            </w: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>0.026</w:t>
            </w: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eastAsia="Calibri" w:cstheme="minorHAnsi"/>
                <w:kern w:val="24"/>
                <w:lang w:val="en-GB"/>
              </w:rPr>
              <w:t>1.20</w:t>
            </w:r>
          </w:p>
        </w:tc>
        <w:tc>
          <w:tcPr>
            <w:tcW w:w="0" w:type="auto"/>
          </w:tcPr>
          <w:p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eastAsia="Calibri" w:cstheme="minorHAnsi"/>
                <w:color w:val="000000" w:themeColor="dark1"/>
                <w:kern w:val="24"/>
                <w:lang w:val="en-GB"/>
              </w:rPr>
              <w:t>0.56 - 2.60</w:t>
            </w: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b/>
                <w:lang w:val="en-GB"/>
              </w:rPr>
            </w:pPr>
            <w:r>
              <w:rPr>
                <w:rFonts w:eastAsia="Calibri" w:cstheme="minorHAnsi"/>
                <w:color w:val="000000" w:themeColor="dark1"/>
                <w:kern w:val="24"/>
                <w:lang w:val="en-GB"/>
              </w:rPr>
              <w:t>0.634</w:t>
            </w:r>
          </w:p>
        </w:tc>
      </w:tr>
      <w:tr>
        <w:tc>
          <w:tcPr>
            <w:tcW w:w="0" w:type="auto"/>
          </w:tcPr>
          <w:p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Intercept</w:t>
            </w:r>
          </w:p>
        </w:tc>
        <w:tc>
          <w:tcPr>
            <w:tcW w:w="0" w:type="auto"/>
          </w:tcPr>
          <w:p>
            <w:pPr>
              <w:rPr>
                <w:rFonts w:cstheme="minorHAnsi"/>
                <w:b/>
                <w:bCs/>
                <w:kern w:val="24"/>
                <w:lang w:val="en-GB"/>
              </w:rPr>
            </w:pP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>0.06</w:t>
            </w:r>
          </w:p>
        </w:tc>
        <w:tc>
          <w:tcPr>
            <w:tcW w:w="0" w:type="auto"/>
          </w:tcPr>
          <w:p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0.01 – 0.18</w:t>
            </w:r>
          </w:p>
        </w:tc>
        <w:tc>
          <w:tcPr>
            <w:tcW w:w="0" w:type="auto"/>
          </w:tcPr>
          <w:p>
            <w:pPr>
              <w:jc w:val="right"/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>&lt;0.001</w:t>
            </w:r>
          </w:p>
        </w:tc>
        <w:tc>
          <w:tcPr>
            <w:tcW w:w="0" w:type="auto"/>
          </w:tcPr>
          <w:p>
            <w:pPr>
              <w:jc w:val="right"/>
              <w:rPr>
                <w:rFonts w:eastAsia="Calibri" w:cstheme="minorHAnsi"/>
                <w:b/>
                <w:kern w:val="24"/>
                <w:lang w:val="en-GB"/>
              </w:rPr>
            </w:pPr>
            <w:r>
              <w:rPr>
                <w:rFonts w:eastAsia="Calibri" w:cstheme="minorHAnsi"/>
                <w:b/>
                <w:kern w:val="24"/>
                <w:lang w:val="en-GB"/>
              </w:rPr>
              <w:t>0.08</w:t>
            </w:r>
          </w:p>
        </w:tc>
        <w:tc>
          <w:tcPr>
            <w:tcW w:w="0" w:type="auto"/>
          </w:tcPr>
          <w:p>
            <w:pPr>
              <w:jc w:val="center"/>
              <w:rPr>
                <w:rFonts w:eastAsia="Calibri" w:cstheme="minorHAnsi"/>
                <w:color w:val="000000" w:themeColor="dark1"/>
                <w:kern w:val="24"/>
                <w:lang w:val="en-GB"/>
              </w:rPr>
            </w:pPr>
            <w:r>
              <w:rPr>
                <w:rFonts w:eastAsia="Calibri" w:cstheme="minorHAnsi"/>
                <w:color w:val="000000" w:themeColor="dark1"/>
                <w:kern w:val="24"/>
                <w:lang w:val="en-GB"/>
              </w:rPr>
              <w:t>0.02 – 0.26</w:t>
            </w:r>
          </w:p>
        </w:tc>
        <w:tc>
          <w:tcPr>
            <w:tcW w:w="0" w:type="auto"/>
          </w:tcPr>
          <w:p>
            <w:pPr>
              <w:jc w:val="right"/>
              <w:rPr>
                <w:rFonts w:eastAsia="Calibri" w:cstheme="minorHAnsi"/>
                <w:b/>
                <w:color w:val="000000" w:themeColor="dark1"/>
                <w:kern w:val="24"/>
                <w:lang w:val="en-GB"/>
              </w:rPr>
            </w:pPr>
            <w:r>
              <w:rPr>
                <w:rFonts w:eastAsia="Calibri" w:cstheme="minorHAnsi"/>
                <w:b/>
                <w:color w:val="000000" w:themeColor="dark1"/>
                <w:kern w:val="24"/>
                <w:lang w:val="en-GB"/>
              </w:rPr>
              <w:t>&lt;0.001</w:t>
            </w:r>
          </w:p>
        </w:tc>
      </w:tr>
      <w:bookmarkEnd w:id="1"/>
    </w:tbl>
    <w:p>
      <w:pPr>
        <w:rPr>
          <w:lang w:val="en-GB"/>
        </w:rPr>
      </w:pPr>
    </w:p>
    <w:sectPr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A88D6-58F4-4306-865B-B23D18DD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Marcus, Ulrich</dc:creator>
  <cp:keywords/>
  <dc:description/>
  <cp:lastModifiedBy>Marcus, Ulrich</cp:lastModifiedBy>
  <cp:revision>4</cp:revision>
  <dcterms:created xsi:type="dcterms:W3CDTF">2024-07-18T13:06:00Z</dcterms:created>
  <dcterms:modified xsi:type="dcterms:W3CDTF">2024-09-16T11:47:00Z</dcterms:modified>
</cp:coreProperties>
</file>