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36" w:type="dxa"/>
        <w:tblLook w:val="04A0" w:firstRow="1" w:lastRow="0" w:firstColumn="1" w:lastColumn="0" w:noHBand="0" w:noVBand="1"/>
      </w:tblPr>
      <w:tblGrid>
        <w:gridCol w:w="1418"/>
        <w:gridCol w:w="1843"/>
        <w:gridCol w:w="1417"/>
        <w:gridCol w:w="851"/>
        <w:gridCol w:w="1417"/>
        <w:gridCol w:w="851"/>
        <w:gridCol w:w="1439"/>
      </w:tblGrid>
      <w:tr w:rsidR="009B1318" w:rsidRPr="002119FA" w14:paraId="5959F21D" w14:textId="77777777" w:rsidTr="001F69D9">
        <w:trPr>
          <w:trHeight w:val="296"/>
        </w:trPr>
        <w:tc>
          <w:tcPr>
            <w:tcW w:w="9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D17A9F" w14:textId="57D398BA" w:rsidR="009B1318" w:rsidRPr="002119FA" w:rsidRDefault="009B1318" w:rsidP="001F69D9">
            <w:pPr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bookmarkStart w:id="0" w:name="_Hlk153198356"/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 xml:space="preserve">Table </w:t>
            </w:r>
            <w: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S.2</w:t>
            </w:r>
            <w:bookmarkEnd w:id="0"/>
            <w: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.</w:t>
            </w: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 xml:space="preserve"> Odds Ratio of outcome among adult population fully vaccinated with BBIBP-CorV with or without booster (either homologous or heterologous by BNT162b2) and vaccine effectiveness. </w:t>
            </w:r>
          </w:p>
        </w:tc>
      </w:tr>
      <w:tr w:rsidR="009B1318" w:rsidRPr="002119FA" w14:paraId="0809848A" w14:textId="77777777" w:rsidTr="001F69D9">
        <w:trPr>
          <w:trHeight w:val="263"/>
        </w:trPr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AAA1FE5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B967A79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6E5251B" w14:textId="77777777" w:rsidR="009B1318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 xml:space="preserve">Crude OR </w:t>
            </w:r>
          </w:p>
          <w:p w14:paraId="4FCD830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(95% CI)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A27A37E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i/>
                <w:iCs/>
                <w:color w:val="000000"/>
                <w:sz w:val="16"/>
                <w:szCs w:val="16"/>
              </w:rPr>
              <w:t>p</w:t>
            </w:r>
            <w: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-v</w:t>
            </w: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alue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DB7E259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Adjusted OR (95% CI)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2737EC6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 xml:space="preserve">Adjusted </w:t>
            </w:r>
            <w:r w:rsidRPr="002119FA">
              <w:rPr>
                <w:rFonts w:ascii="Times" w:hAnsi="Times" w:cs="Times"/>
                <w:b/>
                <w:bCs/>
                <w:i/>
                <w:iCs/>
                <w:color w:val="000000"/>
                <w:sz w:val="16"/>
                <w:szCs w:val="16"/>
              </w:rPr>
              <w:t>p</w:t>
            </w:r>
            <w:r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-v</w:t>
            </w: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alue</w:t>
            </w:r>
          </w:p>
        </w:tc>
        <w:tc>
          <w:tcPr>
            <w:tcW w:w="14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3D330F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Vaccine Effectiveness</w:t>
            </w:r>
          </w:p>
        </w:tc>
      </w:tr>
      <w:tr w:rsidR="009B1318" w:rsidRPr="002119FA" w14:paraId="0EEADF7D" w14:textId="77777777" w:rsidTr="001F69D9">
        <w:trPr>
          <w:trHeight w:val="256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02E66B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Full Vaccination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675DC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Non-Hospitalized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843F9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7F59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69AF8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D3FD8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B0F66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</w:tr>
      <w:tr w:rsidR="009B1318" w:rsidRPr="002119FA" w14:paraId="16758E61" w14:textId="77777777" w:rsidTr="001F69D9">
        <w:trPr>
          <w:trHeight w:val="236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38C65B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C283817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Hospitalized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DFC8CD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0.80 (0.71, 0.90)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CB30C2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BE7543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0.47 (0.41, 0.54)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497C163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CE2DE43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53% (46%, 59%)</w:t>
            </w:r>
          </w:p>
        </w:tc>
      </w:tr>
      <w:tr w:rsidR="009B1318" w:rsidRPr="002119FA" w14:paraId="2ADDC009" w14:textId="77777777" w:rsidTr="001F69D9">
        <w:trPr>
          <w:trHeight w:val="256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6E3D12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Booster Dose with BBIBP-CorV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DB2ADE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Non-Hospitalized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0869DA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D1BCEA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494C59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02EF63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A688DF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</w:tr>
      <w:tr w:rsidR="009B1318" w:rsidRPr="002119FA" w14:paraId="47FC35C5" w14:textId="77777777" w:rsidTr="001F69D9">
        <w:trPr>
          <w:trHeight w:val="236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81CD7C3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58E1A0D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Hospitalized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78A1FC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0.50 (0.40, 0.62)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8F18123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3F3FAE0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0.41 (0.32, 0.52)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1EC311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D238D9B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bookmarkStart w:id="1" w:name="_Hlk150345464"/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59% (48%, 68%)</w:t>
            </w:r>
            <w:bookmarkEnd w:id="1"/>
          </w:p>
        </w:tc>
      </w:tr>
      <w:tr w:rsidR="009B1318" w:rsidRPr="002119FA" w14:paraId="4FCD4866" w14:textId="77777777" w:rsidTr="001F69D9">
        <w:trPr>
          <w:trHeight w:val="256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1A7A4D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Booster Dose with BNT162b2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B1FD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Non-Hospitalized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B0AE15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131999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9BE60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9940C5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567B84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sz w:val="16"/>
                <w:szCs w:val="16"/>
              </w:rPr>
            </w:pPr>
          </w:p>
        </w:tc>
      </w:tr>
      <w:tr w:rsidR="009B1318" w:rsidRPr="002119FA" w14:paraId="64031B3C" w14:textId="77777777" w:rsidTr="001F69D9">
        <w:trPr>
          <w:trHeight w:val="236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15F5BE8" w14:textId="77777777" w:rsidR="009B1318" w:rsidRPr="002119FA" w:rsidRDefault="009B1318" w:rsidP="001F69D9">
            <w:pPr>
              <w:jc w:val="both"/>
              <w:rPr>
                <w:rFonts w:ascii="Times" w:hAnsi="Times" w:cs="Times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2558782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Hospitalized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63C50DA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0.15 (0.09, 0.23)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2F6B81B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E018F7E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0.13 (0.07, 0.21)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CEAAAA5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&lt;0.001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1A14C91" w14:textId="77777777" w:rsidR="009B1318" w:rsidRPr="002119FA" w:rsidRDefault="009B1318" w:rsidP="001F69D9">
            <w:pPr>
              <w:jc w:val="center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87% (79%, 93%)</w:t>
            </w:r>
          </w:p>
        </w:tc>
      </w:tr>
      <w:tr w:rsidR="009B1318" w:rsidRPr="002119FA" w14:paraId="27859F91" w14:textId="77777777" w:rsidTr="001F69D9">
        <w:trPr>
          <w:trHeight w:val="344"/>
        </w:trPr>
        <w:tc>
          <w:tcPr>
            <w:tcW w:w="9236" w:type="dxa"/>
            <w:gridSpan w:val="7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8AE5A" w14:textId="77777777" w:rsidR="009B1318" w:rsidRPr="002119FA" w:rsidRDefault="009B1318" w:rsidP="001F69D9">
            <w:pPr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 xml:space="preserve">Full vaccination: ≥14 days for individuals who received two doses. </w:t>
            </w: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br/>
              <w:t>Booster dose: &gt;6 months for individuals after they received two doses</w:t>
            </w:r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br/>
              <w:t xml:space="preserve">Bivariate analysis (non-Hospitalized vs Hospitalized) was used for the regression models, presented as crude OR and adjusted OR for age, sex, nationality, BMI, comorbidities, </w:t>
            </w:r>
            <w:proofErr w:type="gramStart"/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>timeframe</w:t>
            </w:r>
            <w:proofErr w:type="gramEnd"/>
            <w:r w:rsidRPr="002119FA">
              <w:rPr>
                <w:rFonts w:ascii="Times" w:hAnsi="Times" w:cs="Times"/>
                <w:color w:val="000000"/>
                <w:sz w:val="16"/>
                <w:szCs w:val="16"/>
              </w:rPr>
              <w:t xml:space="preserve"> and variant type.</w:t>
            </w:r>
          </w:p>
        </w:tc>
      </w:tr>
    </w:tbl>
    <w:p w14:paraId="1520B521" w14:textId="77777777" w:rsidR="009B1318" w:rsidRDefault="009B1318"/>
    <w:sectPr w:rsidR="009B1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B0"/>
    <w:rsid w:val="002D5B13"/>
    <w:rsid w:val="00400343"/>
    <w:rsid w:val="005F1AF5"/>
    <w:rsid w:val="006B1EB0"/>
    <w:rsid w:val="0075052B"/>
    <w:rsid w:val="008C4508"/>
    <w:rsid w:val="009B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10966"/>
  <w15:chartTrackingRefBased/>
  <w15:docId w15:val="{592104E6-C45B-4D5B-94AA-12F8B11B7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B13"/>
    <w:pPr>
      <w:spacing w:after="0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D5B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5B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5B1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DOH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Dr.Rowan Mohamed Abuyadek</dc:creator>
  <cp:keywords/>
  <dc:description/>
  <cp:lastModifiedBy>Dr.Rowan Mohamed Abuyadek</cp:lastModifiedBy>
  <cp:revision>6</cp:revision>
  <dcterms:created xsi:type="dcterms:W3CDTF">2023-12-11T10:42:00Z</dcterms:created>
  <dcterms:modified xsi:type="dcterms:W3CDTF">2024-05-24T04:50:00Z</dcterms:modified>
</cp:coreProperties>
</file>