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5A44" w14:textId="77777777" w:rsidR="0062212D" w:rsidRDefault="0062212D" w:rsidP="0062212D">
      <w:pPr>
        <w:suppressLineNumbers/>
        <w:spacing w:line="360" w:lineRule="auto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235812">
        <w:rPr>
          <w:rFonts w:ascii="Times New Roman" w:hAnsi="Times New Roman" w:cs="Times New Roman"/>
          <w:b/>
          <w:bCs/>
          <w:sz w:val="18"/>
          <w:szCs w:val="18"/>
          <w:lang w:val="en-US"/>
        </w:rPr>
        <w:t>SUPPLEMENTARY MATERIAL</w:t>
      </w:r>
    </w:p>
    <w:p w14:paraId="0982B13B" w14:textId="77777777" w:rsidR="0062212D" w:rsidRPr="00235812" w:rsidRDefault="0062212D" w:rsidP="0062212D">
      <w:pPr>
        <w:suppressLineNumbers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5D5E5B1" w14:textId="77777777" w:rsidR="0062212D" w:rsidRPr="00F02021" w:rsidRDefault="0062212D" w:rsidP="0062212D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2021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Recommended antibiotic treatment agreement between infectious diseases specialists and ChatGPT®</w:t>
      </w:r>
    </w:p>
    <w:p w14:paraId="29D9BF86" w14:textId="77777777" w:rsidR="0062212D" w:rsidRPr="00615141" w:rsidRDefault="0062212D" w:rsidP="0062212D">
      <w:pPr>
        <w:suppressLineNumbers/>
        <w:spacing w:line="360" w:lineRule="auto"/>
        <w:rPr>
          <w:rFonts w:ascii="Times New Roman" w:hAnsi="Times New Roman" w:cs="Times New Roman"/>
          <w:lang w:val="en-US"/>
        </w:rPr>
      </w:pPr>
    </w:p>
    <w:p w14:paraId="219533D9" w14:textId="77777777" w:rsidR="0062212D" w:rsidRPr="001238C9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vertAlign w:val="superscript"/>
          <w:lang w:val="es-MX"/>
        </w:rPr>
      </w:pPr>
      <w:r w:rsidRPr="001238C9">
        <w:rPr>
          <w:rFonts w:ascii="Times New Roman" w:hAnsi="Times New Roman" w:cs="Times New Roman"/>
          <w:lang w:val="es-MX"/>
        </w:rPr>
        <w:t>Santiago Romero Montiel</w:t>
      </w:r>
      <w:r w:rsidRPr="001238C9">
        <w:rPr>
          <w:rFonts w:ascii="Times New Roman" w:hAnsi="Times New Roman" w:cs="Times New Roman"/>
          <w:vertAlign w:val="superscript"/>
          <w:lang w:val="es-MX"/>
        </w:rPr>
        <w:t>1</w:t>
      </w:r>
      <w:r w:rsidRPr="001238C9">
        <w:rPr>
          <w:rFonts w:ascii="Times New Roman" w:hAnsi="Times New Roman" w:cs="Times New Roman"/>
          <w:lang w:val="es-MX"/>
        </w:rPr>
        <w:t>, Sandra Rajme-López</w:t>
      </w:r>
      <w:r w:rsidRPr="001238C9">
        <w:rPr>
          <w:rFonts w:ascii="Times New Roman" w:hAnsi="Times New Roman" w:cs="Times New Roman"/>
          <w:vertAlign w:val="superscript"/>
          <w:lang w:val="es-MX"/>
        </w:rPr>
        <w:t>1</w:t>
      </w:r>
      <w:r w:rsidRPr="001238C9">
        <w:rPr>
          <w:rFonts w:ascii="Times New Roman" w:hAnsi="Times New Roman" w:cs="Times New Roman"/>
          <w:lang w:val="es-MX"/>
        </w:rPr>
        <w:t>, Carla Marina Román-Montes</w:t>
      </w:r>
      <w:r w:rsidRPr="001238C9">
        <w:rPr>
          <w:rFonts w:ascii="Times New Roman" w:hAnsi="Times New Roman" w:cs="Times New Roman"/>
          <w:vertAlign w:val="superscript"/>
          <w:lang w:val="es-MX"/>
        </w:rPr>
        <w:t>1,2</w:t>
      </w:r>
      <w:r w:rsidRPr="001238C9">
        <w:rPr>
          <w:rFonts w:ascii="Times New Roman" w:hAnsi="Times New Roman" w:cs="Times New Roman"/>
          <w:lang w:val="es-MX"/>
        </w:rPr>
        <w:t xml:space="preserve">, </w:t>
      </w:r>
      <w:proofErr w:type="spellStart"/>
      <w:r>
        <w:rPr>
          <w:rFonts w:ascii="Times New Roman" w:hAnsi="Times New Roman" w:cs="Times New Roman"/>
          <w:lang w:val="es-MX"/>
        </w:rPr>
        <w:t>A</w:t>
      </w:r>
      <w:r w:rsidRPr="001238C9">
        <w:rPr>
          <w:rFonts w:ascii="Times New Roman" w:hAnsi="Times New Roman" w:cs="Times New Roman"/>
          <w:lang w:val="es-MX"/>
        </w:rPr>
        <w:t>lvaro</w:t>
      </w:r>
      <w:proofErr w:type="spellEnd"/>
      <w:r w:rsidRPr="001238C9">
        <w:rPr>
          <w:rFonts w:ascii="Times New Roman" w:hAnsi="Times New Roman" w:cs="Times New Roman"/>
          <w:lang w:val="es-MX"/>
        </w:rPr>
        <w:t xml:space="preserve"> López-Iñiguez</w:t>
      </w:r>
      <w:r w:rsidRPr="001238C9">
        <w:rPr>
          <w:rFonts w:ascii="Times New Roman" w:hAnsi="Times New Roman" w:cs="Times New Roman"/>
          <w:vertAlign w:val="superscript"/>
          <w:lang w:val="es-MX"/>
        </w:rPr>
        <w:t>1</w:t>
      </w:r>
      <w:r w:rsidRPr="001238C9">
        <w:rPr>
          <w:rFonts w:ascii="Times New Roman" w:hAnsi="Times New Roman" w:cs="Times New Roman"/>
          <w:lang w:val="es-MX"/>
        </w:rPr>
        <w:t>, Héctor Orlando Rivera-Villegas</w:t>
      </w:r>
      <w:r w:rsidRPr="001238C9">
        <w:rPr>
          <w:rFonts w:ascii="Times New Roman" w:hAnsi="Times New Roman" w:cs="Times New Roman"/>
          <w:vertAlign w:val="superscript"/>
          <w:lang w:val="es-MX"/>
        </w:rPr>
        <w:t>1</w:t>
      </w:r>
      <w:r w:rsidRPr="001238C9">
        <w:rPr>
          <w:rFonts w:ascii="Times New Roman" w:hAnsi="Times New Roman" w:cs="Times New Roman"/>
          <w:lang w:val="es-MX"/>
        </w:rPr>
        <w:t>, Eric Ochoa-Hein</w:t>
      </w:r>
      <w:r w:rsidRPr="001238C9">
        <w:rPr>
          <w:rFonts w:ascii="Times New Roman" w:hAnsi="Times New Roman" w:cs="Times New Roman"/>
          <w:vertAlign w:val="superscript"/>
          <w:lang w:val="es-MX"/>
        </w:rPr>
        <w:t>1,3</w:t>
      </w:r>
      <w:r w:rsidRPr="001238C9">
        <w:rPr>
          <w:rFonts w:ascii="Times New Roman" w:hAnsi="Times New Roman" w:cs="Times New Roman"/>
          <w:lang w:val="es-MX"/>
        </w:rPr>
        <w:t>, María Fernanda González-Lara</w:t>
      </w:r>
      <w:r w:rsidRPr="001238C9">
        <w:rPr>
          <w:rFonts w:ascii="Times New Roman" w:hAnsi="Times New Roman" w:cs="Times New Roman"/>
          <w:vertAlign w:val="superscript"/>
          <w:lang w:val="es-MX"/>
        </w:rPr>
        <w:t>1,2</w:t>
      </w:r>
      <w:r w:rsidRPr="001238C9">
        <w:rPr>
          <w:rFonts w:ascii="Times New Roman" w:hAnsi="Times New Roman" w:cs="Times New Roman"/>
          <w:lang w:val="es-MX"/>
        </w:rPr>
        <w:t>, Luis Alfredo Ponce-de-León</w:t>
      </w:r>
      <w:r w:rsidRPr="001238C9">
        <w:rPr>
          <w:rFonts w:ascii="Times New Roman" w:hAnsi="Times New Roman" w:cs="Times New Roman"/>
          <w:vertAlign w:val="superscript"/>
          <w:lang w:val="es-MX"/>
        </w:rPr>
        <w:t>1</w:t>
      </w:r>
      <w:r w:rsidRPr="001238C9">
        <w:rPr>
          <w:rFonts w:ascii="Times New Roman" w:hAnsi="Times New Roman" w:cs="Times New Roman"/>
          <w:lang w:val="es-MX"/>
        </w:rPr>
        <w:t>, Karla María Tamez-Torres</w:t>
      </w:r>
      <w:r w:rsidRPr="001238C9">
        <w:rPr>
          <w:rFonts w:ascii="Times New Roman" w:hAnsi="Times New Roman" w:cs="Times New Roman"/>
          <w:vertAlign w:val="superscript"/>
          <w:lang w:val="es-MX"/>
        </w:rPr>
        <w:t>1,2*</w:t>
      </w:r>
      <w:r w:rsidRPr="001238C9">
        <w:rPr>
          <w:rFonts w:ascii="Times New Roman" w:hAnsi="Times New Roman" w:cs="Times New Roman"/>
          <w:lang w:val="es-MX"/>
        </w:rPr>
        <w:t>, Bernardo Alfonso Martinez-Guerra</w:t>
      </w:r>
      <w:r w:rsidRPr="001238C9">
        <w:rPr>
          <w:rFonts w:ascii="Times New Roman" w:hAnsi="Times New Roman" w:cs="Times New Roman"/>
          <w:vertAlign w:val="superscript"/>
          <w:lang w:val="es-MX"/>
        </w:rPr>
        <w:t>1,2*</w:t>
      </w:r>
    </w:p>
    <w:p w14:paraId="73F2E033" w14:textId="77777777" w:rsidR="0062212D" w:rsidRPr="001238C9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lang w:val="es-MX"/>
        </w:rPr>
      </w:pPr>
    </w:p>
    <w:p w14:paraId="478FF299" w14:textId="77777777" w:rsidR="0062212D" w:rsidRPr="001238C9" w:rsidRDefault="0062212D" w:rsidP="0062212D">
      <w:pPr>
        <w:pStyle w:val="Prrafodelista"/>
        <w:numPr>
          <w:ilvl w:val="0"/>
          <w:numId w:val="1"/>
        </w:numPr>
        <w:suppressLineNumbers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38C9">
        <w:rPr>
          <w:rFonts w:ascii="Times New Roman" w:hAnsi="Times New Roman" w:cs="Times New Roman"/>
          <w:sz w:val="22"/>
          <w:szCs w:val="22"/>
        </w:rPr>
        <w:t xml:space="preserve">Instituto Nacional de Ciencias Médicas y Nutrición Salvador Zubirán,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Department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Infectious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Diseases</w:t>
      </w:r>
    </w:p>
    <w:p w14:paraId="785AAAF9" w14:textId="77777777" w:rsidR="0062212D" w:rsidRPr="001238C9" w:rsidRDefault="0062212D" w:rsidP="0062212D">
      <w:pPr>
        <w:pStyle w:val="Prrafodelista"/>
        <w:numPr>
          <w:ilvl w:val="0"/>
          <w:numId w:val="1"/>
        </w:numPr>
        <w:suppressLineNumbers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38C9">
        <w:rPr>
          <w:rFonts w:ascii="Times New Roman" w:hAnsi="Times New Roman" w:cs="Times New Roman"/>
          <w:sz w:val="22"/>
          <w:szCs w:val="22"/>
        </w:rPr>
        <w:t xml:space="preserve">Instituto Nacional de Ciencias Médicas y Nutrición Salvador Zubirán,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Department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Infectious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Diseases,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Clinical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Microbiology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Laboratory</w:t>
      </w:r>
      <w:proofErr w:type="spellEnd"/>
    </w:p>
    <w:p w14:paraId="495E1907" w14:textId="77777777" w:rsidR="0062212D" w:rsidRPr="001238C9" w:rsidRDefault="0062212D" w:rsidP="0062212D">
      <w:pPr>
        <w:pStyle w:val="Prrafodelista"/>
        <w:numPr>
          <w:ilvl w:val="0"/>
          <w:numId w:val="1"/>
        </w:numPr>
        <w:suppressLineNumbers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38C9">
        <w:rPr>
          <w:rFonts w:ascii="Times New Roman" w:hAnsi="Times New Roman" w:cs="Times New Roman"/>
          <w:sz w:val="22"/>
          <w:szCs w:val="22"/>
        </w:rPr>
        <w:t xml:space="preserve">Instituto Nacional de Ciencias Médicas y Nutrición Salvador Zubirán, Hospital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Epidemiology</w:t>
      </w:r>
      <w:proofErr w:type="spellEnd"/>
      <w:r w:rsidRPr="001238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38C9">
        <w:rPr>
          <w:rFonts w:ascii="Times New Roman" w:hAnsi="Times New Roman" w:cs="Times New Roman"/>
          <w:sz w:val="22"/>
          <w:szCs w:val="22"/>
        </w:rPr>
        <w:t>Department</w:t>
      </w:r>
      <w:proofErr w:type="spellEnd"/>
    </w:p>
    <w:p w14:paraId="39F30413" w14:textId="77777777" w:rsidR="0062212D" w:rsidRPr="001238C9" w:rsidRDefault="0062212D" w:rsidP="0062212D">
      <w:pPr>
        <w:pStyle w:val="Prrafodelista"/>
        <w:suppressLineNumbers/>
        <w:spacing w:line="36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AF02146" w14:textId="77777777" w:rsidR="0062212D" w:rsidRPr="00615141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15141">
        <w:rPr>
          <w:rFonts w:ascii="Times New Roman" w:hAnsi="Times New Roman" w:cs="Times New Roman"/>
          <w:lang w:val="en-US"/>
        </w:rPr>
        <w:t xml:space="preserve">* Corresponding authors: </w:t>
      </w:r>
    </w:p>
    <w:p w14:paraId="29394223" w14:textId="77777777" w:rsidR="0062212D" w:rsidRPr="00615141" w:rsidRDefault="0062212D" w:rsidP="0062212D">
      <w:pPr>
        <w:pStyle w:val="Prrafodelista"/>
        <w:numPr>
          <w:ilvl w:val="0"/>
          <w:numId w:val="2"/>
        </w:numPr>
        <w:suppressLineNumbers/>
        <w:spacing w:line="360" w:lineRule="auto"/>
        <w:jc w:val="both"/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  <w:lang w:val="en-US"/>
        </w:rPr>
      </w:pPr>
      <w:r w:rsidRPr="001238C9">
        <w:rPr>
          <w:rFonts w:ascii="Times New Roman" w:hAnsi="Times New Roman" w:cs="Times New Roman"/>
          <w:sz w:val="22"/>
          <w:szCs w:val="22"/>
        </w:rPr>
        <w:t>Karla María Tamez-Torres. 15 V</w:t>
      </w:r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asco de Quiroga, Belisario Domínguez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Secc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16, Tlalpan, 14080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Mexico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City,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Mexico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. </w:t>
      </w:r>
      <w:r w:rsidRPr="00615141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  <w:lang w:val="en-US"/>
        </w:rPr>
        <w:t xml:space="preserve">+52 55 5487 0900 ext. 5869. </w:t>
      </w:r>
      <w:hyperlink r:id="rId5" w:history="1">
        <w:r w:rsidRPr="00615141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  <w:lang w:val="en-US"/>
          </w:rPr>
          <w:t>karla.tamez@gmail.com</w:t>
        </w:r>
      </w:hyperlink>
      <w:r w:rsidRPr="00615141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  <w:lang w:val="en-US"/>
        </w:rPr>
        <w:t>.</w:t>
      </w:r>
    </w:p>
    <w:p w14:paraId="14AB0C0A" w14:textId="77777777" w:rsidR="0062212D" w:rsidRPr="00615141" w:rsidRDefault="0062212D" w:rsidP="0062212D">
      <w:pPr>
        <w:pStyle w:val="Prrafodelista"/>
        <w:numPr>
          <w:ilvl w:val="0"/>
          <w:numId w:val="2"/>
        </w:numPr>
        <w:suppressLineNumbers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238C9">
        <w:rPr>
          <w:rFonts w:ascii="Times New Roman" w:hAnsi="Times New Roman" w:cs="Times New Roman"/>
          <w:sz w:val="22"/>
          <w:szCs w:val="22"/>
        </w:rPr>
        <w:t>Bernardo Alfonso Martinez-Guerra. 15 V</w:t>
      </w:r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asco de Quiroga, Belisario Domínguez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Secc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16, Tlalpan, 14080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Mexico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City, </w:t>
      </w:r>
      <w:proofErr w:type="spellStart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Mexico</w:t>
      </w:r>
      <w:proofErr w:type="spellEnd"/>
      <w:r w:rsidRPr="001238C9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. </w:t>
      </w:r>
      <w:r w:rsidRPr="00615141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  <w:lang w:val="en-US"/>
        </w:rPr>
        <w:t xml:space="preserve">+52 55 5487 0900 ext. 5869. </w:t>
      </w:r>
      <w:hyperlink r:id="rId6" w:history="1">
        <w:r w:rsidRPr="00615141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  <w:lang w:val="en-US"/>
          </w:rPr>
          <w:t>bernardo.martinezg@incmnsz.mx</w:t>
        </w:r>
      </w:hyperlink>
      <w:r w:rsidRPr="00615141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  <w:lang w:val="en-US"/>
        </w:rPr>
        <w:t xml:space="preserve">, </w:t>
      </w:r>
      <w:hyperlink r:id="rId7" w:history="1">
        <w:r w:rsidRPr="00615141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  <w:lang w:val="en-US"/>
          </w:rPr>
          <w:t>beramg@gmail.com</w:t>
        </w:r>
      </w:hyperlink>
    </w:p>
    <w:p w14:paraId="00F98E83" w14:textId="77777777" w:rsidR="0062212D" w:rsidRPr="00235812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0DCF7E2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81E46BC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C8C7105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2D8D2CA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31B6088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C531062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9A8444F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7517A31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BC98E6F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E69E9B4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0376CC4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95474E4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81538ED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135BDBB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5BC7C69" w14:textId="77777777" w:rsidR="0062212D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AFD9AF1" w14:textId="77777777" w:rsidR="0062212D" w:rsidRPr="007B69C3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D45E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Table S1.</w:t>
      </w:r>
      <w:r w:rsidRPr="00FD45EB">
        <w:rPr>
          <w:rFonts w:ascii="Times New Roman" w:eastAsia="Times New Roman" w:hAnsi="Times New Roman" w:cs="Times New Roman"/>
          <w:color w:val="000000"/>
          <w:lang w:val="en-US"/>
        </w:rPr>
        <w:t xml:space="preserve"> Results. Partial agreement </w:t>
      </w:r>
    </w:p>
    <w:tbl>
      <w:tblPr>
        <w:tblStyle w:val="Tablaconcuadrcula"/>
        <w:tblW w:w="10101" w:type="dxa"/>
        <w:jc w:val="center"/>
        <w:tblLayout w:type="fixed"/>
        <w:tblLook w:val="04A0" w:firstRow="1" w:lastRow="0" w:firstColumn="1" w:lastColumn="0" w:noHBand="0" w:noVBand="1"/>
      </w:tblPr>
      <w:tblGrid>
        <w:gridCol w:w="6416"/>
        <w:gridCol w:w="1843"/>
        <w:gridCol w:w="1842"/>
      </w:tblGrid>
      <w:tr w:rsidR="0062212D" w:rsidRPr="00FD45EB" w14:paraId="5405BC9E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7E2DDE5F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  <w:hideMark/>
          </w:tcPr>
          <w:p w14:paraId="40B8E603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Agreement (%)</w:t>
            </w:r>
          </w:p>
        </w:tc>
        <w:tc>
          <w:tcPr>
            <w:tcW w:w="1842" w:type="dxa"/>
            <w:vAlign w:val="center"/>
            <w:hideMark/>
          </w:tcPr>
          <w:p w14:paraId="105CD28A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/>
              </w:rPr>
              <w:sym w:font="Symbol" w:char="F06B"/>
            </w:r>
          </w:p>
        </w:tc>
      </w:tr>
      <w:tr w:rsidR="0062212D" w:rsidRPr="00FD45EB" w14:paraId="432025D2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7B21D3FC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</w:t>
            </w:r>
          </w:p>
        </w:tc>
        <w:tc>
          <w:tcPr>
            <w:tcW w:w="1843" w:type="dxa"/>
            <w:vAlign w:val="center"/>
            <w:hideMark/>
          </w:tcPr>
          <w:p w14:paraId="5BCE5B8A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68 cases (68%)</w:t>
            </w:r>
          </w:p>
        </w:tc>
        <w:tc>
          <w:tcPr>
            <w:tcW w:w="1842" w:type="dxa"/>
            <w:vAlign w:val="center"/>
            <w:hideMark/>
          </w:tcPr>
          <w:p w14:paraId="169A93AE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0.66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substantial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360315A4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4357B830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</w:t>
            </w:r>
          </w:p>
        </w:tc>
        <w:tc>
          <w:tcPr>
            <w:tcW w:w="1843" w:type="dxa"/>
            <w:vAlign w:val="center"/>
            <w:hideMark/>
          </w:tcPr>
          <w:p w14:paraId="1741ED8B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46 cases (46%)</w:t>
            </w:r>
          </w:p>
        </w:tc>
        <w:tc>
          <w:tcPr>
            <w:tcW w:w="1842" w:type="dxa"/>
            <w:vAlign w:val="center"/>
            <w:hideMark/>
          </w:tcPr>
          <w:p w14:paraId="5742BABF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0.43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moderate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7FE9BF56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2F620FC4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bacteremia</w:t>
            </w:r>
          </w:p>
        </w:tc>
        <w:tc>
          <w:tcPr>
            <w:tcW w:w="1843" w:type="dxa"/>
            <w:vAlign w:val="center"/>
            <w:hideMark/>
          </w:tcPr>
          <w:p w14:paraId="6003AE37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27/34 cases (79%)</w:t>
            </w:r>
          </w:p>
        </w:tc>
        <w:tc>
          <w:tcPr>
            <w:tcW w:w="1842" w:type="dxa"/>
            <w:vAlign w:val="center"/>
            <w:hideMark/>
          </w:tcPr>
          <w:p w14:paraId="083F4FEC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0.78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substantial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0D4EF3B1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455E45B2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BSI</w:t>
            </w:r>
          </w:p>
        </w:tc>
        <w:tc>
          <w:tcPr>
            <w:tcW w:w="1843" w:type="dxa"/>
            <w:vAlign w:val="center"/>
            <w:hideMark/>
          </w:tcPr>
          <w:p w14:paraId="4CA49674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20/34 cases (59%)</w:t>
            </w:r>
          </w:p>
        </w:tc>
        <w:tc>
          <w:tcPr>
            <w:tcW w:w="1842" w:type="dxa"/>
            <w:vAlign w:val="center"/>
            <w:hideMark/>
          </w:tcPr>
          <w:p w14:paraId="612CC358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0.57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moderate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29E121AF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28E79648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pneumonia</w:t>
            </w:r>
          </w:p>
        </w:tc>
        <w:tc>
          <w:tcPr>
            <w:tcW w:w="1843" w:type="dxa"/>
            <w:vAlign w:val="center"/>
            <w:hideMark/>
          </w:tcPr>
          <w:p w14:paraId="577D1ED9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10/20 cases (50%)</w:t>
            </w:r>
          </w:p>
        </w:tc>
        <w:tc>
          <w:tcPr>
            <w:tcW w:w="1842" w:type="dxa"/>
            <w:vAlign w:val="center"/>
            <w:hideMark/>
          </w:tcPr>
          <w:p w14:paraId="76154ABD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0.47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moderate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120A53F1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3CD5F524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pneumonia</w:t>
            </w:r>
          </w:p>
        </w:tc>
        <w:tc>
          <w:tcPr>
            <w:tcW w:w="1843" w:type="dxa"/>
            <w:vAlign w:val="center"/>
            <w:hideMark/>
          </w:tcPr>
          <w:p w14:paraId="772A3340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8/20 cases (40%)</w:t>
            </w:r>
          </w:p>
        </w:tc>
        <w:tc>
          <w:tcPr>
            <w:tcW w:w="1842" w:type="dxa"/>
            <w:vAlign w:val="center"/>
            <w:hideMark/>
          </w:tcPr>
          <w:p w14:paraId="28FD21E7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0.37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fair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61E7339C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314300CB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pyelonephritis</w:t>
            </w:r>
          </w:p>
        </w:tc>
        <w:tc>
          <w:tcPr>
            <w:tcW w:w="1843" w:type="dxa"/>
            <w:vAlign w:val="center"/>
            <w:hideMark/>
          </w:tcPr>
          <w:p w14:paraId="72824715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10/18 cases (56%)</w:t>
            </w:r>
          </w:p>
        </w:tc>
        <w:tc>
          <w:tcPr>
            <w:tcW w:w="1842" w:type="dxa"/>
            <w:vAlign w:val="center"/>
            <w:hideMark/>
          </w:tcPr>
          <w:p w14:paraId="0AEDDA95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0.54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moderate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0CE745AC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7DB3CB53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pyelonephritis infection</w:t>
            </w:r>
          </w:p>
        </w:tc>
        <w:tc>
          <w:tcPr>
            <w:tcW w:w="1843" w:type="dxa"/>
            <w:vAlign w:val="center"/>
            <w:hideMark/>
          </w:tcPr>
          <w:p w14:paraId="758C1F51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7/18 cases (39%)</w:t>
            </w:r>
          </w:p>
        </w:tc>
        <w:tc>
          <w:tcPr>
            <w:tcW w:w="1842" w:type="dxa"/>
            <w:vAlign w:val="center"/>
            <w:hideMark/>
          </w:tcPr>
          <w:p w14:paraId="1B9A637C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0.36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fair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16F3115B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1F687EC0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IAI</w:t>
            </w:r>
          </w:p>
        </w:tc>
        <w:tc>
          <w:tcPr>
            <w:tcW w:w="1843" w:type="dxa"/>
            <w:vAlign w:val="center"/>
            <w:hideMark/>
          </w:tcPr>
          <w:p w14:paraId="06D3461F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21/28 cases (75%)</w:t>
            </w:r>
          </w:p>
        </w:tc>
        <w:tc>
          <w:tcPr>
            <w:tcW w:w="1842" w:type="dxa"/>
            <w:vAlign w:val="center"/>
            <w:hideMark/>
          </w:tcPr>
          <w:p w14:paraId="7235D9D7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0.74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substantial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49B6B352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05ED9A77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IAI</w:t>
            </w:r>
          </w:p>
        </w:tc>
        <w:tc>
          <w:tcPr>
            <w:tcW w:w="1843" w:type="dxa"/>
            <w:vAlign w:val="center"/>
            <w:hideMark/>
          </w:tcPr>
          <w:p w14:paraId="074B88DF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11/28 cases (39%)</w:t>
            </w:r>
          </w:p>
        </w:tc>
        <w:tc>
          <w:tcPr>
            <w:tcW w:w="1842" w:type="dxa"/>
            <w:vAlign w:val="center"/>
            <w:hideMark/>
          </w:tcPr>
          <w:p w14:paraId="77CE8AFB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0.36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fair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16D89D05" w14:textId="77777777" w:rsidTr="00DF03D5">
        <w:trPr>
          <w:trHeight w:val="149"/>
          <w:jc w:val="center"/>
        </w:trPr>
        <w:tc>
          <w:tcPr>
            <w:tcW w:w="6416" w:type="dxa"/>
            <w:vAlign w:val="center"/>
            <w:hideMark/>
          </w:tcPr>
          <w:p w14:paraId="010A3F9D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infection by GPC</w:t>
            </w:r>
          </w:p>
        </w:tc>
        <w:tc>
          <w:tcPr>
            <w:tcW w:w="1843" w:type="dxa"/>
            <w:vAlign w:val="center"/>
            <w:hideMark/>
          </w:tcPr>
          <w:p w14:paraId="01370FF4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17/20 cases (85%)</w:t>
            </w:r>
          </w:p>
        </w:tc>
        <w:tc>
          <w:tcPr>
            <w:tcW w:w="1842" w:type="dxa"/>
            <w:vAlign w:val="center"/>
            <w:hideMark/>
          </w:tcPr>
          <w:p w14:paraId="386BB3AC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0.84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near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 xml:space="preserve"> 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perfect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0C259B3A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0F0C97A5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infection by GPC</w:t>
            </w:r>
          </w:p>
        </w:tc>
        <w:tc>
          <w:tcPr>
            <w:tcW w:w="1843" w:type="dxa"/>
            <w:vAlign w:val="center"/>
            <w:hideMark/>
          </w:tcPr>
          <w:p w14:paraId="71224BB6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15/20 cases (75%)</w:t>
            </w:r>
          </w:p>
        </w:tc>
        <w:tc>
          <w:tcPr>
            <w:tcW w:w="1842" w:type="dxa"/>
            <w:vAlign w:val="center"/>
            <w:hideMark/>
          </w:tcPr>
          <w:p w14:paraId="4BBF7CDA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0.74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substantial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2B6CC03B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19C0C65B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Recommended antibiotic in cases of infection by GNB</w:t>
            </w:r>
          </w:p>
        </w:tc>
        <w:tc>
          <w:tcPr>
            <w:tcW w:w="1843" w:type="dxa"/>
            <w:vAlign w:val="center"/>
            <w:hideMark/>
          </w:tcPr>
          <w:p w14:paraId="13865313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51/80 cases (64%)</w:t>
            </w:r>
          </w:p>
        </w:tc>
        <w:tc>
          <w:tcPr>
            <w:tcW w:w="1842" w:type="dxa"/>
            <w:vAlign w:val="center"/>
            <w:hideMark/>
          </w:tcPr>
          <w:p w14:paraId="232DB45B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0.62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substantial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D45EB" w14:paraId="3885A797" w14:textId="77777777" w:rsidTr="00DF03D5">
        <w:trPr>
          <w:jc w:val="center"/>
        </w:trPr>
        <w:tc>
          <w:tcPr>
            <w:tcW w:w="6416" w:type="dxa"/>
            <w:vAlign w:val="center"/>
            <w:hideMark/>
          </w:tcPr>
          <w:p w14:paraId="0617619E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Antimicrobial resistance mechanism in cases of infection by GNB</w:t>
            </w:r>
          </w:p>
        </w:tc>
        <w:tc>
          <w:tcPr>
            <w:tcW w:w="1843" w:type="dxa"/>
            <w:vAlign w:val="center"/>
            <w:hideMark/>
          </w:tcPr>
          <w:p w14:paraId="4A089721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31/80 cases (39%)</w:t>
            </w:r>
          </w:p>
        </w:tc>
        <w:tc>
          <w:tcPr>
            <w:tcW w:w="1842" w:type="dxa"/>
            <w:vAlign w:val="center"/>
            <w:hideMark/>
          </w:tcPr>
          <w:p w14:paraId="469AB7B0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lang w:val="es-MX"/>
              </w:rPr>
            </w:pPr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0.36 (</w:t>
            </w:r>
            <w:proofErr w:type="spellStart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fair</w:t>
            </w:r>
            <w:proofErr w:type="spellEnd"/>
            <w:r w:rsidRPr="00FD45EB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)</w:t>
            </w:r>
          </w:p>
        </w:tc>
      </w:tr>
      <w:tr w:rsidR="0062212D" w:rsidRPr="00F02021" w14:paraId="60569B5D" w14:textId="77777777" w:rsidTr="00DF03D5">
        <w:trPr>
          <w:jc w:val="center"/>
        </w:trPr>
        <w:tc>
          <w:tcPr>
            <w:tcW w:w="10101" w:type="dxa"/>
            <w:gridSpan w:val="3"/>
            <w:vAlign w:val="center"/>
          </w:tcPr>
          <w:p w14:paraId="7A7B1EB9" w14:textId="77777777" w:rsidR="0062212D" w:rsidRPr="00FD45EB" w:rsidRDefault="0062212D" w:rsidP="00DF03D5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D45EB">
              <w:rPr>
                <w:rFonts w:ascii="Times New Roman" w:hAnsi="Times New Roman" w:cs="Times New Roman"/>
                <w:i/>
                <w:iCs/>
                <w:lang w:val="en-US"/>
              </w:rPr>
              <w:t>BSI</w:t>
            </w:r>
            <w:r w:rsidRPr="00FD45EB">
              <w:rPr>
                <w:rFonts w:ascii="Times New Roman" w:hAnsi="Times New Roman" w:cs="Times New Roman"/>
                <w:lang w:val="en-US"/>
              </w:rPr>
              <w:t xml:space="preserve"> bloodstream infection, </w:t>
            </w:r>
            <w:r w:rsidRPr="00FD45EB">
              <w:rPr>
                <w:rFonts w:ascii="Times New Roman" w:hAnsi="Times New Roman" w:cs="Times New Roman"/>
                <w:i/>
                <w:iCs/>
                <w:lang w:val="en-US"/>
              </w:rPr>
              <w:t>GNB</w:t>
            </w:r>
            <w:r w:rsidRPr="00FD45EB">
              <w:rPr>
                <w:rFonts w:ascii="Times New Roman" w:hAnsi="Times New Roman" w:cs="Times New Roman"/>
                <w:lang w:val="en-US"/>
              </w:rPr>
              <w:t xml:space="preserve"> Gram-negative bacilli, </w:t>
            </w:r>
            <w:r w:rsidRPr="00FD45EB">
              <w:rPr>
                <w:rFonts w:ascii="Times New Roman" w:hAnsi="Times New Roman" w:cs="Times New Roman"/>
                <w:i/>
                <w:iCs/>
                <w:lang w:val="en-US"/>
              </w:rPr>
              <w:t>GPC</w:t>
            </w:r>
            <w:r w:rsidRPr="00FD45EB">
              <w:rPr>
                <w:rFonts w:ascii="Times New Roman" w:hAnsi="Times New Roman" w:cs="Times New Roman"/>
                <w:lang w:val="en-US"/>
              </w:rPr>
              <w:t xml:space="preserve"> Gram-positive cocci, </w:t>
            </w:r>
            <w:r w:rsidRPr="00FD45EB">
              <w:rPr>
                <w:rFonts w:ascii="Times New Roman" w:hAnsi="Times New Roman" w:cs="Times New Roman"/>
                <w:i/>
                <w:iCs/>
                <w:lang w:val="en-US"/>
              </w:rPr>
              <w:t>IAI</w:t>
            </w:r>
            <w:r w:rsidRPr="00FD45EB">
              <w:rPr>
                <w:rFonts w:ascii="Times New Roman" w:hAnsi="Times New Roman" w:cs="Times New Roman"/>
                <w:lang w:val="en-US"/>
              </w:rPr>
              <w:t xml:space="preserve"> intraabdominal infection, </w:t>
            </w:r>
            <w:r w:rsidRPr="00FD45EB">
              <w:rPr>
                <w:rFonts w:ascii="Times New Roman" w:eastAsia="Noto Sans Symbols" w:hAnsi="Times New Roman" w:cs="Times New Roman"/>
                <w:lang w:val="en-US"/>
              </w:rPr>
              <w:sym w:font="Symbol" w:char="F06B"/>
            </w:r>
            <w:r w:rsidRPr="00FD45EB">
              <w:rPr>
                <w:rFonts w:ascii="Times New Roman" w:eastAsia="Noto Sans Symbols" w:hAnsi="Times New Roman" w:cs="Times New Roman"/>
                <w:lang w:val="en-US"/>
              </w:rPr>
              <w:t xml:space="preserve"> kappa coefficient</w:t>
            </w:r>
          </w:p>
        </w:tc>
      </w:tr>
    </w:tbl>
    <w:p w14:paraId="759317DF" w14:textId="77777777" w:rsidR="0062212D" w:rsidRPr="00FD45EB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707C518" w14:textId="77777777" w:rsidR="0062212D" w:rsidRPr="00FD45EB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020DF97" w14:textId="77777777" w:rsidR="0062212D" w:rsidRPr="00FD45EB" w:rsidRDefault="0062212D" w:rsidP="0062212D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1BDFB00" w14:textId="77777777" w:rsidR="00C629A6" w:rsidRPr="0062212D" w:rsidRDefault="00C629A6" w:rsidP="0062212D">
      <w:pPr>
        <w:suppressLineNumbers/>
        <w:rPr>
          <w:lang w:val="en-US"/>
        </w:rPr>
      </w:pPr>
    </w:p>
    <w:sectPr w:rsidR="00C629A6" w:rsidRPr="0062212D" w:rsidSect="00C95D0A"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E75BA"/>
    <w:multiLevelType w:val="hybridMultilevel"/>
    <w:tmpl w:val="BE66070C"/>
    <w:lvl w:ilvl="0" w:tplc="61D223A4">
      <w:start w:val="1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F2558"/>
    <w:multiLevelType w:val="hybridMultilevel"/>
    <w:tmpl w:val="BA584E0A"/>
    <w:lvl w:ilvl="0" w:tplc="A6AC8D6C">
      <w:start w:val="1"/>
      <w:numFmt w:val="bullet"/>
      <w:lvlText w:val="*"/>
      <w:lvlJc w:val="left"/>
      <w:pPr>
        <w:ind w:left="1004" w:hanging="360"/>
      </w:pPr>
      <w:rPr>
        <w:rFonts w:ascii="Palatino Linotype" w:hAnsi="Palatino Linotype" w:hint="default"/>
        <w:vertAlign w:val="superscrip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2566922">
    <w:abstractNumId w:val="0"/>
  </w:num>
  <w:num w:numId="2" w16cid:durableId="116424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1A"/>
    <w:rsid w:val="0051361A"/>
    <w:rsid w:val="0062212D"/>
    <w:rsid w:val="00C629A6"/>
    <w:rsid w:val="00C73F3E"/>
    <w:rsid w:val="00F0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2148D-5C91-44F9-B1F6-665E7386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2D"/>
    <w:pPr>
      <w:spacing w:after="0" w:line="276" w:lineRule="auto"/>
    </w:pPr>
    <w:rPr>
      <w:rFonts w:ascii="Arial" w:eastAsia="Arial" w:hAnsi="Arial" w:cs="Arial"/>
      <w:kern w:val="0"/>
      <w:lang w:val="es-419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212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62212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2212D"/>
    <w:pPr>
      <w:spacing w:after="0" w:line="240" w:lineRule="auto"/>
    </w:pPr>
    <w:rPr>
      <w:rFonts w:ascii="Arial" w:eastAsia="Arial" w:hAnsi="Arial" w:cs="Arial"/>
      <w:kern w:val="0"/>
      <w:lang w:val="es-419"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62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am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nardo.martinezg@incmnsz.mx" TargetMode="External"/><Relationship Id="rId5" Type="http://schemas.openxmlformats.org/officeDocument/2006/relationships/hyperlink" Target="mailto:karla.tamez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Martinez Guerra</dc:creator>
  <cp:keywords/>
  <dc:description/>
  <cp:lastModifiedBy>Bernardo Martinez Guerra</cp:lastModifiedBy>
  <cp:revision>3</cp:revision>
  <dcterms:created xsi:type="dcterms:W3CDTF">2024-06-17T16:35:00Z</dcterms:created>
  <dcterms:modified xsi:type="dcterms:W3CDTF">2024-10-14T23:04:00Z</dcterms:modified>
</cp:coreProperties>
</file>