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0FC27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Bidi"/>
          <w:b/>
          <w:bCs/>
          <w:sz w:val="20"/>
          <w:szCs w:val="20"/>
        </w:rPr>
        <w:t xml:space="preserve">Supplementary </w:t>
      </w:r>
      <w:r w:rsidRPr="008565BE">
        <w:rPr>
          <w:rFonts w:asciiTheme="minorHAnsi" w:hAnsiTheme="minorHAnsi" w:cstheme="minorBidi"/>
          <w:b/>
          <w:bCs/>
          <w:sz w:val="20"/>
          <w:szCs w:val="20"/>
        </w:rPr>
        <w:t>Table 1.</w:t>
      </w:r>
      <w:r w:rsidRPr="00001B75">
        <w:rPr>
          <w:rFonts w:asciiTheme="minorHAnsi" w:hAnsiTheme="minorHAnsi" w:cstheme="minorBidi"/>
          <w:sz w:val="20"/>
          <w:szCs w:val="20"/>
        </w:rPr>
        <w:t xml:space="preserve"> Local urinary pathogen antibiogram</w:t>
      </w:r>
      <w:r>
        <w:rPr>
          <w:rFonts w:asciiTheme="minorHAnsi" w:hAnsiTheme="minorHAnsi" w:cstheme="minorBidi"/>
          <w:sz w:val="20"/>
          <w:szCs w:val="20"/>
        </w:rPr>
        <w:t xml:space="preserve"> comparing cefazolin* and ceftriaxone for non-ESBL </w:t>
      </w:r>
      <w:proofErr w:type="gramStart"/>
      <w:r>
        <w:rPr>
          <w:rFonts w:asciiTheme="minorHAnsi" w:hAnsiTheme="minorHAnsi" w:cstheme="minorBidi"/>
          <w:sz w:val="20"/>
          <w:szCs w:val="20"/>
        </w:rPr>
        <w:t>isolates</w:t>
      </w:r>
      <w:proofErr w:type="gramEnd"/>
      <w:r>
        <w:rPr>
          <w:rFonts w:asciiTheme="minorHAnsi" w:hAnsiTheme="minorHAnsi" w:cstheme="minorBidi"/>
          <w:sz w:val="20"/>
          <w:szCs w:val="20"/>
        </w:rPr>
        <w:t xml:space="preserve"> 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822"/>
        <w:gridCol w:w="1273"/>
        <w:gridCol w:w="1171"/>
        <w:gridCol w:w="1206"/>
        <w:gridCol w:w="1302"/>
        <w:gridCol w:w="1231"/>
        <w:gridCol w:w="1350"/>
      </w:tblGrid>
      <w:tr w:rsidR="00DA0179" w14:paraId="24C2C60A" w14:textId="77777777" w:rsidTr="005A48A3">
        <w:trPr>
          <w:trHeight w:val="71"/>
        </w:trPr>
        <w:tc>
          <w:tcPr>
            <w:tcW w:w="1822" w:type="dxa"/>
            <w:vMerge w:val="restart"/>
          </w:tcPr>
          <w:p w14:paraId="48F65C34" w14:textId="77777777" w:rsidR="00DA0179" w:rsidRDefault="00DA0179" w:rsidP="005A48A3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44" w:type="dxa"/>
            <w:gridSpan w:val="2"/>
          </w:tcPr>
          <w:p w14:paraId="2E3C1048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2020</w:t>
            </w:r>
          </w:p>
        </w:tc>
        <w:tc>
          <w:tcPr>
            <w:tcW w:w="2508" w:type="dxa"/>
            <w:gridSpan w:val="2"/>
          </w:tcPr>
          <w:p w14:paraId="51496861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2021</w:t>
            </w:r>
          </w:p>
        </w:tc>
        <w:tc>
          <w:tcPr>
            <w:tcW w:w="2581" w:type="dxa"/>
            <w:gridSpan w:val="2"/>
          </w:tcPr>
          <w:p w14:paraId="0836435C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2022</w:t>
            </w:r>
          </w:p>
        </w:tc>
      </w:tr>
      <w:tr w:rsidR="00DA0179" w14:paraId="5FD0DED8" w14:textId="77777777" w:rsidTr="005A48A3">
        <w:trPr>
          <w:trHeight w:val="98"/>
        </w:trPr>
        <w:tc>
          <w:tcPr>
            <w:tcW w:w="1822" w:type="dxa"/>
            <w:vMerge/>
          </w:tcPr>
          <w:p w14:paraId="5F342826" w14:textId="77777777" w:rsidR="00DA0179" w:rsidRDefault="00DA0179" w:rsidP="005A48A3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3" w:type="dxa"/>
          </w:tcPr>
          <w:p w14:paraId="6EF534AF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CFZ</w:t>
            </w:r>
          </w:p>
        </w:tc>
        <w:tc>
          <w:tcPr>
            <w:tcW w:w="1171" w:type="dxa"/>
          </w:tcPr>
          <w:p w14:paraId="4FF31994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CRO</w:t>
            </w:r>
          </w:p>
        </w:tc>
        <w:tc>
          <w:tcPr>
            <w:tcW w:w="1206" w:type="dxa"/>
          </w:tcPr>
          <w:p w14:paraId="3C293448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CFZ</w:t>
            </w:r>
          </w:p>
        </w:tc>
        <w:tc>
          <w:tcPr>
            <w:tcW w:w="1302" w:type="dxa"/>
          </w:tcPr>
          <w:p w14:paraId="13C78F1E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CRO</w:t>
            </w:r>
          </w:p>
        </w:tc>
        <w:tc>
          <w:tcPr>
            <w:tcW w:w="1231" w:type="dxa"/>
          </w:tcPr>
          <w:p w14:paraId="69CA2705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CFZ</w:t>
            </w:r>
          </w:p>
        </w:tc>
        <w:tc>
          <w:tcPr>
            <w:tcW w:w="1350" w:type="dxa"/>
          </w:tcPr>
          <w:p w14:paraId="0B47E2B5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CRO</w:t>
            </w:r>
          </w:p>
        </w:tc>
      </w:tr>
      <w:tr w:rsidR="00DA0179" w14:paraId="19D6A841" w14:textId="77777777" w:rsidTr="005A48A3">
        <w:trPr>
          <w:trHeight w:val="107"/>
        </w:trPr>
        <w:tc>
          <w:tcPr>
            <w:tcW w:w="1822" w:type="dxa"/>
          </w:tcPr>
          <w:p w14:paraId="6B01DAEF" w14:textId="77777777" w:rsidR="00DA0179" w:rsidRDefault="00DA0179" w:rsidP="005A48A3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E.</w:t>
            </w:r>
            <w:r w:rsidRPr="00001B7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coli</w:t>
            </w:r>
          </w:p>
        </w:tc>
        <w:tc>
          <w:tcPr>
            <w:tcW w:w="1273" w:type="dxa"/>
            <w:vAlign w:val="center"/>
          </w:tcPr>
          <w:p w14:paraId="4138F431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95%</w:t>
            </w:r>
          </w:p>
        </w:tc>
        <w:tc>
          <w:tcPr>
            <w:tcW w:w="1171" w:type="dxa"/>
            <w:vAlign w:val="center"/>
          </w:tcPr>
          <w:p w14:paraId="40FCCEE6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94%</w:t>
            </w:r>
          </w:p>
        </w:tc>
        <w:tc>
          <w:tcPr>
            <w:tcW w:w="1206" w:type="dxa"/>
            <w:vAlign w:val="center"/>
          </w:tcPr>
          <w:p w14:paraId="3D9A11E4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96%</w:t>
            </w:r>
          </w:p>
        </w:tc>
        <w:tc>
          <w:tcPr>
            <w:tcW w:w="1302" w:type="dxa"/>
            <w:vAlign w:val="center"/>
          </w:tcPr>
          <w:p w14:paraId="5AAD247A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98%</w:t>
            </w:r>
          </w:p>
        </w:tc>
        <w:tc>
          <w:tcPr>
            <w:tcW w:w="1231" w:type="dxa"/>
            <w:vAlign w:val="center"/>
          </w:tcPr>
          <w:p w14:paraId="3F5D558E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95%</w:t>
            </w:r>
          </w:p>
        </w:tc>
        <w:tc>
          <w:tcPr>
            <w:tcW w:w="1350" w:type="dxa"/>
            <w:vAlign w:val="center"/>
          </w:tcPr>
          <w:p w14:paraId="7AA7FE60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98%</w:t>
            </w:r>
          </w:p>
        </w:tc>
      </w:tr>
      <w:tr w:rsidR="00DA0179" w14:paraId="74AA1A39" w14:textId="77777777" w:rsidTr="005A48A3">
        <w:trPr>
          <w:trHeight w:val="125"/>
        </w:trPr>
        <w:tc>
          <w:tcPr>
            <w:tcW w:w="1822" w:type="dxa"/>
          </w:tcPr>
          <w:p w14:paraId="5B01975C" w14:textId="77777777" w:rsidR="00DA0179" w:rsidRPr="0097139A" w:rsidRDefault="00DA0179" w:rsidP="005A48A3">
            <w:pPr>
              <w:spacing w:line="480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K.</w:t>
            </w:r>
            <w:r w:rsidRPr="0097139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pneumoniae</w:t>
            </w:r>
          </w:p>
        </w:tc>
        <w:tc>
          <w:tcPr>
            <w:tcW w:w="1273" w:type="dxa"/>
            <w:vAlign w:val="center"/>
          </w:tcPr>
          <w:p w14:paraId="671884C7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97%</w:t>
            </w:r>
          </w:p>
        </w:tc>
        <w:tc>
          <w:tcPr>
            <w:tcW w:w="1171" w:type="dxa"/>
            <w:vAlign w:val="center"/>
          </w:tcPr>
          <w:p w14:paraId="32AAB6C3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96%</w:t>
            </w:r>
          </w:p>
        </w:tc>
        <w:tc>
          <w:tcPr>
            <w:tcW w:w="1206" w:type="dxa"/>
            <w:vAlign w:val="center"/>
          </w:tcPr>
          <w:p w14:paraId="5A3222F7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97%</w:t>
            </w:r>
          </w:p>
        </w:tc>
        <w:tc>
          <w:tcPr>
            <w:tcW w:w="1302" w:type="dxa"/>
            <w:vAlign w:val="center"/>
          </w:tcPr>
          <w:p w14:paraId="50744C8C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98%</w:t>
            </w:r>
          </w:p>
        </w:tc>
        <w:tc>
          <w:tcPr>
            <w:tcW w:w="1231" w:type="dxa"/>
            <w:vAlign w:val="center"/>
          </w:tcPr>
          <w:p w14:paraId="18A98981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94%</w:t>
            </w:r>
          </w:p>
        </w:tc>
        <w:tc>
          <w:tcPr>
            <w:tcW w:w="1350" w:type="dxa"/>
            <w:vAlign w:val="center"/>
          </w:tcPr>
          <w:p w14:paraId="3B0CC9E5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94%</w:t>
            </w:r>
          </w:p>
        </w:tc>
      </w:tr>
      <w:tr w:rsidR="00DA0179" w14:paraId="5D4FBABD" w14:textId="77777777" w:rsidTr="005A48A3">
        <w:trPr>
          <w:trHeight w:val="68"/>
        </w:trPr>
        <w:tc>
          <w:tcPr>
            <w:tcW w:w="1822" w:type="dxa"/>
          </w:tcPr>
          <w:p w14:paraId="3CBCFA36" w14:textId="77777777" w:rsidR="00DA0179" w:rsidRPr="0097139A" w:rsidRDefault="00DA0179" w:rsidP="005A48A3">
            <w:pPr>
              <w:spacing w:line="480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P.</w:t>
            </w:r>
            <w:r w:rsidRPr="0097139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mirabilis</w:t>
            </w:r>
          </w:p>
        </w:tc>
        <w:tc>
          <w:tcPr>
            <w:tcW w:w="1273" w:type="dxa"/>
            <w:vAlign w:val="center"/>
          </w:tcPr>
          <w:p w14:paraId="38D7CD0C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98%</w:t>
            </w:r>
          </w:p>
        </w:tc>
        <w:tc>
          <w:tcPr>
            <w:tcW w:w="1171" w:type="dxa"/>
            <w:vAlign w:val="center"/>
          </w:tcPr>
          <w:p w14:paraId="49E2209F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99%</w:t>
            </w:r>
          </w:p>
        </w:tc>
        <w:tc>
          <w:tcPr>
            <w:tcW w:w="1206" w:type="dxa"/>
            <w:vAlign w:val="center"/>
          </w:tcPr>
          <w:p w14:paraId="030A56BF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97%</w:t>
            </w:r>
          </w:p>
        </w:tc>
        <w:tc>
          <w:tcPr>
            <w:tcW w:w="1302" w:type="dxa"/>
            <w:vAlign w:val="center"/>
          </w:tcPr>
          <w:p w14:paraId="3EAE8ED7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100%</w:t>
            </w:r>
          </w:p>
        </w:tc>
        <w:tc>
          <w:tcPr>
            <w:tcW w:w="1231" w:type="dxa"/>
            <w:vAlign w:val="center"/>
          </w:tcPr>
          <w:p w14:paraId="49AAA373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95%</w:t>
            </w:r>
          </w:p>
        </w:tc>
        <w:tc>
          <w:tcPr>
            <w:tcW w:w="1350" w:type="dxa"/>
            <w:vAlign w:val="center"/>
          </w:tcPr>
          <w:p w14:paraId="324D5F59" w14:textId="77777777" w:rsidR="00DA0179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100%</w:t>
            </w:r>
          </w:p>
        </w:tc>
      </w:tr>
    </w:tbl>
    <w:p w14:paraId="56BBC398" w14:textId="77777777" w:rsidR="00DA0179" w:rsidRPr="00001B75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Values</w:t>
      </w:r>
      <w:r w:rsidRPr="00001B75">
        <w:rPr>
          <w:rFonts w:asciiTheme="minorHAnsi" w:hAnsiTheme="minorHAnsi" w:cstheme="minorHAnsi"/>
          <w:sz w:val="20"/>
          <w:szCs w:val="20"/>
        </w:rPr>
        <w:t xml:space="preserve"> represent percent susceptible. </w:t>
      </w:r>
    </w:p>
    <w:p w14:paraId="2B0CDAE6" w14:textId="151CCA20" w:rsidR="00653F7D" w:rsidRPr="00BA03FA" w:rsidRDefault="00DA0179" w:rsidP="00BA03FA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BA03FA">
        <w:rPr>
          <w:rFonts w:asciiTheme="minorHAnsi" w:hAnsiTheme="minorHAnsi" w:cstheme="minorHAnsi"/>
          <w:sz w:val="20"/>
          <w:szCs w:val="20"/>
        </w:rPr>
        <w:t xml:space="preserve">*MIC breakpoint of ≤16 was utilized when reporting cefazolin susceptibilities for </w:t>
      </w:r>
      <w:r w:rsidRPr="00BA03FA">
        <w:rPr>
          <w:rFonts w:asciiTheme="minorHAnsi" w:hAnsiTheme="minorHAnsi" w:cstheme="minorHAnsi"/>
          <w:i/>
          <w:iCs/>
          <w:sz w:val="20"/>
          <w:szCs w:val="20"/>
        </w:rPr>
        <w:t>E.</w:t>
      </w:r>
      <w:r w:rsidR="00653F7D" w:rsidRPr="00BA03FA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BA03FA">
        <w:rPr>
          <w:rFonts w:asciiTheme="minorHAnsi" w:hAnsiTheme="minorHAnsi" w:cstheme="minorHAnsi"/>
          <w:i/>
          <w:iCs/>
          <w:sz w:val="20"/>
          <w:szCs w:val="20"/>
        </w:rPr>
        <w:t>coli</w:t>
      </w:r>
      <w:r w:rsidRPr="00BA03FA">
        <w:rPr>
          <w:rFonts w:asciiTheme="minorHAnsi" w:hAnsiTheme="minorHAnsi" w:cstheme="minorHAnsi"/>
          <w:sz w:val="20"/>
          <w:szCs w:val="20"/>
        </w:rPr>
        <w:t xml:space="preserve">, </w:t>
      </w:r>
      <w:r w:rsidRPr="00BA03FA">
        <w:rPr>
          <w:rFonts w:asciiTheme="minorHAnsi" w:hAnsiTheme="minorHAnsi" w:cstheme="minorHAnsi"/>
          <w:i/>
          <w:iCs/>
          <w:sz w:val="20"/>
          <w:szCs w:val="20"/>
        </w:rPr>
        <w:t>K. pneumoniae</w:t>
      </w:r>
      <w:r w:rsidRPr="00BA03FA">
        <w:rPr>
          <w:rFonts w:asciiTheme="minorHAnsi" w:hAnsiTheme="minorHAnsi" w:cstheme="minorHAnsi"/>
          <w:sz w:val="20"/>
          <w:szCs w:val="20"/>
        </w:rPr>
        <w:t xml:space="preserve">, and </w:t>
      </w:r>
      <w:r w:rsidRPr="00BA03FA">
        <w:rPr>
          <w:rFonts w:asciiTheme="minorHAnsi" w:hAnsiTheme="minorHAnsi" w:cstheme="minorHAnsi"/>
          <w:i/>
          <w:iCs/>
          <w:sz w:val="20"/>
          <w:szCs w:val="20"/>
        </w:rPr>
        <w:t>P. mirabilis</w:t>
      </w:r>
      <w:r w:rsidRPr="00BA03FA">
        <w:rPr>
          <w:rFonts w:asciiTheme="minorHAnsi" w:hAnsiTheme="minorHAnsi" w:cstheme="minorHAnsi"/>
          <w:sz w:val="20"/>
          <w:szCs w:val="20"/>
        </w:rPr>
        <w:t xml:space="preserve"> when isolated in the urine per the CLSI.</w:t>
      </w:r>
      <w:r w:rsidR="00653F7D" w:rsidRPr="00BA03FA">
        <w:rPr>
          <w:rFonts w:asciiTheme="minorHAnsi" w:hAnsiTheme="minorHAnsi" w:cstheme="minorHAnsi"/>
          <w:sz w:val="20"/>
          <w:szCs w:val="20"/>
        </w:rPr>
        <w:t xml:space="preserve"> </w:t>
      </w:r>
      <w:r w:rsidR="00653F7D" w:rsidRPr="00BA03FA">
        <w:rPr>
          <w:rFonts w:asciiTheme="minorHAnsi" w:hAnsiTheme="minorHAnsi" w:cstheme="minorHAnsi"/>
          <w:i/>
          <w:iCs/>
          <w:sz w:val="20"/>
          <w:szCs w:val="20"/>
        </w:rPr>
        <w:t>Source:</w:t>
      </w:r>
      <w:r w:rsidR="00653F7D" w:rsidRPr="00BA03FA">
        <w:rPr>
          <w:rFonts w:asciiTheme="minorHAnsi" w:hAnsiTheme="minorHAnsi" w:cstheme="minorHAnsi"/>
          <w:sz w:val="20"/>
          <w:szCs w:val="20"/>
        </w:rPr>
        <w:t xml:space="preserve"> Clinical and Laboratory Standards Institute (CLSI). Performance Standards for Antimicrobial Susceptibility Testing. 32nd ed. CLSI supplement. Clinical and Laboratory Standards Institute, USA, 2022.</w:t>
      </w:r>
    </w:p>
    <w:p w14:paraId="7C4B7D60" w14:textId="44562738" w:rsidR="00DA0179" w:rsidRPr="005E30E4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  <w:vertAlign w:val="superscript"/>
        </w:rPr>
      </w:pPr>
    </w:p>
    <w:p w14:paraId="7715BFF0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187141F7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4BFC6A3C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2D8460E8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4A866757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21376440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650DB773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5A43AC90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713FFED4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3F200825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4AE55A78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5BCC7E11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4F0D2F29" w14:textId="77777777" w:rsidR="00DA0179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6FAE2F75" w14:textId="77777777" w:rsidR="00DA0179" w:rsidRPr="00001B75" w:rsidRDefault="00DA0179" w:rsidP="00DA0179">
      <w:pPr>
        <w:pStyle w:val="ListParagraph"/>
        <w:spacing w:line="480" w:lineRule="auto"/>
        <w:ind w:left="0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lastRenderedPageBreak/>
        <w:t xml:space="preserve">Supplementary </w:t>
      </w:r>
      <w:r w:rsidRPr="002F19EB">
        <w:rPr>
          <w:rFonts w:cstheme="minorHAnsi"/>
          <w:b/>
          <w:bCs/>
          <w:sz w:val="20"/>
          <w:szCs w:val="20"/>
        </w:rPr>
        <w:t xml:space="preserve">Table </w:t>
      </w:r>
      <w:r>
        <w:rPr>
          <w:rFonts w:cstheme="minorHAnsi"/>
          <w:b/>
          <w:bCs/>
          <w:sz w:val="20"/>
          <w:szCs w:val="20"/>
        </w:rPr>
        <w:t>2</w:t>
      </w:r>
      <w:r w:rsidRPr="002F19EB">
        <w:rPr>
          <w:rFonts w:cstheme="minorHAnsi"/>
          <w:b/>
          <w:bCs/>
          <w:sz w:val="20"/>
          <w:szCs w:val="20"/>
        </w:rPr>
        <w:t>.</w:t>
      </w:r>
      <w:r w:rsidRPr="00001B75">
        <w:rPr>
          <w:rFonts w:cstheme="minorHAnsi"/>
          <w:sz w:val="20"/>
          <w:szCs w:val="20"/>
        </w:rPr>
        <w:t xml:space="preserve"> </w:t>
      </w:r>
      <w:r w:rsidRPr="00001B75">
        <w:rPr>
          <w:rFonts w:cstheme="minorHAnsi"/>
          <w:color w:val="2A2A2A"/>
          <w:sz w:val="20"/>
          <w:szCs w:val="20"/>
        </w:rPr>
        <w:t xml:space="preserve">Discharge antibiotic </w:t>
      </w:r>
      <w:proofErr w:type="gramStart"/>
      <w:r w:rsidRPr="00001B75">
        <w:rPr>
          <w:rFonts w:cstheme="minorHAnsi"/>
          <w:color w:val="2A2A2A"/>
          <w:sz w:val="20"/>
          <w:szCs w:val="20"/>
        </w:rPr>
        <w:t>regimens</w:t>
      </w:r>
      <w:proofErr w:type="gramEnd"/>
    </w:p>
    <w:tbl>
      <w:tblPr>
        <w:tblStyle w:val="TableGrid"/>
        <w:tblW w:w="9368" w:type="dxa"/>
        <w:tblLook w:val="04A0" w:firstRow="1" w:lastRow="0" w:firstColumn="1" w:lastColumn="0" w:noHBand="0" w:noVBand="1"/>
      </w:tblPr>
      <w:tblGrid>
        <w:gridCol w:w="6028"/>
        <w:gridCol w:w="1670"/>
        <w:gridCol w:w="1670"/>
      </w:tblGrid>
      <w:tr w:rsidR="00DA0179" w:rsidRPr="00001B75" w14:paraId="0B188674" w14:textId="77777777" w:rsidTr="005A48A3">
        <w:trPr>
          <w:trHeight w:val="51"/>
        </w:trPr>
        <w:tc>
          <w:tcPr>
            <w:tcW w:w="6028" w:type="dxa"/>
            <w:hideMark/>
          </w:tcPr>
          <w:p w14:paraId="085F9EC8" w14:textId="77777777" w:rsidR="00DA0179" w:rsidRPr="00001B75" w:rsidRDefault="00DA0179" w:rsidP="005A48A3">
            <w:pPr>
              <w:spacing w:line="480" w:lineRule="auto"/>
              <w:rPr>
                <w:rFonts w:asciiTheme="minorHAnsi" w:hAnsiTheme="minorHAnsi" w:cstheme="minorHAnsi"/>
                <w:color w:val="2A2A2A"/>
                <w:sz w:val="20"/>
                <w:szCs w:val="20"/>
              </w:rPr>
            </w:pPr>
          </w:p>
        </w:tc>
        <w:tc>
          <w:tcPr>
            <w:tcW w:w="1670" w:type="dxa"/>
            <w:hideMark/>
          </w:tcPr>
          <w:p w14:paraId="575B1B1F" w14:textId="1CD8A541" w:rsidR="00DA0179" w:rsidRPr="00001B75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1B75">
              <w:rPr>
                <w:rFonts w:asciiTheme="minorHAnsi" w:hAnsiTheme="minorHAnsi" w:cstheme="minorHAnsi"/>
                <w:sz w:val="20"/>
                <w:szCs w:val="20"/>
              </w:rPr>
              <w:t>CFZ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(n=5</w:t>
            </w:r>
            <w:r w:rsidR="000B3450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5D2C6481" w14:textId="77777777" w:rsidR="00DA0179" w:rsidRPr="00001B75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1B75">
              <w:rPr>
                <w:rFonts w:asciiTheme="minorHAnsi" w:hAnsiTheme="minorHAnsi" w:cstheme="minorHAnsi"/>
                <w:sz w:val="20"/>
                <w:szCs w:val="20"/>
              </w:rPr>
              <w:t>CRO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(n=61)</w:t>
            </w:r>
          </w:p>
        </w:tc>
      </w:tr>
      <w:tr w:rsidR="00DA0179" w:rsidRPr="00001B75" w14:paraId="67D78019" w14:textId="77777777" w:rsidTr="005A48A3">
        <w:trPr>
          <w:trHeight w:val="68"/>
        </w:trPr>
        <w:tc>
          <w:tcPr>
            <w:tcW w:w="6028" w:type="dxa"/>
            <w:hideMark/>
          </w:tcPr>
          <w:p w14:paraId="46EABE99" w14:textId="77777777" w:rsidR="00DA0179" w:rsidRPr="00001B75" w:rsidRDefault="00DA0179" w:rsidP="005A48A3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Beta</w:t>
            </w:r>
            <w:r w:rsidRPr="00001B75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Pr="00001B75">
              <w:rPr>
                <w:rFonts w:asciiTheme="minorHAnsi" w:hAnsiTheme="minorHAnsi" w:cstheme="minorHAnsi"/>
                <w:sz w:val="20"/>
                <w:szCs w:val="20"/>
              </w:rPr>
              <w:t>actam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a</w:t>
            </w:r>
            <w:proofErr w:type="spellEnd"/>
            <w:r w:rsidRPr="00001B75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(%)</w:t>
            </w:r>
          </w:p>
        </w:tc>
        <w:tc>
          <w:tcPr>
            <w:tcW w:w="1670" w:type="dxa"/>
            <w:hideMark/>
          </w:tcPr>
          <w:p w14:paraId="369EBEBC" w14:textId="06321539" w:rsidR="00DA0179" w:rsidRPr="00001B75" w:rsidRDefault="000B3450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36</w:t>
            </w:r>
            <w:r w:rsidR="00DA0179" w:rsidRPr="00001B75">
              <w:rPr>
                <w:rFonts w:asciiTheme="minorHAnsi" w:hAnsiTheme="minorHAnsi" w:cstheme="minorHAnsi"/>
                <w:sz w:val="20"/>
                <w:szCs w:val="20"/>
              </w:rPr>
              <w:t xml:space="preserve"> (6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DA017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DA0179" w:rsidRPr="00001B7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03081342" w14:textId="77777777" w:rsidR="00DA0179" w:rsidRPr="00001B75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 (65.6)</w:t>
            </w:r>
          </w:p>
        </w:tc>
      </w:tr>
      <w:tr w:rsidR="00DA0179" w:rsidRPr="00001B75" w14:paraId="53E6B5F4" w14:textId="77777777" w:rsidTr="005A48A3">
        <w:trPr>
          <w:trHeight w:val="68"/>
        </w:trPr>
        <w:tc>
          <w:tcPr>
            <w:tcW w:w="6028" w:type="dxa"/>
            <w:hideMark/>
          </w:tcPr>
          <w:p w14:paraId="515A36F8" w14:textId="77777777" w:rsidR="00DA0179" w:rsidRPr="00001B75" w:rsidRDefault="00DA0179" w:rsidP="005A48A3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01B75">
              <w:rPr>
                <w:rFonts w:asciiTheme="minorHAnsi" w:hAnsiTheme="minorHAnsi" w:cstheme="minorHAnsi"/>
                <w:sz w:val="20"/>
                <w:szCs w:val="20"/>
              </w:rPr>
              <w:t>Fluoroquinolone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(%)</w:t>
            </w:r>
          </w:p>
        </w:tc>
        <w:tc>
          <w:tcPr>
            <w:tcW w:w="1670" w:type="dxa"/>
            <w:hideMark/>
          </w:tcPr>
          <w:p w14:paraId="0CFBAA8E" w14:textId="18D8F683" w:rsidR="00DA0179" w:rsidRPr="00001B75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 (</w:t>
            </w:r>
            <w:r w:rsidR="000B3450">
              <w:rPr>
                <w:rFonts w:asciiTheme="minorHAnsi" w:hAnsiTheme="minorHAnsi" w:cstheme="minorHAnsi"/>
                <w:sz w:val="20"/>
                <w:szCs w:val="20"/>
              </w:rPr>
              <w:t>9.6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2DCAB0A0" w14:textId="77777777" w:rsidR="00DA0179" w:rsidRPr="00001B75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 (16.4)</w:t>
            </w:r>
          </w:p>
        </w:tc>
      </w:tr>
      <w:tr w:rsidR="00DA0179" w:rsidRPr="00001B75" w14:paraId="43755A59" w14:textId="77777777" w:rsidTr="005A48A3">
        <w:trPr>
          <w:trHeight w:val="134"/>
        </w:trPr>
        <w:tc>
          <w:tcPr>
            <w:tcW w:w="6028" w:type="dxa"/>
            <w:hideMark/>
          </w:tcPr>
          <w:p w14:paraId="54DF2496" w14:textId="77777777" w:rsidR="00DA0179" w:rsidRPr="00001B75" w:rsidRDefault="00DA0179" w:rsidP="005A48A3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01B75">
              <w:rPr>
                <w:rFonts w:asciiTheme="minorHAnsi" w:hAnsiTheme="minorHAnsi" w:cstheme="minorHAnsi"/>
                <w:sz w:val="20"/>
                <w:szCs w:val="20"/>
              </w:rPr>
              <w:t>Sulfamethoxazole/trimethoprim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(%)</w:t>
            </w:r>
          </w:p>
        </w:tc>
        <w:tc>
          <w:tcPr>
            <w:tcW w:w="1670" w:type="dxa"/>
            <w:hideMark/>
          </w:tcPr>
          <w:p w14:paraId="0F8B6B42" w14:textId="5675AF05" w:rsidR="00DA0179" w:rsidRPr="00001B75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(5.</w:t>
            </w:r>
            <w:r w:rsidR="000B345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729E7181" w14:textId="77777777" w:rsidR="00DA0179" w:rsidRPr="00001B75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 (8.2)</w:t>
            </w:r>
          </w:p>
        </w:tc>
      </w:tr>
      <w:tr w:rsidR="00DA0179" w:rsidRPr="00001B75" w14:paraId="25878E92" w14:textId="77777777" w:rsidTr="005A48A3">
        <w:trPr>
          <w:trHeight w:val="71"/>
        </w:trPr>
        <w:tc>
          <w:tcPr>
            <w:tcW w:w="6028" w:type="dxa"/>
            <w:hideMark/>
          </w:tcPr>
          <w:p w14:paraId="0817E52C" w14:textId="77777777" w:rsidR="00DA0179" w:rsidRPr="008B39BF" w:rsidRDefault="00DA0179" w:rsidP="005A48A3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Doxycycline (%)</w:t>
            </w:r>
          </w:p>
        </w:tc>
        <w:tc>
          <w:tcPr>
            <w:tcW w:w="1670" w:type="dxa"/>
            <w:hideMark/>
          </w:tcPr>
          <w:p w14:paraId="17BF7E7C" w14:textId="7BC82BD4" w:rsidR="00DA0179" w:rsidRPr="00001B75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(3.</w:t>
            </w:r>
            <w:r w:rsidR="000B3450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2864290D" w14:textId="77777777" w:rsidR="00DA0179" w:rsidRPr="00001B75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 (0)</w:t>
            </w:r>
          </w:p>
        </w:tc>
      </w:tr>
      <w:tr w:rsidR="00DA0179" w:rsidRPr="00001B75" w14:paraId="3F2453F1" w14:textId="77777777" w:rsidTr="005A48A3">
        <w:trPr>
          <w:trHeight w:val="107"/>
        </w:trPr>
        <w:tc>
          <w:tcPr>
            <w:tcW w:w="6028" w:type="dxa"/>
            <w:hideMark/>
          </w:tcPr>
          <w:p w14:paraId="5C754F61" w14:textId="77777777" w:rsidR="00DA0179" w:rsidRPr="00001B75" w:rsidRDefault="00DA0179" w:rsidP="005A48A3">
            <w:pPr>
              <w:spacing w:line="48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01B75">
              <w:rPr>
                <w:rFonts w:asciiTheme="minorHAnsi" w:hAnsiTheme="minorHAnsi" w:cstheme="minorHAnsi"/>
                <w:sz w:val="20"/>
                <w:szCs w:val="20"/>
              </w:rPr>
              <w:t>No antibiotics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(%)</w:t>
            </w:r>
          </w:p>
        </w:tc>
        <w:tc>
          <w:tcPr>
            <w:tcW w:w="1670" w:type="dxa"/>
            <w:hideMark/>
          </w:tcPr>
          <w:p w14:paraId="1B731C00" w14:textId="2B49180F" w:rsidR="00DA0179" w:rsidRPr="00001B75" w:rsidRDefault="000B3450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DA0179">
              <w:rPr>
                <w:rFonts w:asciiTheme="minorHAnsi" w:hAnsiTheme="minorHAnsi" w:cstheme="minorHAnsi"/>
                <w:sz w:val="20"/>
                <w:szCs w:val="20"/>
              </w:rPr>
              <w:t xml:space="preserve"> (1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1.5</w:t>
            </w:r>
            <w:r w:rsidR="00DA017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2A05E4B9" w14:textId="77777777" w:rsidR="00DA0179" w:rsidRPr="00001B75" w:rsidRDefault="00DA0179" w:rsidP="005A48A3">
            <w:pPr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 (9.8)</w:t>
            </w:r>
          </w:p>
        </w:tc>
      </w:tr>
    </w:tbl>
    <w:p w14:paraId="6FB50A02" w14:textId="5F901CC4" w:rsidR="00DA0179" w:rsidRDefault="00DA0179" w:rsidP="00DA0179">
      <w:pPr>
        <w:pStyle w:val="ListParagraph"/>
        <w:spacing w:line="480" w:lineRule="auto"/>
        <w:ind w:left="0"/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  <w:vertAlign w:val="superscript"/>
        </w:rPr>
        <w:t>a</w:t>
      </w:r>
      <w:r>
        <w:rPr>
          <w:rFonts w:cstheme="minorHAnsi"/>
          <w:sz w:val="20"/>
          <w:szCs w:val="20"/>
        </w:rPr>
        <w:t>Beta</w:t>
      </w:r>
      <w:proofErr w:type="spellEnd"/>
      <w:r w:rsidRPr="00001B75">
        <w:rPr>
          <w:rFonts w:cstheme="minorHAnsi"/>
          <w:sz w:val="20"/>
          <w:szCs w:val="20"/>
        </w:rPr>
        <w:t>-</w:t>
      </w:r>
      <w:r>
        <w:rPr>
          <w:rFonts w:cstheme="minorHAnsi"/>
          <w:sz w:val="20"/>
          <w:szCs w:val="20"/>
        </w:rPr>
        <w:t>l</w:t>
      </w:r>
      <w:r w:rsidRPr="00001B75">
        <w:rPr>
          <w:rFonts w:cstheme="minorHAnsi"/>
          <w:sz w:val="20"/>
          <w:szCs w:val="20"/>
        </w:rPr>
        <w:t>actam</w:t>
      </w:r>
      <w:r>
        <w:rPr>
          <w:rFonts w:cstheme="minorHAnsi"/>
          <w:sz w:val="20"/>
          <w:szCs w:val="20"/>
          <w:vertAlign w:val="superscript"/>
        </w:rPr>
        <w:t xml:space="preserve"> </w:t>
      </w:r>
      <w:r>
        <w:rPr>
          <w:rFonts w:cstheme="minorHAnsi"/>
          <w:sz w:val="20"/>
          <w:szCs w:val="20"/>
        </w:rPr>
        <w:t>agents include cephalexin (n = 2</w:t>
      </w:r>
      <w:r w:rsidR="000B3450">
        <w:rPr>
          <w:rFonts w:cstheme="minorHAnsi"/>
          <w:sz w:val="20"/>
          <w:szCs w:val="20"/>
        </w:rPr>
        <w:t>7</w:t>
      </w:r>
      <w:r>
        <w:rPr>
          <w:rFonts w:cstheme="minorHAnsi"/>
          <w:sz w:val="20"/>
          <w:szCs w:val="20"/>
        </w:rPr>
        <w:t xml:space="preserve"> for cefazolin, n = 8 for ceftriaxone); cefpodoxime (n = </w:t>
      </w:r>
      <w:r w:rsidR="000B3450">
        <w:rPr>
          <w:rFonts w:cstheme="minorHAnsi"/>
          <w:sz w:val="20"/>
          <w:szCs w:val="20"/>
        </w:rPr>
        <w:t>2</w:t>
      </w:r>
      <w:r>
        <w:rPr>
          <w:rFonts w:cstheme="minorHAnsi"/>
          <w:sz w:val="20"/>
          <w:szCs w:val="20"/>
        </w:rPr>
        <w:t xml:space="preserve"> for cefazolin, n = 24 for ceftriaxone); cefadroxil (n = </w:t>
      </w:r>
      <w:r w:rsidR="000B3450">
        <w:rPr>
          <w:rFonts w:cstheme="minorHAnsi"/>
          <w:sz w:val="20"/>
          <w:szCs w:val="20"/>
        </w:rPr>
        <w:t>2</w:t>
      </w:r>
      <w:r>
        <w:rPr>
          <w:rFonts w:cstheme="minorHAnsi"/>
          <w:sz w:val="20"/>
          <w:szCs w:val="20"/>
        </w:rPr>
        <w:t xml:space="preserve"> for cefazolin); amoxicillin/clavulanate (n = 4 for cefazolin, n = 4 for ceftriaxone); amoxicillin (n = 1 for cefazolin, n = 4 for ceftriaxone).  </w:t>
      </w:r>
    </w:p>
    <w:p w14:paraId="0F4DD72E" w14:textId="77777777" w:rsidR="00DA0179" w:rsidRPr="00001B75" w:rsidRDefault="00DA0179" w:rsidP="00DA0179">
      <w:pPr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14:paraId="3844BB48" w14:textId="77777777" w:rsidR="00DA0179" w:rsidRDefault="00DA0179" w:rsidP="00DA0179">
      <w:pPr>
        <w:pStyle w:val="ListParagraph"/>
        <w:spacing w:line="480" w:lineRule="auto"/>
        <w:ind w:left="0"/>
        <w:rPr>
          <w:rFonts w:cstheme="minorHAnsi"/>
          <w:sz w:val="20"/>
          <w:szCs w:val="20"/>
        </w:rPr>
      </w:pPr>
    </w:p>
    <w:p w14:paraId="3FD17C24" w14:textId="77777777" w:rsidR="00DA0179" w:rsidRDefault="00DA0179" w:rsidP="00DA0179">
      <w:pPr>
        <w:pStyle w:val="ListParagraph"/>
        <w:spacing w:line="480" w:lineRule="auto"/>
        <w:ind w:left="0"/>
        <w:rPr>
          <w:rFonts w:cstheme="minorHAnsi"/>
          <w:sz w:val="20"/>
          <w:szCs w:val="20"/>
        </w:rPr>
      </w:pPr>
    </w:p>
    <w:p w14:paraId="629459C0" w14:textId="77777777" w:rsidR="00DA0179" w:rsidRDefault="00DA0179" w:rsidP="00DA0179">
      <w:pPr>
        <w:pStyle w:val="ListParagraph"/>
        <w:spacing w:line="480" w:lineRule="auto"/>
        <w:ind w:left="0"/>
        <w:rPr>
          <w:rFonts w:cstheme="minorHAnsi"/>
          <w:sz w:val="20"/>
          <w:szCs w:val="20"/>
        </w:rPr>
      </w:pPr>
    </w:p>
    <w:p w14:paraId="7044116F" w14:textId="77777777" w:rsidR="00DA0179" w:rsidRDefault="00DA0179" w:rsidP="00DA0179">
      <w:pPr>
        <w:pStyle w:val="ListParagraph"/>
        <w:spacing w:line="480" w:lineRule="auto"/>
        <w:ind w:left="0"/>
        <w:rPr>
          <w:rFonts w:cstheme="minorHAnsi"/>
          <w:sz w:val="20"/>
          <w:szCs w:val="20"/>
        </w:rPr>
      </w:pPr>
    </w:p>
    <w:p w14:paraId="6823B0D5" w14:textId="77777777" w:rsidR="002062C5" w:rsidRDefault="002062C5"/>
    <w:sectPr w:rsidR="002062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C3A4A"/>
    <w:multiLevelType w:val="hybridMultilevel"/>
    <w:tmpl w:val="EA320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74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179"/>
    <w:rsid w:val="000B3450"/>
    <w:rsid w:val="00177277"/>
    <w:rsid w:val="002062C5"/>
    <w:rsid w:val="004061C3"/>
    <w:rsid w:val="00653F7D"/>
    <w:rsid w:val="0067320B"/>
    <w:rsid w:val="00A33A52"/>
    <w:rsid w:val="00BA03FA"/>
    <w:rsid w:val="00C54A47"/>
    <w:rsid w:val="00DA0179"/>
    <w:rsid w:val="00EA56EB"/>
    <w:rsid w:val="00F7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77AC1"/>
  <w15:chartTrackingRefBased/>
  <w15:docId w15:val="{9EB0848F-3F11-4D47-ABA8-B8C6CD855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1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179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DA0179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33A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Carcamo, Paola S.</dc:creator>
  <cp:keywords/>
  <dc:description/>
  <cp:lastModifiedBy>Carcamo, Paola S.</cp:lastModifiedBy>
  <cp:revision>8</cp:revision>
  <dcterms:created xsi:type="dcterms:W3CDTF">2024-08-27T19:05:00Z</dcterms:created>
  <dcterms:modified xsi:type="dcterms:W3CDTF">2025-01-17T15:38:00Z</dcterms:modified>
</cp:coreProperties>
</file>