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46A4F">
      <w:pPr>
        <w:pStyle w:val="2"/>
        <w:numPr>
          <w:ilvl w:val="0"/>
          <w:numId w:val="0"/>
        </w:numPr>
        <w:jc w:val="both"/>
        <w:rPr>
          <w:rFonts w:hint="default" w:eastAsia="宋体"/>
        </w:rPr>
      </w:pPr>
      <w:r>
        <w:rPr>
          <w:rFonts w:hint="default" w:eastAsia="宋体"/>
        </w:rPr>
        <w:t>Supplementary</w:t>
      </w:r>
      <w:r>
        <w:rPr>
          <w:rFonts w:eastAsia="宋体"/>
        </w:rPr>
        <w:t xml:space="preserve"> data</w:t>
      </w:r>
      <w:bookmarkStart w:id="0" w:name="_GoBack"/>
      <w:bookmarkEnd w:id="0"/>
    </w:p>
    <w:p w14:paraId="0611C6F6">
      <w:pPr>
        <w:ind w:firstLine="482"/>
        <w:jc w:val="both"/>
      </w:pPr>
      <w:r>
        <w:rPr>
          <w:rStyle w:val="10"/>
          <w:rFonts w:hint="default" w:eastAsia="宋体"/>
        </w:rPr>
        <w:t>Supplementary Table 1</w:t>
      </w:r>
      <w:r>
        <w:rPr>
          <w:rStyle w:val="10"/>
          <w:rFonts w:hint="default"/>
        </w:rPr>
        <w:t xml:space="preserve">: </w:t>
      </w:r>
      <w:r>
        <w:rPr>
          <w:rFonts w:hint="eastAsia"/>
        </w:rPr>
        <w:t>Information on public transcriptomics datasets used</w:t>
      </w:r>
    </w:p>
    <w:tbl>
      <w:tblPr>
        <w:tblStyle w:val="7"/>
        <w:tblpPr w:leftFromText="180" w:rightFromText="180" w:vertAnchor="text" w:horzAnchor="page" w:tblpX="1419" w:tblpY="33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296"/>
        <w:gridCol w:w="1326"/>
        <w:gridCol w:w="3681"/>
        <w:gridCol w:w="1130"/>
        <w:gridCol w:w="910"/>
        <w:gridCol w:w="1517"/>
        <w:gridCol w:w="1487"/>
        <w:gridCol w:w="1891"/>
      </w:tblGrid>
      <w:tr w14:paraId="6A846484">
        <w:trPr>
          <w:trHeight w:val="1077" w:hRule="atLeast"/>
        </w:trPr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2F7183">
            <w:pPr>
              <w:widowControl/>
              <w:ind w:firstLine="0" w:firstLineChars="0"/>
              <w:jc w:val="center"/>
              <w:rPr>
                <w:rFonts w:hint="default" w:ascii="Times New Roman Bold" w:hAnsi="Times New Roman Bold" w:cs="Times New Roman Bold"/>
                <w:b/>
                <w:bCs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</w:rPr>
              <w:t>GSE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AFDE31D">
            <w:pPr>
              <w:widowControl/>
              <w:ind w:firstLine="0" w:firstLineChars="0"/>
              <w:jc w:val="center"/>
              <w:rPr>
                <w:rFonts w:hint="default" w:ascii="Times New Roman Bold" w:hAnsi="Times New Roman Bold" w:cs="Times New Roman Bold"/>
                <w:b/>
                <w:bCs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</w:rPr>
              <w:t>Data type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44FE521">
            <w:pPr>
              <w:widowControl/>
              <w:ind w:firstLine="0" w:firstLineChars="0"/>
              <w:jc w:val="center"/>
              <w:rPr>
                <w:rFonts w:hint="default" w:ascii="Times New Roman Bold" w:hAnsi="Times New Roman Bold" w:cs="Times New Roman Bold"/>
                <w:b/>
                <w:bCs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lang w:val="en-US" w:eastAsia="zh-CN"/>
              </w:rPr>
              <w:t>Platform ID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C2420F">
            <w:pPr>
              <w:widowControl/>
              <w:ind w:firstLine="0" w:firstLineChars="0"/>
              <w:jc w:val="center"/>
              <w:rPr>
                <w:rFonts w:hint="default" w:ascii="Times New Roman Bold" w:hAnsi="Times New Roman Bold" w:cs="Times New Roman Bold"/>
                <w:b/>
                <w:bCs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lang w:val="en-US" w:eastAsia="zh-CN"/>
              </w:rPr>
              <w:t>Platform Name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A214E4">
            <w:pPr>
              <w:widowControl/>
              <w:ind w:firstLine="0" w:firstLineChars="0"/>
              <w:jc w:val="center"/>
              <w:rPr>
                <w:rFonts w:hint="default" w:ascii="Times New Roman Bold" w:hAnsi="Times New Roman Bold" w:cs="Times New Roman Bold"/>
                <w:b/>
                <w:bCs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</w:rPr>
              <w:t>Sample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BB1A94C">
            <w:pPr>
              <w:widowControl/>
              <w:ind w:firstLine="0" w:firstLineChars="0"/>
              <w:jc w:val="center"/>
              <w:rPr>
                <w:rFonts w:hint="default" w:ascii="Times New Roman Bold" w:hAnsi="Times New Roman Bold" w:cs="Times New Roman Bold"/>
                <w:b/>
                <w:bCs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</w:rPr>
              <w:t>Health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BA88437">
            <w:pPr>
              <w:widowControl/>
              <w:ind w:firstLine="0" w:firstLineChars="0"/>
              <w:jc w:val="center"/>
              <w:rPr>
                <w:rFonts w:hint="default" w:ascii="Times New Roman Bold" w:hAnsi="Times New Roman Bold" w:cs="Times New Roman Bold"/>
                <w:b/>
                <w:bCs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</w:rPr>
              <w:t>Sepsis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946F5C">
            <w:pPr>
              <w:widowControl/>
              <w:ind w:firstLine="0" w:firstLineChars="0"/>
              <w:jc w:val="center"/>
              <w:rPr>
                <w:rFonts w:hint="default" w:ascii="Times New Roman Bold" w:hAnsi="Times New Roman Bold" w:cs="Times New Roman Bold"/>
                <w:b/>
                <w:bCs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</w:rPr>
              <w:t>Reference</w:t>
            </w:r>
          </w:p>
        </w:tc>
      </w:tr>
      <w:tr w14:paraId="5FDABFEB">
        <w:trPr>
          <w:trHeight w:val="1077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427A479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54514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CC01687">
            <w:pPr>
              <w:widowControl/>
              <w:ind w:firstLine="0" w:firstLineChars="0"/>
              <w:jc w:val="center"/>
            </w:pPr>
            <w:r>
              <w:rPr>
                <w:rFonts w:hint="eastAsia"/>
                <w:lang w:val="en-US" w:eastAsia="zh-CN"/>
              </w:rPr>
              <w:t>Microarray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CDE1067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fldChar w:fldCharType="begin"/>
            </w:r>
            <w:r>
              <w:rPr>
                <w:rFonts w:hint="eastAsia" w:eastAsia="宋体"/>
                <w:lang w:val="en-US" w:eastAsia="zh-CN"/>
              </w:rPr>
              <w:instrText xml:space="preserve"> HYPERLINK "https://www.ncbi.nlm.nih.gov/geo/query/acc.cgi?acc=GPL6947" </w:instrText>
            </w:r>
            <w:r>
              <w:rPr>
                <w:rFonts w:hint="eastAsia" w:eastAsia="宋体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lang w:val="en-US" w:eastAsia="zh-CN"/>
              </w:rPr>
              <w:t>GPL6947</w:t>
            </w:r>
            <w:r>
              <w:rPr>
                <w:rFonts w:hint="default" w:eastAsia="宋体"/>
                <w:lang w:val="en-US" w:eastAsia="zh-CN"/>
              </w:rPr>
              <w:fldChar w:fldCharType="end"/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C04030B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Illumina HumanHT-12 V3.0 expression beadchip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CD12FBF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Whole Blood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AC59DAB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3D9CD24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26 (better prognosis)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440E283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9 (poor prognosis)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BC81EDB">
            <w:pPr>
              <w:widowControl/>
              <w:ind w:firstLine="0" w:firstLineChars="0"/>
              <w:jc w:val="center"/>
            </w:pPr>
            <w:r>
              <w:fldChar w:fldCharType="begin"/>
            </w:r>
            <w:r>
              <w:instrText xml:space="preserve"> HYPERLINK "https://journals.lww.com/shockjournal/fulltext/2013/09000/identifying_key_regulatory_genes_in_the_whole.2.aspx" </w:instrText>
            </w:r>
            <w:r>
              <w:fldChar w:fldCharType="separate"/>
            </w:r>
            <w:r>
              <w:rPr>
                <w:rStyle w:val="9"/>
              </w:rPr>
              <w:t>Parnell</w:t>
            </w:r>
            <w:r>
              <w:rPr>
                <w:rStyle w:val="9"/>
                <w:rFonts w:hint="eastAsia"/>
                <w:lang w:val="en-US" w:eastAsia="zh-CN"/>
              </w:rPr>
              <w:t xml:space="preserve"> </w:t>
            </w:r>
            <w:r>
              <w:rPr>
                <w:rStyle w:val="9"/>
              </w:rPr>
              <w:t>GP, Tang BM</w:t>
            </w:r>
            <w:r>
              <w:rPr>
                <w:rStyle w:val="9"/>
              </w:rPr>
              <w:fldChar w:fldCharType="end"/>
            </w:r>
          </w:p>
        </w:tc>
      </w:tr>
      <w:tr w14:paraId="0FBFFD81">
        <w:trPr>
          <w:trHeight w:val="10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3E4E2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57065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8764B">
            <w:pPr>
              <w:widowControl/>
              <w:ind w:firstLine="0" w:firstLineChars="0"/>
              <w:jc w:val="center"/>
            </w:pPr>
            <w:r>
              <w:rPr>
                <w:rFonts w:hint="eastAsia"/>
                <w:lang w:val="en-US" w:eastAsia="zh-CN"/>
              </w:rPr>
              <w:t>Microarray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BE94D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fldChar w:fldCharType="begin"/>
            </w:r>
            <w:r>
              <w:rPr>
                <w:rFonts w:hint="eastAsia" w:eastAsia="宋体"/>
                <w:lang w:val="en-US" w:eastAsia="zh-CN"/>
              </w:rPr>
              <w:instrText xml:space="preserve"> HYPERLINK "https://www.ncbi.nlm.nih.gov/geo/query/acc.cgi?acc=GPL570" </w:instrText>
            </w:r>
            <w:r>
              <w:rPr>
                <w:rFonts w:hint="eastAsia" w:eastAsia="宋体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lang w:val="en-US" w:eastAsia="zh-CN"/>
              </w:rPr>
              <w:t>GPL570</w:t>
            </w:r>
            <w:r>
              <w:rPr>
                <w:rFonts w:hint="default" w:eastAsia="宋体"/>
                <w:lang w:val="en-US" w:eastAsia="zh-CN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4296D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Affymetrix Human Genome U133 Plus 2.0 Array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678CD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Whole Blood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B08EA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8DE4E">
            <w:pPr>
              <w:widowControl/>
              <w:ind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C5F72">
            <w:pPr>
              <w:widowControl/>
              <w:ind w:firstLine="0" w:firstLineChars="0"/>
              <w:jc w:val="center"/>
            </w:pPr>
            <w:r>
              <w:fldChar w:fldCharType="begin"/>
            </w:r>
            <w:r>
              <w:instrText xml:space="preserve"> HYPERLINK "https://icm-experimental.springeropen.com/articles/10.1186/s40635-014-0020-3" </w:instrText>
            </w:r>
            <w:r>
              <w:fldChar w:fldCharType="separate"/>
            </w:r>
            <w:r>
              <w:rPr>
                <w:rStyle w:val="9"/>
                <w:rFonts w:hint="eastAsia"/>
              </w:rPr>
              <w:t>Cazalis</w:t>
            </w:r>
            <w:r>
              <w:rPr>
                <w:rStyle w:val="9"/>
                <w:rFonts w:hint="eastAsia"/>
                <w:lang w:val="en-US" w:eastAsia="zh-CN"/>
              </w:rPr>
              <w:t xml:space="preserve"> </w:t>
            </w:r>
            <w:r>
              <w:rPr>
                <w:rStyle w:val="9"/>
                <w:rFonts w:hint="eastAsia"/>
              </w:rPr>
              <w:t>MA, Lepape A</w:t>
            </w:r>
            <w:r>
              <w:rPr>
                <w:rStyle w:val="9"/>
                <w:rFonts w:hint="eastAsia"/>
              </w:rPr>
              <w:fldChar w:fldCharType="end"/>
            </w:r>
          </w:p>
        </w:tc>
      </w:tr>
      <w:tr w14:paraId="73D6D618">
        <w:trPr>
          <w:trHeight w:val="10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5CF67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69528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BF17C">
            <w:pPr>
              <w:widowControl/>
              <w:ind w:firstLine="0" w:firstLineChars="0"/>
              <w:jc w:val="center"/>
            </w:pPr>
            <w:r>
              <w:rPr>
                <w:rFonts w:hint="eastAsia"/>
                <w:lang w:val="en-US" w:eastAsia="zh-CN"/>
              </w:rPr>
              <w:t>Microarray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7596E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fldChar w:fldCharType="begin"/>
            </w:r>
            <w:r>
              <w:rPr>
                <w:rFonts w:hint="eastAsia" w:eastAsia="宋体"/>
                <w:lang w:val="en-US" w:eastAsia="zh-CN"/>
              </w:rPr>
              <w:instrText xml:space="preserve"> HYPERLINK "https://www.ncbi.nlm.nih.gov/geo/query/acc.cgi?acc=GPL10558" </w:instrText>
            </w:r>
            <w:r>
              <w:rPr>
                <w:rFonts w:hint="eastAsia" w:eastAsia="宋体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lang w:val="en-US" w:eastAsia="zh-CN"/>
              </w:rPr>
              <w:t>GPL10558</w:t>
            </w:r>
            <w:r>
              <w:rPr>
                <w:rFonts w:hint="default" w:eastAsia="宋体"/>
                <w:lang w:val="en-US" w:eastAsia="zh-CN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7D7B8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Illumina HumanHT-12 V4.0 expression beadchip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C4CA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Whole Blood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FF802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4563F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A1943">
            <w:pPr>
              <w:widowControl/>
              <w:ind w:firstLine="0" w:firstLineChars="0"/>
              <w:jc w:val="center"/>
            </w:pPr>
            <w:r>
              <w:fldChar w:fldCharType="begin"/>
            </w:r>
            <w:r>
              <w:instrText xml:space="preserve"> HYPERLINK "https://www.ncbi.nlm.nih.gov/pmc/articles/PMC3091321/" </w:instrText>
            </w:r>
            <w:r>
              <w:fldChar w:fldCharType="separate"/>
            </w:r>
            <w:r>
              <w:rPr>
                <w:rStyle w:val="9"/>
              </w:rPr>
              <w:t>Pankla R, Buddhisa S</w:t>
            </w:r>
            <w:r>
              <w:rPr>
                <w:rStyle w:val="9"/>
              </w:rPr>
              <w:fldChar w:fldCharType="end"/>
            </w:r>
          </w:p>
        </w:tc>
      </w:tr>
      <w:tr w14:paraId="779A1918">
        <w:trPr>
          <w:trHeight w:val="10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F1A1F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95233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80165">
            <w:pPr>
              <w:widowControl/>
              <w:ind w:firstLine="0" w:firstLineChars="0"/>
              <w:jc w:val="center"/>
            </w:pPr>
            <w:r>
              <w:rPr>
                <w:rFonts w:hint="eastAsia"/>
                <w:lang w:val="en-US" w:eastAsia="zh-CN"/>
              </w:rPr>
              <w:t>Microarray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CBFCE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fldChar w:fldCharType="begin"/>
            </w:r>
            <w:r>
              <w:rPr>
                <w:rFonts w:hint="eastAsia" w:eastAsia="宋体"/>
                <w:lang w:val="en-US" w:eastAsia="zh-CN"/>
              </w:rPr>
              <w:instrText xml:space="preserve"> HYPERLINK "https://www.ncbi.nlm.nih.gov/geo/query/acc.cgi?acc=GPL570" </w:instrText>
            </w:r>
            <w:r>
              <w:rPr>
                <w:rFonts w:hint="eastAsia" w:eastAsia="宋体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lang w:val="en-US" w:eastAsia="zh-CN"/>
              </w:rPr>
              <w:t>GPL570</w:t>
            </w:r>
            <w:r>
              <w:rPr>
                <w:rFonts w:hint="default" w:eastAsia="宋体"/>
                <w:lang w:val="en-US" w:eastAsia="zh-CN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D364E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Affymetrix Human Genome U133 Plus 2.0 Array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EC68E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Whole Blood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92ABD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954C1">
            <w:pPr>
              <w:widowControl/>
              <w:ind w:firstLine="0" w:firstLineChars="0"/>
              <w:jc w:val="center"/>
              <w:rPr>
                <w:rFonts w:cstheme="minorBidi"/>
                <w:sz w:val="22"/>
                <w:szCs w:val="22"/>
              </w:rPr>
            </w:pPr>
            <w:r>
              <w:rPr>
                <w:rFonts w:hint="eastAsia"/>
              </w:rPr>
              <w:t>34 (better prognosis)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C013E">
            <w:pPr>
              <w:widowControl/>
              <w:ind w:firstLine="0" w:firstLineChars="0"/>
              <w:jc w:val="center"/>
              <w:rPr>
                <w:rFonts w:cstheme="minorBidi"/>
                <w:sz w:val="22"/>
                <w:szCs w:val="22"/>
              </w:rPr>
            </w:pPr>
            <w:r>
              <w:rPr>
                <w:rFonts w:hint="eastAsia"/>
              </w:rPr>
              <w:t>17 (poor prognosis)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0C7EB">
            <w:pPr>
              <w:widowControl/>
              <w:ind w:firstLine="0" w:firstLineChars="0"/>
              <w:jc w:val="center"/>
            </w:pPr>
            <w:r>
              <w:fldChar w:fldCharType="begin"/>
            </w:r>
            <w:r>
              <w:instrText xml:space="preserve"> HYPERLINK "https://www.ncbi.nlm.nih.gov/geo/query/acc.cgi?acc=GSE95233" </w:instrText>
            </w:r>
            <w:r>
              <w:fldChar w:fldCharType="separate"/>
            </w:r>
            <w:r>
              <w:rPr>
                <w:rStyle w:val="9"/>
                <w:rFonts w:cs="Cambria"/>
                <w:shd w:val="clear" w:color="auto" w:fill="FFFFFF"/>
              </w:rPr>
              <w:t>Pachot A, Cazalis M</w:t>
            </w:r>
            <w:r>
              <w:rPr>
                <w:rStyle w:val="9"/>
                <w:rFonts w:cs="Cambria"/>
                <w:shd w:val="clear" w:color="auto" w:fill="FFFFFF"/>
              </w:rPr>
              <w:fldChar w:fldCharType="end"/>
            </w:r>
          </w:p>
        </w:tc>
      </w:tr>
      <w:tr w14:paraId="4B783FB9">
        <w:trPr>
          <w:trHeight w:val="1077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45BD447">
            <w:pPr>
              <w:widowControl/>
              <w:ind w:firstLine="0" w:firstLineChars="0"/>
              <w:jc w:val="center"/>
              <w:rPr>
                <w:rFonts w:cstheme="minorBidi"/>
                <w:lang w:bidi="ar"/>
              </w:rPr>
            </w:pPr>
            <w:r>
              <w:rPr>
                <w:rFonts w:hint="eastAsia"/>
              </w:rPr>
              <w:t>131761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F2F810D">
            <w:pPr>
              <w:widowControl/>
              <w:ind w:firstLine="0" w:firstLineChars="0"/>
              <w:jc w:val="center"/>
              <w:rPr>
                <w:rFonts w:cstheme="minorBidi"/>
                <w:lang w:bidi="ar"/>
              </w:rPr>
            </w:pPr>
            <w:r>
              <w:rPr>
                <w:rFonts w:hint="eastAsia"/>
                <w:lang w:val="en-US" w:eastAsia="zh-CN"/>
              </w:rPr>
              <w:t>Microarray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23574BA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fldChar w:fldCharType="begin"/>
            </w:r>
            <w:r>
              <w:rPr>
                <w:rFonts w:hint="eastAsia" w:eastAsia="宋体"/>
                <w:lang w:val="en-US" w:eastAsia="zh-CN"/>
              </w:rPr>
              <w:instrText xml:space="preserve"> HYPERLINK "https://www.ncbi.nlm.nih.gov/geo/query/acc.cgi?acc=GPL13497" </w:instrText>
            </w:r>
            <w:r>
              <w:rPr>
                <w:rFonts w:hint="eastAsia" w:eastAsia="宋体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lang w:val="en-US" w:eastAsia="zh-CN"/>
              </w:rPr>
              <w:t>GPL13497</w:t>
            </w:r>
            <w:r>
              <w:rPr>
                <w:rFonts w:hint="default" w:eastAsia="宋体"/>
                <w:lang w:val="en-US" w:eastAsia="zh-CN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BB138AB">
            <w:pPr>
              <w:widowControl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Agilent-026652 Whole Human Genome Microarray 4x44K v2 (Probe Name version)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13F6098">
            <w:pPr>
              <w:widowControl/>
              <w:ind w:firstLine="0" w:firstLineChars="0"/>
              <w:jc w:val="center"/>
              <w:rPr>
                <w:rFonts w:cstheme="minorBidi"/>
                <w:lang w:bidi="ar"/>
              </w:rPr>
            </w:pPr>
            <w:r>
              <w:rPr>
                <w:rFonts w:hint="eastAsia"/>
              </w:rPr>
              <w:t>Whole Blood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69EDC59">
            <w:pPr>
              <w:widowControl/>
              <w:ind w:firstLine="0" w:firstLineChars="0"/>
              <w:jc w:val="center"/>
              <w:rPr>
                <w:rFonts w:cstheme="minorBidi"/>
                <w:lang w:bidi="ar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E9FCFF4">
            <w:pPr>
              <w:widowControl/>
              <w:ind w:firstLine="0" w:firstLineChars="0"/>
              <w:jc w:val="center"/>
            </w:pPr>
            <w:r>
              <w:rPr>
                <w:rFonts w:hint="eastAsia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8D85925">
            <w:pPr>
              <w:widowControl/>
              <w:ind w:firstLine="0" w:firstLineChars="0"/>
              <w:jc w:val="center"/>
              <w:rPr>
                <w:rFonts w:cstheme="minorBidi"/>
                <w:lang w:bidi="ar"/>
              </w:rPr>
            </w:pPr>
            <w:r>
              <w:fldChar w:fldCharType="begin"/>
            </w:r>
            <w:r>
              <w:instrText xml:space="preserve"> HYPERLINK "https://linkinghub.elsevier.com/retrieve/pii/S0163-4453(21)00309-1" </w:instrText>
            </w:r>
            <w:r>
              <w:fldChar w:fldCharType="separate"/>
            </w:r>
            <w:r>
              <w:rPr>
                <w:rStyle w:val="9"/>
                <w:rFonts w:cstheme="minorBidi"/>
                <w:lang w:bidi="ar"/>
              </w:rPr>
              <w:t>Martínez-Paz P, Tamayo E</w:t>
            </w:r>
            <w:r>
              <w:rPr>
                <w:rStyle w:val="9"/>
                <w:rFonts w:cstheme="minorBidi"/>
                <w:lang w:bidi="ar"/>
              </w:rPr>
              <w:fldChar w:fldCharType="end"/>
            </w:r>
          </w:p>
        </w:tc>
      </w:tr>
    </w:tbl>
    <w:p w14:paraId="18ED4470">
      <w:pPr>
        <w:ind w:firstLine="482"/>
        <w:jc w:val="both"/>
        <w:rPr>
          <w:b/>
          <w:bCs/>
        </w:rPr>
      </w:pPr>
    </w:p>
    <w:p w14:paraId="3A41D8B1">
      <w:pPr>
        <w:jc w:val="both"/>
      </w:pPr>
    </w:p>
    <w:p w14:paraId="50BBDCC6">
      <w:pPr>
        <w:ind w:left="0" w:leftChars="0" w:firstLine="0" w:firstLineChars="0"/>
        <w:jc w:val="both"/>
        <w:rPr>
          <w:rStyle w:val="10"/>
          <w:rFonts w:hint="default" w:eastAsia="宋体"/>
        </w:rPr>
      </w:pPr>
    </w:p>
    <w:p w14:paraId="48C5362F">
      <w:pPr>
        <w:ind w:firstLine="482"/>
        <w:jc w:val="both"/>
        <w:rPr>
          <w:b/>
          <w:bCs/>
        </w:rPr>
      </w:pPr>
      <w:r>
        <w:rPr>
          <w:rStyle w:val="10"/>
          <w:rFonts w:hint="default" w:eastAsia="宋体"/>
        </w:rPr>
        <w:t xml:space="preserve">Supplementary Table 2: </w:t>
      </w:r>
      <w:r>
        <w:rPr>
          <w:rFonts w:hint="eastAsia"/>
        </w:rPr>
        <w:t>PCR primer sequences corresponding to Hub genes</w:t>
      </w:r>
    </w:p>
    <w:tbl>
      <w:tblPr>
        <w:tblStyle w:val="6"/>
        <w:tblpPr w:leftFromText="180" w:rightFromText="180" w:vertAnchor="text" w:horzAnchor="page" w:tblpX="1759" w:tblpY="407"/>
        <w:tblOverlap w:val="never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6347"/>
        <w:gridCol w:w="6169"/>
      </w:tblGrid>
      <w:tr w14:paraId="59A400D8">
        <w:trPr>
          <w:trHeight w:val="680" w:hRule="atLeast"/>
          <w:tblHeader/>
        </w:trPr>
        <w:tc>
          <w:tcPr>
            <w:tcW w:w="584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6B2A0F">
            <w:pPr>
              <w:ind w:firstLine="0" w:firstLineChars="0"/>
              <w:jc w:val="both"/>
              <w:textAlignment w:val="center"/>
              <w:rPr>
                <w:rFonts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sz w:val="22"/>
                <w:szCs w:val="22"/>
                <w:lang w:bidi="ar"/>
              </w:rPr>
              <w:t>ID</w:t>
            </w:r>
          </w:p>
        </w:tc>
        <w:tc>
          <w:tcPr>
            <w:tcW w:w="2239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1E7A05">
            <w:pPr>
              <w:ind w:firstLine="0" w:firstLineChars="0"/>
              <w:jc w:val="both"/>
              <w:textAlignment w:val="center"/>
              <w:rPr>
                <w:rFonts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sz w:val="22"/>
                <w:szCs w:val="22"/>
                <w:lang w:bidi="ar"/>
              </w:rPr>
              <w:t>Forward primer</w:t>
            </w:r>
          </w:p>
        </w:tc>
        <w:tc>
          <w:tcPr>
            <w:tcW w:w="2176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BEEF17">
            <w:pPr>
              <w:ind w:firstLine="0" w:firstLineChars="0"/>
              <w:jc w:val="both"/>
              <w:textAlignment w:val="center"/>
              <w:rPr>
                <w:rFonts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sz w:val="22"/>
                <w:szCs w:val="22"/>
                <w:lang w:bidi="ar"/>
              </w:rPr>
              <w:t>Reverse primer</w:t>
            </w:r>
          </w:p>
        </w:tc>
      </w:tr>
      <w:tr w14:paraId="25319209">
        <w:trPr>
          <w:trHeight w:val="680" w:hRule="atLeast"/>
          <w:tblHeader/>
        </w:trPr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0D647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i/>
                <w:color w:val="000000"/>
                <w:sz w:val="22"/>
                <w:szCs w:val="22"/>
                <w:lang w:bidi="ar"/>
              </w:rPr>
              <w:t>KLRB1</w:t>
            </w:r>
          </w:p>
        </w:tc>
        <w:tc>
          <w:tcPr>
            <w:tcW w:w="22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C1635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5'-GTTCCACCAAAGAATCCAGCCTG-3'</w:t>
            </w:r>
          </w:p>
        </w:tc>
        <w:tc>
          <w:tcPr>
            <w:tcW w:w="21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35CBB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5'-GTTCCACCAAAGAATCCAGCCTG-3'</w:t>
            </w:r>
          </w:p>
        </w:tc>
      </w:tr>
      <w:tr w14:paraId="078E3EB4">
        <w:trPr>
          <w:trHeight w:val="680" w:hRule="atLeast"/>
          <w:tblHeader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665C7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i/>
                <w:color w:val="000000"/>
                <w:sz w:val="22"/>
                <w:szCs w:val="22"/>
                <w:lang w:bidi="ar"/>
              </w:rPr>
              <w:t>RNASE2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B3F6B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5'-CCTCACAACTCCAAGTCCACAG-3'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1D746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5'-TACTGTGGAGGGTCTCGTCGTT-3'</w:t>
            </w:r>
          </w:p>
        </w:tc>
      </w:tr>
      <w:tr w14:paraId="0F3EFF87">
        <w:trPr>
          <w:trHeight w:val="680" w:hRule="atLeast"/>
          <w:tblHeader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BB546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i/>
                <w:color w:val="000000"/>
                <w:sz w:val="22"/>
                <w:szCs w:val="22"/>
                <w:lang w:bidi="ar"/>
              </w:rPr>
              <w:t>RNASE3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76A9E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5'-GGTGCCTTTACTCCACTGTGAC-3'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00A95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5'-ACTGGAACCACAGGATACCGTG-3'</w:t>
            </w:r>
          </w:p>
        </w:tc>
      </w:tr>
      <w:tr w14:paraId="547DF307">
        <w:trPr>
          <w:trHeight w:val="680" w:hRule="atLeast"/>
          <w:tblHeader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67E8A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i/>
                <w:color w:val="000000"/>
                <w:sz w:val="22"/>
                <w:szCs w:val="22"/>
                <w:lang w:bidi="ar"/>
              </w:rPr>
              <w:t>CTSG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18B66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5'-ACACCCAGCAACACATCACTGC-3'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05906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5'-GGTTCACGTTTCGATTCCGTCTG-3'</w:t>
            </w:r>
          </w:p>
        </w:tc>
      </w:tr>
      <w:tr w14:paraId="5D1753C9">
        <w:trPr>
          <w:trHeight w:val="680" w:hRule="atLeast"/>
          <w:tblHeader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57AB8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i/>
                <w:color w:val="000000"/>
                <w:sz w:val="22"/>
                <w:szCs w:val="22"/>
                <w:lang w:bidi="ar"/>
              </w:rPr>
              <w:t>SLPI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AAE8D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5'-AGCGTGACTTGAAGTGTTGCATG-3'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61973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5'-GAAAGGACCTGGGACCACACAGA-3'</w:t>
            </w:r>
          </w:p>
        </w:tc>
      </w:tr>
      <w:tr w14:paraId="3A3FB10E">
        <w:trPr>
          <w:trHeight w:val="680" w:hRule="atLeast"/>
          <w:tblHeader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C222E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i/>
                <w:color w:val="000000"/>
                <w:sz w:val="22"/>
                <w:szCs w:val="22"/>
                <w:lang w:bidi="ar"/>
              </w:rPr>
              <w:t>TNFAIP6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29D53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5'-TCACCTACGCAGAAGCTAAGGC-3'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65550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5'-TCCAACTCTGCCCTTAGCCATC-3'</w:t>
            </w:r>
          </w:p>
        </w:tc>
      </w:tr>
      <w:tr w14:paraId="15ED3890">
        <w:trPr>
          <w:trHeight w:val="680" w:hRule="atLeast"/>
          <w:tblHeader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D629D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i/>
                <w:color w:val="000000"/>
                <w:sz w:val="22"/>
                <w:szCs w:val="22"/>
                <w:lang w:bidi="ar"/>
              </w:rPr>
              <w:t>PGLYRP1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5CB95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5'-CCATGTCCATTGGCATCAGCTTC-3'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99432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5'-GAGCACATAGTTGGACCTCAGG-3'</w:t>
            </w:r>
          </w:p>
        </w:tc>
      </w:tr>
      <w:tr w14:paraId="6A9A9061">
        <w:trPr>
          <w:trHeight w:val="680" w:hRule="atLeast"/>
          <w:tblHeader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8C42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i/>
                <w:color w:val="000000"/>
                <w:sz w:val="22"/>
                <w:szCs w:val="22"/>
                <w:lang w:bidi="ar"/>
              </w:rPr>
              <w:t>BLOC1S1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B55E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5'-TACAGGTCCAGGCTGCCCAATT-3'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3F4F7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5'-TTCCAGTGCAGTGGCAATGGTG-3'</w:t>
            </w:r>
          </w:p>
        </w:tc>
      </w:tr>
      <w:tr w14:paraId="432F5080">
        <w:trPr>
          <w:trHeight w:val="680" w:hRule="atLeast"/>
          <w:tblHeader/>
        </w:trPr>
        <w:tc>
          <w:tcPr>
            <w:tcW w:w="58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0E3C229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cs="宋体"/>
                <w:i/>
                <w:color w:val="000000"/>
                <w:sz w:val="22"/>
                <w:szCs w:val="22"/>
                <w:lang w:bidi="ar"/>
              </w:rPr>
              <w:t>RPL10A</w:t>
            </w:r>
          </w:p>
        </w:tc>
        <w:tc>
          <w:tcPr>
            <w:tcW w:w="223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5E07AF0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5'-GCCAAAGTGGGATGAGGTGAAGTC-3'</w:t>
            </w:r>
          </w:p>
        </w:tc>
        <w:tc>
          <w:tcPr>
            <w:tcW w:w="217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738F390">
            <w:pPr>
              <w:ind w:firstLine="0" w:firstLineChars="0"/>
              <w:jc w:val="both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bidi="ar"/>
              </w:rPr>
              <w:t>5'-GACACCAAGAAGTTGACAGCCAG-3'</w:t>
            </w:r>
          </w:p>
        </w:tc>
      </w:tr>
    </w:tbl>
    <w:p w14:paraId="0FE9D313">
      <w:pPr>
        <w:jc w:val="both"/>
      </w:pPr>
    </w:p>
    <w:p w14:paraId="40FCD1ED">
      <w:pPr>
        <w:ind w:firstLine="482"/>
        <w:jc w:val="both"/>
        <w:rPr>
          <w:rStyle w:val="10"/>
          <w:rFonts w:hint="default" w:eastAsia="宋体"/>
        </w:rPr>
      </w:pPr>
      <w:r>
        <w:rPr>
          <w:rStyle w:val="10"/>
          <w:rFonts w:hint="default" w:eastAsia="宋体"/>
        </w:rPr>
        <w:br w:type="page"/>
      </w:r>
    </w:p>
    <w:p w14:paraId="581050EC">
      <w:pPr>
        <w:ind w:firstLine="482"/>
        <w:jc w:val="both"/>
      </w:pPr>
      <w:r>
        <w:rPr>
          <w:rStyle w:val="10"/>
          <w:rFonts w:hint="default" w:eastAsia="宋体"/>
        </w:rPr>
        <w:t xml:space="preserve">Supplementary Table </w:t>
      </w:r>
      <w:r>
        <w:rPr>
          <w:rStyle w:val="10"/>
          <w:rFonts w:hint="default"/>
        </w:rPr>
        <w:t xml:space="preserve">3: </w:t>
      </w:r>
      <w:r>
        <w:rPr>
          <w:rFonts w:hint="eastAsia"/>
        </w:rPr>
        <w:t>Differential expression of Hub genes across transcriptomics data.</w:t>
      </w:r>
    </w:p>
    <w:p w14:paraId="64406D62">
      <w:pPr>
        <w:jc w:val="both"/>
      </w:pPr>
    </w:p>
    <w:tbl>
      <w:tblPr>
        <w:tblStyle w:val="6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416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14:paraId="6D725997">
        <w:trPr>
          <w:trHeight w:val="680" w:hRule="atLeast"/>
        </w:trPr>
        <w:tc>
          <w:tcPr>
            <w:tcW w:w="50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6A90B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ID</w:t>
            </w: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61C85E4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GSE54514</w:t>
            </w: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CFE110F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GSE57065</w:t>
            </w: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73D3793">
            <w:pPr>
              <w:ind w:firstLine="0" w:firstLineChars="0"/>
              <w:jc w:val="both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D10C869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GSE69528</w:t>
            </w: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D3789B2">
            <w:pPr>
              <w:ind w:firstLine="0" w:firstLineChars="0"/>
              <w:jc w:val="both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6FB9302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GSE95233</w:t>
            </w: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2CBA8E6">
            <w:pPr>
              <w:ind w:firstLine="0" w:firstLineChars="0"/>
              <w:jc w:val="both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9AA2168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GSE131761</w:t>
            </w: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44061C3">
            <w:pPr>
              <w:ind w:firstLine="0" w:firstLineChars="0"/>
              <w:jc w:val="both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7FAE3989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95E96">
            <w:pPr>
              <w:ind w:firstLine="0" w:firstLineChars="0"/>
              <w:jc w:val="both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4E1A3E5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Log2FC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6AAC1CF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Log2FC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18E6C54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p.value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DEE8DF1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Log2FC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26979E5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p.value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0E75C55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Log2FC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5CCF56F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p.value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651714E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Log2FC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917E2AD">
            <w:pPr>
              <w:ind w:firstLine="0" w:firstLineChars="0"/>
              <w:jc w:val="both"/>
              <w:textAlignment w:val="bottom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  <w:lang w:bidi="ar"/>
              </w:rPr>
              <w:t>p.value</w:t>
            </w:r>
          </w:p>
        </w:tc>
      </w:tr>
      <w:tr w14:paraId="47BF28E8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A24CC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hint="eastAsia" w:cs="Calibri"/>
                <w:i/>
                <w:color w:val="000000"/>
                <w:sz w:val="22"/>
                <w:szCs w:val="22"/>
                <w:lang w:bidi="ar"/>
              </w:rPr>
              <w:t>RNASE2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C07F6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3.121 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9A24C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10.378 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68522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0DABF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3.186 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32C64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6BF17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9.353 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D4C37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78AD4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3.422 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8C119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</w:tr>
      <w:tr w14:paraId="2F36A2CF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70035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hint="eastAsia" w:cs="Calibri"/>
                <w:i/>
                <w:color w:val="000000"/>
                <w:sz w:val="22"/>
                <w:szCs w:val="22"/>
                <w:lang w:bidi="ar"/>
              </w:rPr>
              <w:t>RNASE3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C0370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3.041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19EE9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8.254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A4241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DADAA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2.822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423A5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0.006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E2C66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6.664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00BBA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BFF9B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3.399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69536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</w:tr>
      <w:tr w14:paraId="4E6D3AD6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B6461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hint="eastAsia" w:cs="Calibri"/>
                <w:i/>
                <w:color w:val="000000"/>
                <w:sz w:val="22"/>
                <w:szCs w:val="22"/>
                <w:lang w:bidi="ar"/>
              </w:rPr>
              <w:t>CTSG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6BFE5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2.911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0B333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4.687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5CF0C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710A2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5.062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F2F8F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E5B92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4.545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82ABD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EC3F1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4.222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0A5BD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0.002 </w:t>
            </w:r>
          </w:p>
        </w:tc>
      </w:tr>
      <w:tr w14:paraId="377A1748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E9AD3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hint="eastAsia" w:cs="Calibri"/>
                <w:i/>
                <w:color w:val="000000"/>
                <w:sz w:val="22"/>
                <w:szCs w:val="22"/>
                <w:lang w:bidi="ar"/>
              </w:rPr>
              <w:t>SLPI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E0387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2.645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61218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6.247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95CFE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84130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7.502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F552D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83672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8.306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C1A8D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E5E30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3.015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FA8DC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</w:tr>
      <w:tr w14:paraId="0D69F959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72A02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hint="eastAsia" w:cs="Calibri"/>
                <w:i/>
                <w:color w:val="000000"/>
                <w:sz w:val="22"/>
                <w:szCs w:val="22"/>
                <w:lang w:bidi="ar"/>
              </w:rPr>
              <w:t>TNFAIP6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AF407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1.584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4A22E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6.908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5D289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35D9F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5.232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9ECFA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9DB38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7.901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D03FD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CA78C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3.727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A2A30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</w:tr>
      <w:tr w14:paraId="2E04FDD3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6B013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hint="eastAsia" w:cs="Calibri"/>
                <w:i/>
                <w:color w:val="000000"/>
                <w:sz w:val="22"/>
                <w:szCs w:val="22"/>
                <w:lang w:bidi="ar"/>
              </w:rPr>
              <w:t>PGLYRP1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F3B03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2.250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0E055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7.785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AFFF4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B6BC0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9.652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E8FCA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1D37E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5.799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80E9F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7B6D5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4.889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F3BA7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</w:tr>
      <w:tr w14:paraId="330CA5FB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4A94C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hint="eastAsia" w:cs="Calibri"/>
                <w:i/>
                <w:color w:val="000000"/>
                <w:sz w:val="22"/>
                <w:szCs w:val="22"/>
                <w:lang w:bidi="ar"/>
              </w:rPr>
              <w:t>BLOC1S1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AA021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1.503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B7BF4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4.330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9C791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74BBD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3.554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EF90F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0F992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5.689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F46BE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6D4E5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3.152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62D92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</w:tr>
      <w:tr w14:paraId="4DB8E5AA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FE525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i/>
                <w:color w:val="000000"/>
                <w:sz w:val="22"/>
                <w:szCs w:val="22"/>
                <w:lang w:bidi="ar"/>
              </w:rPr>
              <w:t>RPL10A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28F30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-1.964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6D7A8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-2.685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8B6A0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9BA65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-3.839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28EC1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42045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-2.040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057B8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94E6B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-2.451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A33A8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</w:tr>
      <w:tr w14:paraId="74C13BA9">
        <w:trPr>
          <w:trHeight w:val="680" w:hRule="atLeast"/>
        </w:trPr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3E0A3F82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hint="eastAsia" w:cs="Calibri"/>
                <w:i/>
                <w:color w:val="000000"/>
                <w:sz w:val="22"/>
                <w:szCs w:val="22"/>
                <w:lang w:bidi="ar"/>
              </w:rPr>
              <w:t>KLRB1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2343918E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-1.624 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1D4E75DD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-6.537 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7ECCE5AA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3672F8A2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-6.436 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7BDAE23E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7DC0B342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-5.685 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1D92AE8B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1CED04CB">
            <w:pPr>
              <w:ind w:firstLine="0" w:firstLineChars="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 xml:space="preserve">-3.937 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25469388">
            <w:pPr>
              <w:ind w:firstLine="440"/>
              <w:jc w:val="both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bidi="ar"/>
              </w:rPr>
              <w:t>&lt;0.</w:t>
            </w:r>
            <w:r>
              <w:rPr>
                <w:rFonts w:hint="eastAsia" w:cs="Calibri"/>
                <w:color w:val="000000"/>
                <w:sz w:val="22"/>
                <w:szCs w:val="22"/>
                <w:lang w:bidi="ar"/>
              </w:rPr>
              <w:t>001</w:t>
            </w:r>
          </w:p>
        </w:tc>
      </w:tr>
    </w:tbl>
    <w:p w14:paraId="16546898">
      <w:pPr>
        <w:ind w:firstLine="482"/>
        <w:jc w:val="both"/>
      </w:pPr>
      <w:r>
        <w:rPr>
          <w:rStyle w:val="10"/>
          <w:rFonts w:hint="default" w:eastAsia="宋体"/>
        </w:rPr>
        <w:t xml:space="preserve">Supplementary Table </w:t>
      </w:r>
      <w:r>
        <w:rPr>
          <w:rStyle w:val="10"/>
          <w:rFonts w:hint="default"/>
        </w:rPr>
        <w:t xml:space="preserve">4: </w:t>
      </w:r>
      <w:r>
        <w:rPr>
          <w:rFonts w:hint="eastAsia"/>
        </w:rPr>
        <w:t xml:space="preserve">Enrichment results involving </w:t>
      </w:r>
      <w:r>
        <w:rPr>
          <w:rFonts w:hint="eastAsia"/>
          <w:i/>
        </w:rPr>
        <w:t>RNASE2</w:t>
      </w:r>
      <w:r>
        <w:t xml:space="preserve"> and </w:t>
      </w:r>
      <w:r>
        <w:rPr>
          <w:rFonts w:hint="eastAsia"/>
          <w:i/>
        </w:rPr>
        <w:t>RNASE3</w:t>
      </w:r>
    </w:p>
    <w:p w14:paraId="3D535286">
      <w:pPr>
        <w:jc w:val="both"/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329"/>
        <w:gridCol w:w="2479"/>
        <w:gridCol w:w="958"/>
        <w:gridCol w:w="821"/>
        <w:gridCol w:w="958"/>
        <w:gridCol w:w="821"/>
        <w:gridCol w:w="958"/>
        <w:gridCol w:w="821"/>
        <w:gridCol w:w="958"/>
        <w:gridCol w:w="821"/>
        <w:gridCol w:w="958"/>
        <w:gridCol w:w="821"/>
      </w:tblGrid>
      <w:tr w14:paraId="391361D8">
        <w:trPr>
          <w:trHeight w:val="680" w:hRule="atLeast"/>
          <w:tblHeader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B7161C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ONTOLOGY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E67924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ID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94593A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Description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8BA3E4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GSE54514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6EBD9F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GSE57065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280322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GSE69528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EE3E62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GSE95233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89A3BE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GSE131761</w:t>
            </w:r>
          </w:p>
        </w:tc>
      </w:tr>
      <w:tr w14:paraId="1E080FA2">
        <w:trPr>
          <w:trHeight w:val="6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6A7BA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33A79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D0477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2F80D8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0D567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B18984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D89CDA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A5F058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313417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545FF0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FEB2ED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C4930D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102502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</w:tr>
      <w:tr w14:paraId="2CFB043C">
        <w:trPr>
          <w:trHeight w:val="6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4E82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032E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GO:0034774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A315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secretory granule lumen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14677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3AC84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77CB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7630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B428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D1A1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0146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E4AD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1717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C4F7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153A75F1">
        <w:trPr>
          <w:trHeight w:val="6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9D33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AC5A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GO:0060205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92EE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cytoplasmic vesicle lumen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4B72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CF3E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47B4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4CD5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142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061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1FC2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C664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F03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F17D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273A00E5">
        <w:trPr>
          <w:trHeight w:val="6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A801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E208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GO:0031983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3CE9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vesicle lumen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1E62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3909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9C38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0A84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14AA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0CF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2D7D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6890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D641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7AEA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55BC32B0">
        <w:trPr>
          <w:trHeight w:val="6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67B2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225C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GO:0005766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014B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primary lysosome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E2A7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F4D24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1F8F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B620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1624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F7AE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9B5E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07A8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48B9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C294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06107420">
        <w:trPr>
          <w:trHeight w:val="6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5943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33FC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GO:0042582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4C2D7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azurophil granule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67A2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0679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D2F5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701D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081C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241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4FA8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E36C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35B0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C58F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4B59B3AF">
        <w:trPr>
          <w:trHeight w:val="6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F4EC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12EF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GO:0035578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5A68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azurophil granule lumen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CD3C7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33D9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E644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AA0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FC8E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F601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7E747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1AF5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117D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FEAE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3E418857">
        <w:trPr>
          <w:trHeight w:val="680" w:hRule="atLeast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A8D8C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120DD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GO:0005775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32486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vacuolar lumen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E44814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F4012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CFC8A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225FA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FD595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C6456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16962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0.085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AE2D6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0.076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68B24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E3E19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</w:tbl>
    <w:p w14:paraId="177CA425">
      <w:pPr>
        <w:jc w:val="both"/>
      </w:pPr>
    </w:p>
    <w:p w14:paraId="631F15D6">
      <w:pPr>
        <w:ind w:firstLine="482"/>
        <w:jc w:val="both"/>
        <w:rPr>
          <w:rStyle w:val="10"/>
          <w:rFonts w:hint="default" w:eastAsia="宋体"/>
        </w:rPr>
      </w:pPr>
      <w:r>
        <w:rPr>
          <w:rStyle w:val="10"/>
          <w:rFonts w:hint="default" w:eastAsia="宋体"/>
        </w:rPr>
        <w:br w:type="page"/>
      </w:r>
    </w:p>
    <w:p w14:paraId="2681A2F8">
      <w:pPr>
        <w:ind w:firstLine="482"/>
        <w:jc w:val="both"/>
      </w:pPr>
      <w:r>
        <w:rPr>
          <w:rStyle w:val="10"/>
          <w:rFonts w:hint="default" w:eastAsia="宋体"/>
        </w:rPr>
        <w:t xml:space="preserve">Supplementary Table </w:t>
      </w:r>
      <w:r>
        <w:rPr>
          <w:rStyle w:val="10"/>
          <w:rFonts w:hint="default"/>
        </w:rPr>
        <w:t xml:space="preserve">5: </w:t>
      </w:r>
      <w:r>
        <w:rPr>
          <w:rFonts w:hint="eastAsia"/>
        </w:rPr>
        <w:t xml:space="preserve">Enrichment </w:t>
      </w:r>
      <w:r>
        <w:t>r</w:t>
      </w:r>
      <w:r>
        <w:rPr>
          <w:rFonts w:hint="eastAsia"/>
        </w:rPr>
        <w:t xml:space="preserve">esults for </w:t>
      </w:r>
      <w:r>
        <w:rPr>
          <w:rFonts w:hint="eastAsia"/>
          <w:i/>
        </w:rPr>
        <w:t>SLPI</w:t>
      </w:r>
      <w:r>
        <w:rPr>
          <w:rFonts w:hint="eastAsia"/>
        </w:rPr>
        <w:t xml:space="preserve"> </w:t>
      </w:r>
      <w:r>
        <w:t>p</w:t>
      </w:r>
      <w:r>
        <w:rPr>
          <w:rFonts w:hint="eastAsia"/>
        </w:rPr>
        <w:t>articipation</w:t>
      </w:r>
    </w:p>
    <w:tbl>
      <w:tblPr>
        <w:tblStyle w:val="6"/>
        <w:tblpPr w:leftFromText="180" w:rightFromText="180" w:vertAnchor="text" w:horzAnchor="page" w:tblpX="1435" w:tblpY="322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691"/>
        <w:gridCol w:w="2839"/>
        <w:gridCol w:w="891"/>
        <w:gridCol w:w="766"/>
        <w:gridCol w:w="891"/>
        <w:gridCol w:w="766"/>
        <w:gridCol w:w="891"/>
        <w:gridCol w:w="766"/>
        <w:gridCol w:w="891"/>
        <w:gridCol w:w="765"/>
        <w:gridCol w:w="890"/>
        <w:gridCol w:w="765"/>
      </w:tblGrid>
      <w:tr w14:paraId="22C76133">
        <w:trPr>
          <w:trHeight w:val="680" w:hRule="atLeast"/>
          <w:tblHeader/>
        </w:trPr>
        <w:tc>
          <w:tcPr>
            <w:tcW w:w="47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E5F9FB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ONTOLOGY</w:t>
            </w:r>
          </w:p>
        </w:tc>
        <w:tc>
          <w:tcPr>
            <w:tcW w:w="59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B2D504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ID</w:t>
            </w:r>
          </w:p>
        </w:tc>
        <w:tc>
          <w:tcPr>
            <w:tcW w:w="100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9F1320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Description</w:t>
            </w:r>
          </w:p>
        </w:tc>
        <w:tc>
          <w:tcPr>
            <w:tcW w:w="584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19945C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GSE54514</w:t>
            </w:r>
          </w:p>
        </w:tc>
        <w:tc>
          <w:tcPr>
            <w:tcW w:w="584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B0DA94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GSE57065</w:t>
            </w:r>
          </w:p>
        </w:tc>
        <w:tc>
          <w:tcPr>
            <w:tcW w:w="584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2A2EB0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GSE69528</w:t>
            </w:r>
          </w:p>
        </w:tc>
        <w:tc>
          <w:tcPr>
            <w:tcW w:w="584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4D074E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GSE95233</w:t>
            </w:r>
          </w:p>
        </w:tc>
        <w:tc>
          <w:tcPr>
            <w:tcW w:w="584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991EE1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GSE131761</w:t>
            </w:r>
          </w:p>
        </w:tc>
      </w:tr>
      <w:tr w14:paraId="528795F1">
        <w:trPr>
          <w:trHeight w:val="680" w:hRule="atLeast"/>
          <w:tblHeader/>
        </w:trPr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75870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76ECD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115D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9FAB0C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7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D69A9E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31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094295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7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CFA96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31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E26C15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7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9CB048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31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31E37A4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7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6040CF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31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EEF8A5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7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65A3A5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</w:tr>
      <w:tr w14:paraId="5005855A">
        <w:trPr>
          <w:trHeight w:val="680" w:hRule="atLeast"/>
          <w:tblHeader/>
        </w:trPr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5326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145A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GO:0002237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EA6E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response to molecule of bacterial origin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1F99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0.028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E1EF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0.023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94CE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E0C8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0DA0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D787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ADAA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DB2F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88CB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9724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14:paraId="27D0745A">
        <w:trPr>
          <w:trHeight w:val="680" w:hRule="atLeast"/>
          <w:tblHeader/>
        </w:trPr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6296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6783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GO:0032496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1E36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response to lipopolysaccharide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ACC3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0.093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DF51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0.075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31C3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919D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9AD2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D9B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4EF3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B919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454A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C7C9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14:paraId="56440F0A">
        <w:trPr>
          <w:trHeight w:val="680" w:hRule="atLeast"/>
          <w:tblHeader/>
        </w:trPr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0BF6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5D80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GO:0034774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B67A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secretory granule lumen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9C15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E6AA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3DFF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8AE4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2441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9633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1FF8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FA69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1A8E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219C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14:paraId="235A9CFA">
        <w:trPr>
          <w:trHeight w:val="680" w:hRule="atLeast"/>
          <w:tblHeader/>
        </w:trPr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D322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D55A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GO:0060205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1631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cytoplasmic vesicle lumen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7C51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1BBB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E394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98E7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D159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DF8C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3AE4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7848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0CF8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2ADE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14:paraId="2121A9AE">
        <w:trPr>
          <w:trHeight w:val="680" w:hRule="atLeast"/>
          <w:tblHeader/>
        </w:trPr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9D89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8E8F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GO:0031983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C44A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vesicle lumen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7979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F0A8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4E74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CEDF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FC38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BBF8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5A0B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8C03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6480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BC75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14:paraId="74CA7EC8">
        <w:trPr>
          <w:trHeight w:val="680" w:hRule="atLeast"/>
          <w:tblHeader/>
        </w:trPr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E4C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9810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GO:0035580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90D8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specific granule lumen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9322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AAAD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0.004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6D31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84DB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4835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AD29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D06F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EC36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92D7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2752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14:paraId="10BB24D0">
        <w:trPr>
          <w:trHeight w:val="680" w:hRule="atLeast"/>
          <w:tblHeader/>
        </w:trPr>
        <w:tc>
          <w:tcPr>
            <w:tcW w:w="4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9D506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5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A597C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GO:0042581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14D34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specific granule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A08BD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0.057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F8CC7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0.044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B129A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664BF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CABD4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8FC8C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22747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7DDE3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A2983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91AF4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</w:tbl>
    <w:p w14:paraId="56E024F7">
      <w:pPr>
        <w:jc w:val="both"/>
      </w:pPr>
    </w:p>
    <w:p w14:paraId="7EDD583D">
      <w:pPr>
        <w:ind w:firstLine="482"/>
        <w:jc w:val="both"/>
        <w:rPr>
          <w:rStyle w:val="10"/>
          <w:rFonts w:hint="default" w:eastAsia="宋体"/>
        </w:rPr>
      </w:pPr>
      <w:r>
        <w:rPr>
          <w:rStyle w:val="10"/>
          <w:rFonts w:hint="default" w:eastAsia="宋体"/>
        </w:rPr>
        <w:br w:type="page"/>
      </w:r>
    </w:p>
    <w:p w14:paraId="01A0DD49">
      <w:pPr>
        <w:ind w:firstLine="482"/>
        <w:jc w:val="both"/>
      </w:pPr>
      <w:r>
        <w:rPr>
          <w:rStyle w:val="10"/>
          <w:rFonts w:hint="default" w:eastAsia="宋体"/>
        </w:rPr>
        <w:t xml:space="preserve">Supplementary Table </w:t>
      </w:r>
      <w:r>
        <w:rPr>
          <w:rStyle w:val="10"/>
          <w:rFonts w:hint="default"/>
        </w:rPr>
        <w:t xml:space="preserve">6: </w:t>
      </w:r>
      <w:r>
        <w:rPr>
          <w:rFonts w:hint="eastAsia"/>
        </w:rPr>
        <w:t xml:space="preserve">Enrichment results involving </w:t>
      </w:r>
      <w:r>
        <w:rPr>
          <w:rFonts w:hint="eastAsia"/>
          <w:i/>
        </w:rPr>
        <w:t>PGLYRP1</w:t>
      </w:r>
    </w:p>
    <w:p w14:paraId="4AFCE7BA">
      <w:pPr>
        <w:jc w:val="both"/>
      </w:pP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123"/>
        <w:gridCol w:w="3955"/>
        <w:gridCol w:w="836"/>
        <w:gridCol w:w="729"/>
        <w:gridCol w:w="836"/>
        <w:gridCol w:w="729"/>
        <w:gridCol w:w="836"/>
        <w:gridCol w:w="729"/>
        <w:gridCol w:w="836"/>
        <w:gridCol w:w="729"/>
        <w:gridCol w:w="839"/>
        <w:gridCol w:w="726"/>
      </w:tblGrid>
      <w:tr w14:paraId="3581FB67">
        <w:trPr>
          <w:trHeight w:val="680" w:hRule="atLeast"/>
          <w:tblHeader/>
        </w:trPr>
        <w:tc>
          <w:tcPr>
            <w:tcW w:w="448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044DF9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ONTOLOGY</w:t>
            </w:r>
          </w:p>
        </w:tc>
        <w:tc>
          <w:tcPr>
            <w:tcW w:w="396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7067C0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ID</w:t>
            </w:r>
          </w:p>
        </w:tc>
        <w:tc>
          <w:tcPr>
            <w:tcW w:w="1394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DE3C69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Description</w:t>
            </w:r>
          </w:p>
        </w:tc>
        <w:tc>
          <w:tcPr>
            <w:tcW w:w="552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1C86A3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GSE54514</w:t>
            </w:r>
          </w:p>
        </w:tc>
        <w:tc>
          <w:tcPr>
            <w:tcW w:w="552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38CBC0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GSE57065</w:t>
            </w:r>
          </w:p>
        </w:tc>
        <w:tc>
          <w:tcPr>
            <w:tcW w:w="552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C7CE03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GSE69528</w:t>
            </w:r>
          </w:p>
        </w:tc>
        <w:tc>
          <w:tcPr>
            <w:tcW w:w="552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3E6C63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GSE95233</w:t>
            </w:r>
          </w:p>
        </w:tc>
        <w:tc>
          <w:tcPr>
            <w:tcW w:w="552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B38767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GSE131761</w:t>
            </w:r>
          </w:p>
        </w:tc>
      </w:tr>
      <w:tr w14:paraId="4D3EDC6A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A8406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7499D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C4F17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5A36B17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1C4A71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29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4C36D1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2A2D4E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29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3E8BCF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A6685D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29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5F5A5C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9C17E0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29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90453F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B93B20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</w:tr>
      <w:tr w14:paraId="21D2E41D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FF6C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1B34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GO:0044403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F887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biological process involved in symbiotic interaction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5C7A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86C3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D53C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8C39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6B8B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D562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CE00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712B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7A02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7481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7065C962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BBAD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DFFE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GO:0051250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36DF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negative regulation of lymphocyte activation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C182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0.015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5F5B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0.013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7CAD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1CD6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3B39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78F1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2E61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F747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EAA4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7D6A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4257533E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0267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E276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GO:0001906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0920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cell killing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A2CC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0.022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5AB0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0.018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93D3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2E00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726A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6CB1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A1D4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4956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F13F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9551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3E82F46E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836D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C1F6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GO:0002695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5BF0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negative regulation of leukocyte activation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C817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0.024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2397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0.019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3057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0.004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748E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0.003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6948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42D0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D643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2F62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5153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C2F4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6D6565BB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A3D3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5FC4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GO:0050866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0EC0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negative regulation of cell activation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31CC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0.031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ECD6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0.025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27E6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0.013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9E9F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0.011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7E36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2F98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5DDA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3690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0.001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ECE7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6BAC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682C55E7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6D89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2217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GO:0002683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A3DD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negative regulation of immune system process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822F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0.046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027F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0.037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BEB0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0.027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DB08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0.022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E3A9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0394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2732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0.011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C88B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0.009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490F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D1D8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08FEFDD1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F5D0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A3E0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GO:0050777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090D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negative regulation of immune response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63CC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0.098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F43E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0.079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4E6B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0.035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0C41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0.028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B4EA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C38A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91FE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0.055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00DE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0.048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3F97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5B82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0546F904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B6D3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8D02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GO:0034774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F77A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secretory granule lumen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C755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B415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BE8B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DFA9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A817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B60E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97C7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C303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7533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6833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07C3B54A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D000D5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39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D1F97B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GO:0060205</w:t>
            </w:r>
          </w:p>
        </w:tc>
        <w:tc>
          <w:tcPr>
            <w:tcW w:w="13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0BD4C5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cytoplasmic vesicle lumen</w:t>
            </w:r>
          </w:p>
        </w:tc>
        <w:tc>
          <w:tcPr>
            <w:tcW w:w="2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8E9806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4848B7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A0A5D9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FBCE72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EF80D9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F2CFDF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0AD997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D43AF7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556CBA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5B391A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430523BA">
        <w:trPr>
          <w:trHeight w:val="680" w:hRule="atLeast"/>
          <w:tblHeader/>
        </w:trPr>
        <w:tc>
          <w:tcPr>
            <w:tcW w:w="448" w:type="pc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3822B8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ONTOLOGY</w:t>
            </w:r>
          </w:p>
        </w:tc>
        <w:tc>
          <w:tcPr>
            <w:tcW w:w="396" w:type="pc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2E711B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ID</w:t>
            </w:r>
          </w:p>
        </w:tc>
        <w:tc>
          <w:tcPr>
            <w:tcW w:w="1394" w:type="pc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CA89EA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Description</w:t>
            </w:r>
          </w:p>
        </w:tc>
        <w:tc>
          <w:tcPr>
            <w:tcW w:w="552" w:type="pct"/>
            <w:gridSpan w:val="2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4B7639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GSE54514</w:t>
            </w:r>
          </w:p>
        </w:tc>
        <w:tc>
          <w:tcPr>
            <w:tcW w:w="552" w:type="pct"/>
            <w:gridSpan w:val="2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C7F357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GSE57065</w:t>
            </w:r>
          </w:p>
        </w:tc>
        <w:tc>
          <w:tcPr>
            <w:tcW w:w="552" w:type="pct"/>
            <w:gridSpan w:val="2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568395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GSE69528</w:t>
            </w:r>
          </w:p>
        </w:tc>
        <w:tc>
          <w:tcPr>
            <w:tcW w:w="552" w:type="pct"/>
            <w:gridSpan w:val="2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EF2DB8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GSE95233</w:t>
            </w:r>
          </w:p>
        </w:tc>
        <w:tc>
          <w:tcPr>
            <w:tcW w:w="552" w:type="pct"/>
            <w:gridSpan w:val="2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EE8E2A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GSE131761</w:t>
            </w:r>
          </w:p>
        </w:tc>
      </w:tr>
      <w:tr w14:paraId="7A00944B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269F8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C5E00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C8C7B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F9439C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90C2F8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29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829B45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8EA5D0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29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6AA2ED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230007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29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2599BF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E61863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29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74E4E1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25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F6053E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</w:tr>
      <w:tr w14:paraId="53611787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157A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0A17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GO:0031983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EB141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vesicle lumen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A4E1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BF41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0144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4DFA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FDC9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CECA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BD67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4254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1250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4880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3E67DBEE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A546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6EDC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GO:0035580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3691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specific granule lumen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5A89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0.005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F35B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0.004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3F12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C545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761F9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A186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375F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7386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01643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B91F0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731604C2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D735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BE0E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GO:0030139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6835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endocytic vesicle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FBF7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0.012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BAF1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0.009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FB67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AA46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8B5A8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1795F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9083C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285B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4082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9ED42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  <w:tr w14:paraId="543E72AB">
        <w:trPr>
          <w:trHeight w:val="680" w:hRule="atLeast"/>
          <w:tblHeader/>
        </w:trPr>
        <w:tc>
          <w:tcPr>
            <w:tcW w:w="4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4714E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3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A3EE6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GO:0042581</w:t>
            </w:r>
          </w:p>
        </w:tc>
        <w:tc>
          <w:tcPr>
            <w:tcW w:w="1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E1D82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specific granule</w:t>
            </w:r>
          </w:p>
        </w:tc>
        <w:tc>
          <w:tcPr>
            <w:tcW w:w="2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B2F70D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0.057 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CF299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0.044 </w:t>
            </w:r>
          </w:p>
        </w:tc>
        <w:tc>
          <w:tcPr>
            <w:tcW w:w="2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EE4517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C79276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5EC725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F19D1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EAA07B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0.032 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53F57E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0.029 </w:t>
            </w: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E5AB2A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51CB34">
            <w:pPr>
              <w:ind w:firstLine="0" w:firstLineChars="0"/>
              <w:jc w:val="both"/>
              <w:textAlignment w:val="bottom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&lt;0.001 </w:t>
            </w:r>
          </w:p>
        </w:tc>
      </w:tr>
    </w:tbl>
    <w:p w14:paraId="79F96095">
      <w:pPr>
        <w:jc w:val="both"/>
      </w:pPr>
    </w:p>
    <w:p w14:paraId="168972E6">
      <w:pPr>
        <w:ind w:firstLine="482"/>
        <w:jc w:val="both"/>
        <w:rPr>
          <w:rStyle w:val="10"/>
          <w:rFonts w:hint="default" w:eastAsia="宋体"/>
        </w:rPr>
      </w:pPr>
      <w:r>
        <w:rPr>
          <w:rStyle w:val="10"/>
          <w:rFonts w:hint="default" w:eastAsia="宋体"/>
        </w:rPr>
        <w:br w:type="page"/>
      </w:r>
    </w:p>
    <w:p w14:paraId="70BFC304">
      <w:pPr>
        <w:ind w:firstLine="482"/>
        <w:jc w:val="both"/>
      </w:pPr>
      <w:r>
        <w:rPr>
          <w:rStyle w:val="10"/>
          <w:rFonts w:hint="default" w:eastAsia="宋体"/>
        </w:rPr>
        <w:t xml:space="preserve">Supplementary </w:t>
      </w:r>
      <w:r>
        <w:rPr>
          <w:rStyle w:val="10"/>
          <w:rFonts w:hint="default"/>
        </w:rPr>
        <w:t>Table 7</w:t>
      </w:r>
      <w:r>
        <w:rPr>
          <w:rStyle w:val="10"/>
          <w:rFonts w:hint="default" w:eastAsia="宋体"/>
        </w:rPr>
        <w:t xml:space="preserve">: </w:t>
      </w:r>
      <w:r>
        <w:rPr>
          <w:rFonts w:hint="eastAsia"/>
        </w:rPr>
        <w:t xml:space="preserve">Enrichment results involving </w:t>
      </w:r>
      <w:r>
        <w:rPr>
          <w:rFonts w:hint="eastAsia"/>
          <w:i/>
        </w:rPr>
        <w:t>RNASE3</w:t>
      </w:r>
    </w:p>
    <w:tbl>
      <w:tblPr>
        <w:tblStyle w:val="6"/>
        <w:tblpPr w:leftFromText="180" w:rightFromText="180" w:vertAnchor="text" w:horzAnchor="page" w:tblpX="1437" w:tblpY="320"/>
        <w:tblOverlap w:val="never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1749"/>
        <w:gridCol w:w="4292"/>
        <w:gridCol w:w="1536"/>
        <w:gridCol w:w="1690"/>
        <w:gridCol w:w="1278"/>
        <w:gridCol w:w="1693"/>
      </w:tblGrid>
      <w:tr w14:paraId="7A849C85">
        <w:trPr>
          <w:trHeight w:val="680" w:hRule="atLeast"/>
        </w:trPr>
        <w:tc>
          <w:tcPr>
            <w:tcW w:w="68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2AEDE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ONTOLOGY</w:t>
            </w:r>
          </w:p>
        </w:tc>
        <w:tc>
          <w:tcPr>
            <w:tcW w:w="61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98557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ID</w:t>
            </w:r>
          </w:p>
        </w:tc>
        <w:tc>
          <w:tcPr>
            <w:tcW w:w="1514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9858F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Description</w:t>
            </w:r>
          </w:p>
        </w:tc>
        <w:tc>
          <w:tcPr>
            <w:tcW w:w="1138" w:type="pct"/>
            <w:gridSpan w:val="2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A76227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GSE54514</w:t>
            </w:r>
          </w:p>
        </w:tc>
        <w:tc>
          <w:tcPr>
            <w:tcW w:w="1048" w:type="pct"/>
            <w:gridSpan w:val="2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325C4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GSE95233</w:t>
            </w:r>
          </w:p>
        </w:tc>
      </w:tr>
      <w:tr w14:paraId="096035B4">
        <w:trPr>
          <w:trHeight w:val="680" w:hRule="atLeast"/>
        </w:trPr>
        <w:tc>
          <w:tcPr>
            <w:tcW w:w="6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79AC4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65211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77130">
            <w:pPr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E5C53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59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39D19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7BB90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p.adjust</w:t>
            </w:r>
          </w:p>
        </w:tc>
        <w:tc>
          <w:tcPr>
            <w:tcW w:w="59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8AE82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lang w:bidi="ar"/>
              </w:rPr>
              <w:t>qvalue</w:t>
            </w:r>
          </w:p>
        </w:tc>
      </w:tr>
      <w:tr w14:paraId="2072A434">
        <w:trPr>
          <w:trHeight w:val="680" w:hRule="atLeast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CEC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3ACF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GO:0002385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E30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mucosal immune response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F520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0.061 </w:t>
            </w:r>
          </w:p>
        </w:tc>
        <w:tc>
          <w:tcPr>
            <w:tcW w:w="59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2553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0.054 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80B9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0.028 </w:t>
            </w:r>
          </w:p>
        </w:tc>
        <w:tc>
          <w:tcPr>
            <w:tcW w:w="59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F430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 xml:space="preserve">0.025 </w:t>
            </w:r>
          </w:p>
        </w:tc>
      </w:tr>
      <w:tr w14:paraId="4BBEB592">
        <w:trPr>
          <w:trHeight w:val="680" w:hRule="atLeast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C606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BFCB6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GO:0002251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7433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organ or tissue specific immune response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1DD9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0.068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133F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0.060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8747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0.033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8647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0.030</w:t>
            </w:r>
          </w:p>
        </w:tc>
      </w:tr>
      <w:tr w14:paraId="5A82CBBF">
        <w:trPr>
          <w:trHeight w:val="680" w:hRule="atLeast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12BD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BP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5044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GO:0042742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BC34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defence response to bacterium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E0C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0.003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889B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A4B54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0.037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0EE3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0.034</w:t>
            </w:r>
          </w:p>
        </w:tc>
      </w:tr>
      <w:tr w14:paraId="4797B13E">
        <w:trPr>
          <w:trHeight w:val="680" w:hRule="atLeast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FEEF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0F08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GO:0034774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20367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secretory granule lumen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1838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854B4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CB5A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554C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14:paraId="4C3C0941">
        <w:trPr>
          <w:trHeight w:val="680" w:hRule="atLeast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7402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AB8F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GO:0060205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646E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cytoplasmic vesicle lumen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52385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9CC2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9FD1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0.001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F64A0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14:paraId="375FD25D">
        <w:trPr>
          <w:trHeight w:val="680" w:hRule="atLeast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22B9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FA4F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GO:0031983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D1E1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vesicle lumen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132D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1DDA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1785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0.001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9E94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14:paraId="3B48D338">
        <w:trPr>
          <w:trHeight w:val="680" w:hRule="atLeast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EA7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5308A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GO:0005766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DE6E9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primary lysosome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580F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BCE9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3E18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0.007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C749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0.006</w:t>
            </w:r>
          </w:p>
        </w:tc>
      </w:tr>
      <w:tr w14:paraId="0783B0A5">
        <w:trPr>
          <w:trHeight w:val="680" w:hRule="atLeast"/>
        </w:trPr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046EF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2666D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GO:0042582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E2E6E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azurophil granule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26E47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4C264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1EB01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0.007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4A67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0.006</w:t>
            </w:r>
          </w:p>
        </w:tc>
      </w:tr>
      <w:tr w14:paraId="7B5CC02D">
        <w:trPr>
          <w:trHeight w:val="680" w:hRule="atLeast"/>
        </w:trPr>
        <w:tc>
          <w:tcPr>
            <w:tcW w:w="6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FBB3C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CC</w:t>
            </w:r>
          </w:p>
        </w:tc>
        <w:tc>
          <w:tcPr>
            <w:tcW w:w="6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B1263C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GO:0035578</w:t>
            </w:r>
          </w:p>
        </w:tc>
        <w:tc>
          <w:tcPr>
            <w:tcW w:w="15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90FC6B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azurophil granule lumen</w:t>
            </w:r>
          </w:p>
        </w:tc>
        <w:tc>
          <w:tcPr>
            <w:tcW w:w="5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43EE5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0.019</w:t>
            </w:r>
          </w:p>
        </w:tc>
        <w:tc>
          <w:tcPr>
            <w:tcW w:w="5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C59EF8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0.016</w:t>
            </w:r>
          </w:p>
        </w:tc>
        <w:tc>
          <w:tcPr>
            <w:tcW w:w="4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F07CA3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0.015</w:t>
            </w:r>
          </w:p>
        </w:tc>
        <w:tc>
          <w:tcPr>
            <w:tcW w:w="5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4C5D62">
            <w:pPr>
              <w:ind w:firstLine="0" w:firstLineChars="0"/>
              <w:jc w:val="both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lang w:bidi="ar"/>
              </w:rPr>
              <w:t>0.013</w:t>
            </w:r>
          </w:p>
        </w:tc>
      </w:tr>
    </w:tbl>
    <w:tbl>
      <w:tblPr>
        <w:tblStyle w:val="7"/>
        <w:tblpPr w:leftFromText="180" w:rightFromText="180" w:vertAnchor="text" w:horzAnchor="page" w:tblpX="1404" w:tblpY="316"/>
        <w:tblOverlap w:val="never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2"/>
        <w:gridCol w:w="1453"/>
        <w:gridCol w:w="1619"/>
        <w:gridCol w:w="1690"/>
        <w:gridCol w:w="1548"/>
        <w:gridCol w:w="1952"/>
        <w:gridCol w:w="2680"/>
      </w:tblGrid>
      <w:tr w14:paraId="63FE0880">
        <w:trPr>
          <w:cantSplit/>
          <w:trHeight w:val="227" w:hRule="atLeast"/>
          <w:tblHeader/>
        </w:trPr>
        <w:tc>
          <w:tcPr>
            <w:tcW w:w="3232" w:type="dxa"/>
            <w:tcBorders>
              <w:top w:val="single" w:color="auto" w:sz="12" w:space="0"/>
            </w:tcBorders>
          </w:tcPr>
          <w:p w14:paraId="20516224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 xml:space="preserve">Baseline </w:t>
            </w:r>
          </w:p>
          <w:p w14:paraId="148B6407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>Characteristics</w:t>
            </w:r>
          </w:p>
          <w:p w14:paraId="73D63B18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color="auto" w:sz="12" w:space="0"/>
            </w:tcBorders>
          </w:tcPr>
          <w:p w14:paraId="2FD3784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>ALL(n=19)</w:t>
            </w:r>
          </w:p>
          <w:p w14:paraId="3FE4D17A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single" w:color="auto" w:sz="12" w:space="0"/>
            </w:tcBorders>
          </w:tcPr>
          <w:p w14:paraId="690729AB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>Survivor (n=12)</w:t>
            </w:r>
          </w:p>
        </w:tc>
        <w:tc>
          <w:tcPr>
            <w:tcW w:w="1690" w:type="dxa"/>
            <w:tcBorders>
              <w:top w:val="single" w:color="auto" w:sz="12" w:space="0"/>
            </w:tcBorders>
          </w:tcPr>
          <w:p w14:paraId="5BEB0FF7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>Death (n=7)</w:t>
            </w:r>
          </w:p>
        </w:tc>
        <w:tc>
          <w:tcPr>
            <w:tcW w:w="1548" w:type="dxa"/>
            <w:tcBorders>
              <w:top w:val="single" w:color="auto" w:sz="12" w:space="0"/>
            </w:tcBorders>
          </w:tcPr>
          <w:p w14:paraId="39832DAE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 xml:space="preserve">Health </w:t>
            </w:r>
          </w:p>
          <w:p w14:paraId="5ABD0E2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>Volunteers (n = 11)</w:t>
            </w:r>
          </w:p>
        </w:tc>
        <w:tc>
          <w:tcPr>
            <w:tcW w:w="1952" w:type="dxa"/>
            <w:tcBorders>
              <w:top w:val="single" w:color="auto" w:sz="12" w:space="0"/>
            </w:tcBorders>
          </w:tcPr>
          <w:p w14:paraId="5138E9AD">
            <w:pPr>
              <w:pStyle w:val="5"/>
              <w:widowControl w:val="0"/>
              <w:ind w:left="340" w:leftChars="50" w:hanging="220" w:hangingChars="10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>P value in the first two groups</w:t>
            </w:r>
          </w:p>
        </w:tc>
        <w:tc>
          <w:tcPr>
            <w:tcW w:w="2680" w:type="dxa"/>
            <w:tcBorders>
              <w:top w:val="single" w:color="auto" w:sz="12" w:space="0"/>
            </w:tcBorders>
          </w:tcPr>
          <w:p w14:paraId="3F5D2A31">
            <w:pPr>
              <w:pStyle w:val="5"/>
              <w:widowControl w:val="0"/>
              <w:ind w:left="340" w:leftChars="50" w:hanging="220" w:hangingChars="10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 xml:space="preserve">P value in the group of ALL and Health Volunteers </w:t>
            </w:r>
          </w:p>
        </w:tc>
      </w:tr>
      <w:tr w14:paraId="3906134A">
        <w:trPr>
          <w:cantSplit/>
          <w:trHeight w:val="227" w:hRule="atLeast"/>
          <w:tblHeader/>
        </w:trPr>
        <w:tc>
          <w:tcPr>
            <w:tcW w:w="3232" w:type="dxa"/>
            <w:tcBorders>
              <w:top w:val="single" w:color="auto" w:sz="12" w:space="0"/>
              <w:bottom w:val="single" w:color="auto" w:sz="12" w:space="0"/>
            </w:tcBorders>
          </w:tcPr>
          <w:p w14:paraId="73727F5D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0" w:type="dxa"/>
            <w:gridSpan w:val="4"/>
            <w:tcBorders>
              <w:top w:val="single" w:color="auto" w:sz="12" w:space="0"/>
              <w:bottom w:val="single" w:color="auto" w:sz="12" w:space="0"/>
            </w:tcBorders>
          </w:tcPr>
          <w:p w14:paraId="1ED0DFE9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  <w:t>Mean ± SD/Median (IQR)</w:t>
            </w:r>
          </w:p>
        </w:tc>
        <w:tc>
          <w:tcPr>
            <w:tcW w:w="1952" w:type="dxa"/>
            <w:tcBorders>
              <w:top w:val="nil"/>
              <w:bottom w:val="single" w:color="auto" w:sz="12" w:space="0"/>
            </w:tcBorders>
          </w:tcPr>
          <w:p w14:paraId="0A4B1490">
            <w:pPr>
              <w:pStyle w:val="5"/>
              <w:widowControl w:val="0"/>
              <w:ind w:left="340" w:leftChars="50" w:hanging="220" w:hangingChars="10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0" w:type="dxa"/>
            <w:tcBorders>
              <w:top w:val="nil"/>
              <w:bottom w:val="single" w:color="auto" w:sz="12" w:space="0"/>
            </w:tcBorders>
          </w:tcPr>
          <w:p w14:paraId="2AB0763A">
            <w:pPr>
              <w:pStyle w:val="5"/>
              <w:widowControl w:val="0"/>
              <w:ind w:left="340" w:leftChars="50" w:hanging="220" w:hangingChars="100"/>
              <w:jc w:val="both"/>
              <w:rPr>
                <w:rFonts w:ascii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20CA5CDB">
        <w:trPr>
          <w:trHeight w:val="227" w:hRule="atLeast"/>
          <w:tblHeader/>
        </w:trPr>
        <w:tc>
          <w:tcPr>
            <w:tcW w:w="3232" w:type="dxa"/>
            <w:tcBorders>
              <w:top w:val="single" w:color="auto" w:sz="12" w:space="0"/>
            </w:tcBorders>
          </w:tcPr>
          <w:p w14:paraId="66C3678E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Age (years)</w:t>
            </w:r>
          </w:p>
        </w:tc>
        <w:tc>
          <w:tcPr>
            <w:tcW w:w="1453" w:type="dxa"/>
            <w:tcBorders>
              <w:top w:val="single" w:color="auto" w:sz="12" w:space="0"/>
            </w:tcBorders>
          </w:tcPr>
          <w:p w14:paraId="5285820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63.79 (15.47)</w:t>
            </w:r>
          </w:p>
        </w:tc>
        <w:tc>
          <w:tcPr>
            <w:tcW w:w="1619" w:type="dxa"/>
            <w:tcBorders>
              <w:top w:val="single" w:color="auto" w:sz="12" w:space="0"/>
            </w:tcBorders>
          </w:tcPr>
          <w:p w14:paraId="46384E53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65.50 (16.43)</w:t>
            </w:r>
          </w:p>
        </w:tc>
        <w:tc>
          <w:tcPr>
            <w:tcW w:w="1690" w:type="dxa"/>
            <w:tcBorders>
              <w:top w:val="single" w:color="auto" w:sz="12" w:space="0"/>
            </w:tcBorders>
          </w:tcPr>
          <w:p w14:paraId="1FD90BA4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64.29 (14.90)</w:t>
            </w:r>
          </w:p>
        </w:tc>
        <w:tc>
          <w:tcPr>
            <w:tcW w:w="1548" w:type="dxa"/>
            <w:tcBorders>
              <w:top w:val="single" w:color="auto" w:sz="12" w:space="0"/>
            </w:tcBorders>
          </w:tcPr>
          <w:p w14:paraId="4F72E7BB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31.09 (6.04)</w:t>
            </w:r>
          </w:p>
        </w:tc>
        <w:tc>
          <w:tcPr>
            <w:tcW w:w="1952" w:type="dxa"/>
            <w:tcBorders>
              <w:top w:val="single" w:color="auto" w:sz="12" w:space="0"/>
            </w:tcBorders>
          </w:tcPr>
          <w:p w14:paraId="26ACBBA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0.919</w:t>
            </w:r>
          </w:p>
        </w:tc>
        <w:tc>
          <w:tcPr>
            <w:tcW w:w="2680" w:type="dxa"/>
            <w:tcBorders>
              <w:top w:val="single" w:color="auto" w:sz="12" w:space="0"/>
            </w:tcBorders>
          </w:tcPr>
          <w:p w14:paraId="5B064083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</w:tr>
      <w:tr w14:paraId="36443250">
        <w:trPr>
          <w:trHeight w:val="227" w:hRule="atLeast"/>
          <w:tblHeader/>
        </w:trPr>
        <w:tc>
          <w:tcPr>
            <w:tcW w:w="3232" w:type="dxa"/>
          </w:tcPr>
          <w:p w14:paraId="271C6566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Sex [male (%)]</w:t>
            </w:r>
          </w:p>
        </w:tc>
        <w:tc>
          <w:tcPr>
            <w:tcW w:w="1453" w:type="dxa"/>
          </w:tcPr>
          <w:p w14:paraId="1E068B7E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9 (47.4)</w:t>
            </w:r>
          </w:p>
        </w:tc>
        <w:tc>
          <w:tcPr>
            <w:tcW w:w="1619" w:type="dxa"/>
          </w:tcPr>
          <w:p w14:paraId="6D055BD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5 (41.7)</w:t>
            </w:r>
          </w:p>
        </w:tc>
        <w:tc>
          <w:tcPr>
            <w:tcW w:w="1690" w:type="dxa"/>
          </w:tcPr>
          <w:p w14:paraId="1FB8A6F0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4 (57.1)</w:t>
            </w:r>
          </w:p>
        </w:tc>
        <w:tc>
          <w:tcPr>
            <w:tcW w:w="1548" w:type="dxa"/>
          </w:tcPr>
          <w:p w14:paraId="52A6A2AB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5 (45.5)</w:t>
            </w:r>
          </w:p>
        </w:tc>
        <w:tc>
          <w:tcPr>
            <w:tcW w:w="1952" w:type="dxa"/>
          </w:tcPr>
          <w:p w14:paraId="60E590B7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0.861</w:t>
            </w:r>
          </w:p>
        </w:tc>
        <w:tc>
          <w:tcPr>
            <w:tcW w:w="2680" w:type="dxa"/>
          </w:tcPr>
          <w:p w14:paraId="4421873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1.000</w:t>
            </w:r>
          </w:p>
        </w:tc>
      </w:tr>
      <w:tr w14:paraId="61B525FF">
        <w:trPr>
          <w:trHeight w:val="227" w:hRule="atLeast"/>
          <w:tblHeader/>
        </w:trPr>
        <w:tc>
          <w:tcPr>
            <w:tcW w:w="3232" w:type="dxa"/>
          </w:tcPr>
          <w:p w14:paraId="2EC2E845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Comorbidities [n] (%)</w:t>
            </w:r>
          </w:p>
        </w:tc>
        <w:tc>
          <w:tcPr>
            <w:tcW w:w="1453" w:type="dxa"/>
          </w:tcPr>
          <w:p w14:paraId="20813C8B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19" w:type="dxa"/>
          </w:tcPr>
          <w:p w14:paraId="0DE622E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90" w:type="dxa"/>
          </w:tcPr>
          <w:p w14:paraId="75F51F6D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48" w:type="dxa"/>
          </w:tcPr>
          <w:p w14:paraId="3AD323D4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52" w:type="dxa"/>
          </w:tcPr>
          <w:p w14:paraId="22F4A36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680" w:type="dxa"/>
          </w:tcPr>
          <w:p w14:paraId="3149DDE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14:paraId="3BD258C6">
        <w:trPr>
          <w:trHeight w:val="227" w:hRule="atLeast"/>
          <w:tblHeader/>
        </w:trPr>
        <w:tc>
          <w:tcPr>
            <w:tcW w:w="3232" w:type="dxa"/>
          </w:tcPr>
          <w:p w14:paraId="22A11CD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Chronic Pulmonary</w:t>
            </w:r>
          </w:p>
        </w:tc>
        <w:tc>
          <w:tcPr>
            <w:tcW w:w="1453" w:type="dxa"/>
          </w:tcPr>
          <w:p w14:paraId="175C54FE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3 (15.8)</w:t>
            </w:r>
          </w:p>
        </w:tc>
        <w:tc>
          <w:tcPr>
            <w:tcW w:w="1619" w:type="dxa"/>
          </w:tcPr>
          <w:p w14:paraId="6EF869D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 (8.3)</w:t>
            </w:r>
          </w:p>
        </w:tc>
        <w:tc>
          <w:tcPr>
            <w:tcW w:w="1690" w:type="dxa"/>
          </w:tcPr>
          <w:p w14:paraId="0396F03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 (28.6)</w:t>
            </w:r>
          </w:p>
        </w:tc>
        <w:tc>
          <w:tcPr>
            <w:tcW w:w="1548" w:type="dxa"/>
          </w:tcPr>
          <w:p w14:paraId="490E7E54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952" w:type="dxa"/>
          </w:tcPr>
          <w:p w14:paraId="29579D0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0.607</w:t>
            </w:r>
          </w:p>
        </w:tc>
        <w:tc>
          <w:tcPr>
            <w:tcW w:w="2680" w:type="dxa"/>
          </w:tcPr>
          <w:p w14:paraId="1BC9BC38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0.449</w:t>
            </w:r>
          </w:p>
        </w:tc>
      </w:tr>
      <w:tr w14:paraId="6D6EC096">
        <w:trPr>
          <w:trHeight w:val="227" w:hRule="atLeast"/>
          <w:tblHeader/>
        </w:trPr>
        <w:tc>
          <w:tcPr>
            <w:tcW w:w="3232" w:type="dxa"/>
          </w:tcPr>
          <w:p w14:paraId="696C13AD">
            <w:pPr>
              <w:widowControl w:val="0"/>
              <w:ind w:firstLine="110" w:firstLineChars="5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Chronic Kidney</w:t>
            </w:r>
          </w:p>
        </w:tc>
        <w:tc>
          <w:tcPr>
            <w:tcW w:w="1453" w:type="dxa"/>
          </w:tcPr>
          <w:p w14:paraId="35E125E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12 (63.2)</w:t>
            </w:r>
          </w:p>
        </w:tc>
        <w:tc>
          <w:tcPr>
            <w:tcW w:w="1619" w:type="dxa"/>
          </w:tcPr>
          <w:p w14:paraId="370FEC88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8 (66.7)</w:t>
            </w:r>
          </w:p>
        </w:tc>
        <w:tc>
          <w:tcPr>
            <w:tcW w:w="1690" w:type="dxa"/>
          </w:tcPr>
          <w:p w14:paraId="58F8F4A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4 (57.1)</w:t>
            </w:r>
          </w:p>
        </w:tc>
        <w:tc>
          <w:tcPr>
            <w:tcW w:w="1548" w:type="dxa"/>
          </w:tcPr>
          <w:p w14:paraId="6F90928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952" w:type="dxa"/>
          </w:tcPr>
          <w:p w14:paraId="588620C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1.000</w:t>
            </w:r>
          </w:p>
        </w:tc>
        <w:tc>
          <w:tcPr>
            <w:tcW w:w="2680" w:type="dxa"/>
          </w:tcPr>
          <w:p w14:paraId="77F86607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0.003</w:t>
            </w:r>
          </w:p>
        </w:tc>
      </w:tr>
      <w:tr w14:paraId="0F352813">
        <w:trPr>
          <w:trHeight w:val="227" w:hRule="atLeast"/>
          <w:tblHeader/>
        </w:trPr>
        <w:tc>
          <w:tcPr>
            <w:tcW w:w="3232" w:type="dxa"/>
          </w:tcPr>
          <w:p w14:paraId="6062919C">
            <w:pPr>
              <w:widowControl w:val="0"/>
              <w:ind w:firstLine="110" w:firstLineChars="5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Cardiovascular</w:t>
            </w:r>
          </w:p>
        </w:tc>
        <w:tc>
          <w:tcPr>
            <w:tcW w:w="1453" w:type="dxa"/>
          </w:tcPr>
          <w:p w14:paraId="6E00E3A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7 (36.8)</w:t>
            </w:r>
          </w:p>
        </w:tc>
        <w:tc>
          <w:tcPr>
            <w:tcW w:w="1619" w:type="dxa"/>
          </w:tcPr>
          <w:p w14:paraId="306061E9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3 (25.0)</w:t>
            </w:r>
          </w:p>
        </w:tc>
        <w:tc>
          <w:tcPr>
            <w:tcW w:w="1690" w:type="dxa"/>
          </w:tcPr>
          <w:p w14:paraId="61E639ED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4 (57.1)</w:t>
            </w:r>
          </w:p>
        </w:tc>
        <w:tc>
          <w:tcPr>
            <w:tcW w:w="1548" w:type="dxa"/>
          </w:tcPr>
          <w:p w14:paraId="0CBDECC8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952" w:type="dxa"/>
          </w:tcPr>
          <w:p w14:paraId="162AAA96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0.364</w:t>
            </w:r>
          </w:p>
        </w:tc>
        <w:tc>
          <w:tcPr>
            <w:tcW w:w="2680" w:type="dxa"/>
          </w:tcPr>
          <w:p w14:paraId="525ADE5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0.064</w:t>
            </w:r>
          </w:p>
        </w:tc>
      </w:tr>
      <w:tr w14:paraId="7E445A14">
        <w:trPr>
          <w:trHeight w:val="227" w:hRule="atLeast"/>
          <w:tblHeader/>
        </w:trPr>
        <w:tc>
          <w:tcPr>
            <w:tcW w:w="3232" w:type="dxa"/>
          </w:tcPr>
          <w:p w14:paraId="6343D13A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Disease</w:t>
            </w:r>
          </w:p>
        </w:tc>
        <w:tc>
          <w:tcPr>
            <w:tcW w:w="1453" w:type="dxa"/>
          </w:tcPr>
          <w:p w14:paraId="51D9CB8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19" w:type="dxa"/>
          </w:tcPr>
          <w:p w14:paraId="75961883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90" w:type="dxa"/>
          </w:tcPr>
          <w:p w14:paraId="615EE379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48" w:type="dxa"/>
          </w:tcPr>
          <w:p w14:paraId="7031724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52" w:type="dxa"/>
          </w:tcPr>
          <w:p w14:paraId="6719B0EE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680" w:type="dxa"/>
          </w:tcPr>
          <w:p w14:paraId="7B39D1A8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14:paraId="597FB4EB">
        <w:trPr>
          <w:trHeight w:val="227" w:hRule="atLeast"/>
          <w:tblHeader/>
        </w:trPr>
        <w:tc>
          <w:tcPr>
            <w:tcW w:w="3232" w:type="dxa"/>
          </w:tcPr>
          <w:p w14:paraId="683E2ACA">
            <w:pPr>
              <w:widowControl w:val="0"/>
              <w:ind w:firstLine="110" w:firstLineChars="5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Hepatopathy</w:t>
            </w:r>
          </w:p>
        </w:tc>
        <w:tc>
          <w:tcPr>
            <w:tcW w:w="1453" w:type="dxa"/>
          </w:tcPr>
          <w:p w14:paraId="7DACC79B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 (10.5)</w:t>
            </w:r>
          </w:p>
        </w:tc>
        <w:tc>
          <w:tcPr>
            <w:tcW w:w="1619" w:type="dxa"/>
          </w:tcPr>
          <w:p w14:paraId="7A1703F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 (16.7)</w:t>
            </w:r>
          </w:p>
        </w:tc>
        <w:tc>
          <w:tcPr>
            <w:tcW w:w="1690" w:type="dxa"/>
          </w:tcPr>
          <w:p w14:paraId="1E11222D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548" w:type="dxa"/>
          </w:tcPr>
          <w:p w14:paraId="1F8E5490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952" w:type="dxa"/>
          </w:tcPr>
          <w:p w14:paraId="0CA303F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0.714</w:t>
            </w:r>
          </w:p>
        </w:tc>
        <w:tc>
          <w:tcPr>
            <w:tcW w:w="2680" w:type="dxa"/>
          </w:tcPr>
          <w:p w14:paraId="2D5C73F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0.723</w:t>
            </w:r>
          </w:p>
        </w:tc>
      </w:tr>
      <w:tr w14:paraId="68F0AF23">
        <w:trPr>
          <w:trHeight w:val="227" w:hRule="atLeast"/>
          <w:tblHeader/>
        </w:trPr>
        <w:tc>
          <w:tcPr>
            <w:tcW w:w="3232" w:type="dxa"/>
          </w:tcPr>
          <w:p w14:paraId="7B62C20A">
            <w:pPr>
              <w:widowControl w:val="0"/>
              <w:ind w:firstLine="110" w:firstLineChars="5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Diabetes</w:t>
            </w:r>
          </w:p>
        </w:tc>
        <w:tc>
          <w:tcPr>
            <w:tcW w:w="1453" w:type="dxa"/>
          </w:tcPr>
          <w:p w14:paraId="04AEA77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10 (52.6)</w:t>
            </w:r>
          </w:p>
        </w:tc>
        <w:tc>
          <w:tcPr>
            <w:tcW w:w="1619" w:type="dxa"/>
          </w:tcPr>
          <w:p w14:paraId="6C754013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6 (50.0)</w:t>
            </w:r>
          </w:p>
        </w:tc>
        <w:tc>
          <w:tcPr>
            <w:tcW w:w="1690" w:type="dxa"/>
          </w:tcPr>
          <w:p w14:paraId="0700CFD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4 (57.1)</w:t>
            </w:r>
          </w:p>
        </w:tc>
        <w:tc>
          <w:tcPr>
            <w:tcW w:w="1548" w:type="dxa"/>
          </w:tcPr>
          <w:p w14:paraId="40FE4163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952" w:type="dxa"/>
          </w:tcPr>
          <w:p w14:paraId="5B5F0805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1.000</w:t>
            </w:r>
          </w:p>
        </w:tc>
        <w:tc>
          <w:tcPr>
            <w:tcW w:w="2680" w:type="dxa"/>
          </w:tcPr>
          <w:p w14:paraId="694816D5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0.011</w:t>
            </w:r>
          </w:p>
        </w:tc>
      </w:tr>
      <w:tr w14:paraId="4A04A979">
        <w:trPr>
          <w:trHeight w:val="227" w:hRule="atLeast"/>
          <w:tblHeader/>
        </w:trPr>
        <w:tc>
          <w:tcPr>
            <w:tcW w:w="3232" w:type="dxa"/>
          </w:tcPr>
          <w:p w14:paraId="66CC9C58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Hypertension</w:t>
            </w:r>
          </w:p>
        </w:tc>
        <w:tc>
          <w:tcPr>
            <w:tcW w:w="1453" w:type="dxa"/>
          </w:tcPr>
          <w:p w14:paraId="7B4E6D3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9 (47.4)</w:t>
            </w:r>
          </w:p>
        </w:tc>
        <w:tc>
          <w:tcPr>
            <w:tcW w:w="1619" w:type="dxa"/>
          </w:tcPr>
          <w:p w14:paraId="489164B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5 (42.7)</w:t>
            </w:r>
          </w:p>
        </w:tc>
        <w:tc>
          <w:tcPr>
            <w:tcW w:w="1690" w:type="dxa"/>
          </w:tcPr>
          <w:p w14:paraId="08121029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4 (57.1)</w:t>
            </w:r>
          </w:p>
        </w:tc>
        <w:tc>
          <w:tcPr>
            <w:tcW w:w="1548" w:type="dxa"/>
          </w:tcPr>
          <w:p w14:paraId="3CD5F7C5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952" w:type="dxa"/>
          </w:tcPr>
          <w:p w14:paraId="1681C3F4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0.861</w:t>
            </w:r>
          </w:p>
        </w:tc>
        <w:tc>
          <w:tcPr>
            <w:tcW w:w="2680" w:type="dxa"/>
          </w:tcPr>
          <w:p w14:paraId="37A320F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0.021</w:t>
            </w:r>
          </w:p>
        </w:tc>
      </w:tr>
      <w:tr w14:paraId="6BB433C3">
        <w:trPr>
          <w:trHeight w:val="227" w:hRule="atLeast"/>
          <w:tblHeader/>
        </w:trPr>
        <w:tc>
          <w:tcPr>
            <w:tcW w:w="3232" w:type="dxa"/>
          </w:tcPr>
          <w:p w14:paraId="0EE98A29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Hyperlipidemia</w:t>
            </w:r>
          </w:p>
        </w:tc>
        <w:tc>
          <w:tcPr>
            <w:tcW w:w="1453" w:type="dxa"/>
          </w:tcPr>
          <w:p w14:paraId="23F0627A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 (5.3)</w:t>
            </w:r>
          </w:p>
        </w:tc>
        <w:tc>
          <w:tcPr>
            <w:tcW w:w="1619" w:type="dxa"/>
          </w:tcPr>
          <w:p w14:paraId="3D4608C5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 (8.3)</w:t>
            </w:r>
          </w:p>
        </w:tc>
        <w:tc>
          <w:tcPr>
            <w:tcW w:w="1690" w:type="dxa"/>
          </w:tcPr>
          <w:p w14:paraId="6951680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548" w:type="dxa"/>
          </w:tcPr>
          <w:p w14:paraId="629A1D66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952" w:type="dxa"/>
          </w:tcPr>
          <w:p w14:paraId="305E71E7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1.000</w:t>
            </w:r>
          </w:p>
        </w:tc>
        <w:tc>
          <w:tcPr>
            <w:tcW w:w="2680" w:type="dxa"/>
          </w:tcPr>
          <w:p w14:paraId="2A485940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0.021</w:t>
            </w:r>
          </w:p>
        </w:tc>
      </w:tr>
      <w:tr w14:paraId="521BB34C">
        <w:trPr>
          <w:trHeight w:val="227" w:hRule="atLeast"/>
          <w:tblHeader/>
        </w:trPr>
        <w:tc>
          <w:tcPr>
            <w:tcW w:w="3232" w:type="dxa"/>
          </w:tcPr>
          <w:p w14:paraId="27EB36A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Malignant Tumor</w:t>
            </w:r>
          </w:p>
        </w:tc>
        <w:tc>
          <w:tcPr>
            <w:tcW w:w="1453" w:type="dxa"/>
          </w:tcPr>
          <w:p w14:paraId="3C1AA7E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5 (26.3)</w:t>
            </w:r>
          </w:p>
        </w:tc>
        <w:tc>
          <w:tcPr>
            <w:tcW w:w="1619" w:type="dxa"/>
          </w:tcPr>
          <w:p w14:paraId="0F4CD3F3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 (16.7)</w:t>
            </w:r>
          </w:p>
        </w:tc>
        <w:tc>
          <w:tcPr>
            <w:tcW w:w="1690" w:type="dxa"/>
          </w:tcPr>
          <w:p w14:paraId="5B444434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3 (42.9)</w:t>
            </w:r>
          </w:p>
        </w:tc>
        <w:tc>
          <w:tcPr>
            <w:tcW w:w="1548" w:type="dxa"/>
          </w:tcPr>
          <w:p w14:paraId="62938390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 (0.0)</w:t>
            </w:r>
          </w:p>
        </w:tc>
        <w:tc>
          <w:tcPr>
            <w:tcW w:w="1952" w:type="dxa"/>
          </w:tcPr>
          <w:p w14:paraId="57300D04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0.477</w:t>
            </w:r>
          </w:p>
        </w:tc>
        <w:tc>
          <w:tcPr>
            <w:tcW w:w="2680" w:type="dxa"/>
          </w:tcPr>
          <w:p w14:paraId="52B3F7B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1.000</w:t>
            </w:r>
          </w:p>
        </w:tc>
      </w:tr>
      <w:tr w14:paraId="5F05E6AD">
        <w:trPr>
          <w:trHeight w:val="227" w:hRule="atLeast"/>
          <w:tblHeader/>
        </w:trPr>
        <w:tc>
          <w:tcPr>
            <w:tcW w:w="3232" w:type="dxa"/>
          </w:tcPr>
          <w:p w14:paraId="313BD667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APACHE II score</w:t>
            </w:r>
          </w:p>
        </w:tc>
        <w:tc>
          <w:tcPr>
            <w:tcW w:w="1453" w:type="dxa"/>
          </w:tcPr>
          <w:p w14:paraId="50A57B9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24 (11-40)</w:t>
            </w:r>
          </w:p>
        </w:tc>
        <w:tc>
          <w:tcPr>
            <w:tcW w:w="1619" w:type="dxa"/>
          </w:tcPr>
          <w:p w14:paraId="414AEC76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23.5 (12-35)</w:t>
            </w:r>
          </w:p>
        </w:tc>
        <w:tc>
          <w:tcPr>
            <w:tcW w:w="1690" w:type="dxa"/>
          </w:tcPr>
          <w:p w14:paraId="38222DBB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26 (11-40)</w:t>
            </w:r>
          </w:p>
        </w:tc>
        <w:tc>
          <w:tcPr>
            <w:tcW w:w="1548" w:type="dxa"/>
          </w:tcPr>
          <w:p w14:paraId="3CA01DC4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-</w:t>
            </w:r>
          </w:p>
        </w:tc>
        <w:tc>
          <w:tcPr>
            <w:tcW w:w="1952" w:type="dxa"/>
          </w:tcPr>
          <w:p w14:paraId="11D2EED3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0.829</w:t>
            </w:r>
          </w:p>
        </w:tc>
        <w:tc>
          <w:tcPr>
            <w:tcW w:w="2680" w:type="dxa"/>
          </w:tcPr>
          <w:p w14:paraId="2EF03F06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-</w:t>
            </w:r>
          </w:p>
        </w:tc>
      </w:tr>
      <w:tr w14:paraId="27A90CD4">
        <w:trPr>
          <w:trHeight w:val="227" w:hRule="atLeast"/>
          <w:tblHeader/>
        </w:trPr>
        <w:tc>
          <w:tcPr>
            <w:tcW w:w="3232" w:type="dxa"/>
          </w:tcPr>
          <w:p w14:paraId="6DD98B8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SOFA score on day 1</w:t>
            </w:r>
          </w:p>
        </w:tc>
        <w:tc>
          <w:tcPr>
            <w:tcW w:w="1453" w:type="dxa"/>
          </w:tcPr>
          <w:p w14:paraId="4F27A229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13 (6-19)</w:t>
            </w:r>
          </w:p>
        </w:tc>
        <w:tc>
          <w:tcPr>
            <w:tcW w:w="1619" w:type="dxa"/>
          </w:tcPr>
          <w:p w14:paraId="5DF88BF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13 (6-18)</w:t>
            </w:r>
          </w:p>
        </w:tc>
        <w:tc>
          <w:tcPr>
            <w:tcW w:w="1690" w:type="dxa"/>
          </w:tcPr>
          <w:p w14:paraId="7F6057CD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14 (10-19)</w:t>
            </w:r>
          </w:p>
        </w:tc>
        <w:tc>
          <w:tcPr>
            <w:tcW w:w="1548" w:type="dxa"/>
          </w:tcPr>
          <w:p w14:paraId="47B4F8D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-</w:t>
            </w:r>
          </w:p>
        </w:tc>
        <w:tc>
          <w:tcPr>
            <w:tcW w:w="1952" w:type="dxa"/>
          </w:tcPr>
          <w:p w14:paraId="42327D26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0.756</w:t>
            </w:r>
          </w:p>
        </w:tc>
        <w:tc>
          <w:tcPr>
            <w:tcW w:w="2680" w:type="dxa"/>
          </w:tcPr>
          <w:p w14:paraId="12738CFA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-</w:t>
            </w:r>
          </w:p>
        </w:tc>
      </w:tr>
      <w:tr w14:paraId="121D10F8">
        <w:trPr>
          <w:trHeight w:val="227" w:hRule="atLeast"/>
          <w:tblHeader/>
        </w:trPr>
        <w:tc>
          <w:tcPr>
            <w:tcW w:w="3232" w:type="dxa"/>
          </w:tcPr>
          <w:p w14:paraId="6260B78F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Length of ICU stay (days)</w:t>
            </w:r>
          </w:p>
        </w:tc>
        <w:tc>
          <w:tcPr>
            <w:tcW w:w="1453" w:type="dxa"/>
          </w:tcPr>
          <w:p w14:paraId="2BA3E3F6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4 (1-19)</w:t>
            </w:r>
          </w:p>
        </w:tc>
        <w:tc>
          <w:tcPr>
            <w:tcW w:w="1619" w:type="dxa"/>
          </w:tcPr>
          <w:p w14:paraId="57195BC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4 (2-19)</w:t>
            </w:r>
          </w:p>
        </w:tc>
        <w:tc>
          <w:tcPr>
            <w:tcW w:w="1690" w:type="dxa"/>
          </w:tcPr>
          <w:p w14:paraId="7DF210A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 (1-11)</w:t>
            </w:r>
          </w:p>
        </w:tc>
        <w:tc>
          <w:tcPr>
            <w:tcW w:w="1548" w:type="dxa"/>
          </w:tcPr>
          <w:p w14:paraId="67F149CD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-</w:t>
            </w:r>
          </w:p>
        </w:tc>
        <w:tc>
          <w:tcPr>
            <w:tcW w:w="1952" w:type="dxa"/>
          </w:tcPr>
          <w:p w14:paraId="2CE9AA3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0.298</w:t>
            </w:r>
          </w:p>
        </w:tc>
        <w:tc>
          <w:tcPr>
            <w:tcW w:w="2680" w:type="dxa"/>
          </w:tcPr>
          <w:p w14:paraId="36931ABB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-</w:t>
            </w:r>
          </w:p>
        </w:tc>
      </w:tr>
      <w:tr w14:paraId="71BE10D3">
        <w:trPr>
          <w:trHeight w:val="227" w:hRule="atLeast"/>
          <w:tblHeader/>
        </w:trPr>
        <w:tc>
          <w:tcPr>
            <w:tcW w:w="3232" w:type="dxa"/>
          </w:tcPr>
          <w:p w14:paraId="5113BAA0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Length of Hospital stay (days)</w:t>
            </w:r>
          </w:p>
        </w:tc>
        <w:tc>
          <w:tcPr>
            <w:tcW w:w="1453" w:type="dxa"/>
          </w:tcPr>
          <w:p w14:paraId="310818CB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11 (1-39)</w:t>
            </w:r>
          </w:p>
        </w:tc>
        <w:tc>
          <w:tcPr>
            <w:tcW w:w="1619" w:type="dxa"/>
          </w:tcPr>
          <w:p w14:paraId="74D025C2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15 (4-39)</w:t>
            </w:r>
          </w:p>
        </w:tc>
        <w:tc>
          <w:tcPr>
            <w:tcW w:w="1690" w:type="dxa"/>
          </w:tcPr>
          <w:p w14:paraId="16D51B11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 (1-11)</w:t>
            </w:r>
          </w:p>
        </w:tc>
        <w:tc>
          <w:tcPr>
            <w:tcW w:w="1548" w:type="dxa"/>
          </w:tcPr>
          <w:p w14:paraId="7C734836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-</w:t>
            </w:r>
          </w:p>
        </w:tc>
        <w:tc>
          <w:tcPr>
            <w:tcW w:w="1952" w:type="dxa"/>
          </w:tcPr>
          <w:p w14:paraId="415DE7B3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0.002</w:t>
            </w:r>
          </w:p>
        </w:tc>
        <w:tc>
          <w:tcPr>
            <w:tcW w:w="2680" w:type="dxa"/>
          </w:tcPr>
          <w:p w14:paraId="6445770C">
            <w:pPr>
              <w:widowControl w:val="0"/>
              <w:ind w:firstLine="0" w:firstLineChars="0"/>
              <w:jc w:val="both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-</w:t>
            </w:r>
          </w:p>
        </w:tc>
      </w:tr>
    </w:tbl>
    <w:p w14:paraId="6830B6BD">
      <w:pPr>
        <w:ind w:firstLine="482"/>
        <w:jc w:val="both"/>
        <w:rPr>
          <w:rFonts w:ascii="Times New Roman Regular" w:hAnsi="Times New Roman Regular" w:cs="Times New Roman Regular"/>
          <w:sz w:val="22"/>
          <w:szCs w:val="22"/>
        </w:rPr>
      </w:pPr>
      <w:r>
        <w:rPr>
          <w:rStyle w:val="10"/>
          <w:rFonts w:hint="default" w:eastAsia="宋体"/>
        </w:rPr>
        <w:t xml:space="preserve">Supplementary </w:t>
      </w:r>
      <w:r>
        <w:rPr>
          <w:rStyle w:val="10"/>
          <w:rFonts w:hint="eastAsia"/>
          <w:lang w:val="en-US" w:eastAsia="zh-CN"/>
        </w:rPr>
        <w:t>Table 8</w:t>
      </w:r>
      <w:r>
        <w:rPr>
          <w:rStyle w:val="10"/>
          <w:rFonts w:hint="default" w:eastAsia="宋体"/>
        </w:rPr>
        <w:t xml:space="preserve">: </w:t>
      </w:r>
      <w:r>
        <w:rPr>
          <w:rFonts w:hint="eastAsia"/>
        </w:rPr>
        <w:t>Baseline characteristic of sepsis patients and healthy volunteers.</w:t>
      </w:r>
    </w:p>
    <w:p w14:paraId="7321EA9A">
      <w:pPr>
        <w:widowControl w:val="0"/>
        <w:ind w:firstLine="0" w:firstLineChars="0"/>
        <w:jc w:val="both"/>
        <w:rPr>
          <w:rFonts w:ascii="Times New Roman Regular" w:hAnsi="Times New Roman Regular" w:cs="Times New Roman Regular"/>
          <w:sz w:val="22"/>
          <w:szCs w:val="22"/>
        </w:rPr>
      </w:pPr>
      <w:r>
        <w:rPr>
          <w:rFonts w:ascii="Times New Roman Regular" w:hAnsi="Times New Roman Regular" w:cs="Times New Roman Regular"/>
          <w:sz w:val="22"/>
          <w:szCs w:val="22"/>
        </w:rPr>
        <w:t>ICU, intensive care unit; IQR, interquartile range; APACHE II score, Acute Physiology and Chronic Health Evaluation II score; SOFA, Sequential Organ Failure Assessment; P values were calculated by the Mann-Whitney U-test, the t-test, or one-way analysis of variance (one-way ANOVA), and Fisher's test. P values below 0.05 indicate statistical significance.</w:t>
      </w:r>
    </w:p>
    <w:p w14:paraId="78D50776">
      <w:pPr>
        <w:widowControl w:val="0"/>
        <w:ind w:firstLine="0" w:firstLineChars="0"/>
        <w:jc w:val="both"/>
        <w:rPr>
          <w:rFonts w:ascii="Times New Roman Regular" w:hAnsi="Times New Roman Regular" w:cs="Times New Roman Regular"/>
          <w:sz w:val="22"/>
          <w:szCs w:val="22"/>
        </w:rPr>
      </w:pPr>
      <w:r>
        <w:rPr>
          <w:rFonts w:ascii="Times New Roman Regular" w:hAnsi="Times New Roman Regular" w:cs="Times New Roman Regular"/>
          <w:sz w:val="22"/>
          <w:szCs w:val="22"/>
        </w:rPr>
        <w:t xml:space="preserve"> </w:t>
      </w:r>
    </w:p>
    <w:p w14:paraId="66EE60F2">
      <w:pPr>
        <w:widowControl w:val="0"/>
        <w:ind w:firstLine="0" w:firstLineChars="0"/>
        <w:jc w:val="both"/>
        <w:rPr>
          <w:rFonts w:ascii="Times New Roman Regular" w:hAnsi="Times New Roman Regular" w:cs="Times New Roman Regular"/>
          <w:sz w:val="22"/>
          <w:szCs w:val="22"/>
        </w:rPr>
      </w:pPr>
      <w:r>
        <w:rPr>
          <w:rFonts w:ascii="Times New Roman Regular" w:hAnsi="Times New Roman Regular" w:cs="Times New Roman Regular"/>
          <w:sz w:val="22"/>
          <w:szCs w:val="22"/>
        </w:rPr>
        <w:t xml:space="preserve"> </w:t>
      </w:r>
    </w:p>
    <w:p w14:paraId="395A7CCA">
      <w:pPr>
        <w:ind w:firstLine="482"/>
        <w:jc w:val="both"/>
        <w:rPr>
          <w:rStyle w:val="10"/>
          <w:rFonts w:hint="default" w:eastAsia="宋体"/>
        </w:rPr>
      </w:pPr>
      <w:r>
        <w:rPr>
          <w:rStyle w:val="10"/>
          <w:rFonts w:hint="default" w:eastAsia="宋体"/>
        </w:rPr>
        <w:br w:type="page"/>
      </w:r>
    </w:p>
    <w:p w14:paraId="5E442D1C">
      <w:pPr>
        <w:ind w:firstLine="442"/>
        <w:jc w:val="both"/>
        <w:rPr>
          <w:rFonts w:ascii="Times New Roman Regular" w:hAnsi="Times New Roman Regular" w:cs="Times New Roman Regular"/>
          <w:sz w:val="22"/>
          <w:szCs w:val="22"/>
        </w:rPr>
      </w:pP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 xml:space="preserve">Supplementary Figure 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 xml:space="preserve"> | (A-I) 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The correlation between Hub genes and clinical indexes. 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A)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 </w:t>
      </w:r>
      <w:r>
        <w:rPr>
          <w:rFonts w:hint="eastAsia" w:ascii="Times New Roman Regular" w:hAnsi="Times New Roman Regular" w:cs="Times New Roman Regular"/>
          <w:i/>
          <w:color w:val="000000"/>
          <w:sz w:val="22"/>
          <w:szCs w:val="22"/>
          <w:lang w:bidi="ar"/>
        </w:rPr>
        <w:t>KLRB1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; 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 xml:space="preserve">B) </w:t>
      </w:r>
      <w:r>
        <w:rPr>
          <w:rFonts w:hint="eastAsia" w:ascii="Times New Roman Regular" w:hAnsi="Times New Roman Regular" w:cs="Times New Roman Regular"/>
          <w:i/>
          <w:color w:val="000000"/>
          <w:sz w:val="22"/>
          <w:szCs w:val="22"/>
          <w:lang w:bidi="ar"/>
        </w:rPr>
        <w:t>RNASE2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; 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C)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 </w:t>
      </w:r>
      <w:r>
        <w:rPr>
          <w:rFonts w:hint="eastAsia" w:ascii="Times New Roman Regular" w:hAnsi="Times New Roman Regular" w:cs="Times New Roman Regular"/>
          <w:i/>
          <w:color w:val="000000"/>
          <w:sz w:val="22"/>
          <w:szCs w:val="22"/>
          <w:lang w:bidi="ar"/>
        </w:rPr>
        <w:t>RNASE3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; 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 xml:space="preserve">D) </w:t>
      </w:r>
      <w:r>
        <w:rPr>
          <w:rFonts w:hint="eastAsia" w:ascii="Times New Roman Regular" w:hAnsi="Times New Roman Regular" w:cs="Times New Roman Regular"/>
          <w:i/>
          <w:color w:val="000000"/>
          <w:sz w:val="22"/>
          <w:szCs w:val="22"/>
          <w:lang w:bidi="ar"/>
        </w:rPr>
        <w:t>CTSG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; 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 xml:space="preserve">E) </w:t>
      </w:r>
      <w:r>
        <w:rPr>
          <w:rFonts w:hint="eastAsia" w:ascii="Times New Roman Regular" w:hAnsi="Times New Roman Regular" w:cs="Times New Roman Regular"/>
          <w:i/>
          <w:color w:val="000000"/>
          <w:sz w:val="22"/>
          <w:szCs w:val="22"/>
          <w:lang w:bidi="ar"/>
        </w:rPr>
        <w:t>SLPI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; 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 xml:space="preserve">F) </w:t>
      </w:r>
      <w:r>
        <w:rPr>
          <w:rFonts w:hint="eastAsia" w:ascii="Times New Roman Regular" w:hAnsi="Times New Roman Regular" w:cs="Times New Roman Regular"/>
          <w:i/>
          <w:color w:val="000000"/>
          <w:sz w:val="22"/>
          <w:szCs w:val="22"/>
          <w:lang w:bidi="ar"/>
        </w:rPr>
        <w:t>TNFAIP6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; 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 xml:space="preserve">G) </w:t>
      </w:r>
      <w:r>
        <w:rPr>
          <w:rFonts w:hint="eastAsia" w:ascii="Times New Roman Regular" w:hAnsi="Times New Roman Regular" w:cs="Times New Roman Regular"/>
          <w:i/>
          <w:color w:val="000000"/>
          <w:sz w:val="22"/>
          <w:szCs w:val="22"/>
          <w:lang w:bidi="ar"/>
        </w:rPr>
        <w:t>PGLYRP1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; 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 xml:space="preserve">H) </w:t>
      </w:r>
      <w:r>
        <w:rPr>
          <w:rFonts w:hint="eastAsia" w:ascii="Times New Roman Regular" w:hAnsi="Times New Roman Regular" w:cs="Times New Roman Regular"/>
          <w:i/>
          <w:color w:val="000000"/>
          <w:sz w:val="22"/>
          <w:szCs w:val="22"/>
          <w:lang w:bidi="ar"/>
        </w:rPr>
        <w:t>BLOC1S1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; 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/>
          <w:sz w:val="22"/>
          <w:szCs w:val="22"/>
          <w:lang w:val="en-US" w:eastAsia="zh-CN" w:bidi="ar"/>
        </w:rPr>
        <w:t>1</w:t>
      </w:r>
      <w:r>
        <w:rPr>
          <w:rFonts w:ascii="Times New Roman Regular" w:hAnsi="Times New Roman Regular" w:cs="Times New Roman Regular"/>
          <w:b/>
          <w:bCs/>
          <w:color w:val="000000"/>
          <w:sz w:val="22"/>
          <w:szCs w:val="22"/>
          <w:lang w:bidi="ar"/>
        </w:rPr>
        <w:t>I)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 </w:t>
      </w:r>
      <w:r>
        <w:rPr>
          <w:rFonts w:ascii="Times New Roman Regular" w:hAnsi="Times New Roman Regular" w:cs="Times New Roman Regular"/>
          <w:i/>
          <w:color w:val="000000"/>
          <w:sz w:val="22"/>
          <w:szCs w:val="22"/>
          <w:lang w:bidi="ar"/>
        </w:rPr>
        <w:t>RPL10A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>. Clinical indicators include: APACHE II score, SOFA score on the first day of ICU admission, ICU hospitalization days, total hospitalization days, mechanical ventilation time, 28-day mortality, CRP (mg/mL), PCT (ng/mL), lactic acid content (mmol/L), WBC count (10</w:t>
      </w:r>
      <w:r>
        <w:rPr>
          <w:rFonts w:ascii="Times New Roman Regular" w:hAnsi="Times New Roman Regular" w:cs="Times New Roman Regular"/>
          <w:color w:val="000000"/>
          <w:sz w:val="22"/>
          <w:szCs w:val="22"/>
          <w:vertAlign w:val="superscript"/>
          <w:lang w:bidi="ar"/>
        </w:rPr>
        <w:t>9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>), Neutrophil count (10</w:t>
      </w:r>
      <w:r>
        <w:rPr>
          <w:rFonts w:ascii="Times New Roman Regular" w:hAnsi="Times New Roman Regular" w:cs="Times New Roman Regular"/>
          <w:color w:val="000000"/>
          <w:sz w:val="22"/>
          <w:szCs w:val="22"/>
          <w:vertAlign w:val="superscript"/>
          <w:lang w:bidi="ar"/>
        </w:rPr>
        <w:t>9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>), Neutrophil percentage (%), Monocyte count (10</w:t>
      </w:r>
      <w:r>
        <w:rPr>
          <w:rFonts w:ascii="Times New Roman Regular" w:hAnsi="Times New Roman Regular" w:cs="Times New Roman Regular"/>
          <w:color w:val="000000"/>
          <w:sz w:val="22"/>
          <w:szCs w:val="22"/>
          <w:vertAlign w:val="superscript"/>
          <w:lang w:bidi="ar"/>
        </w:rPr>
        <w:t>9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>), Monocyte percentage (%), Lymphocyte count (10</w:t>
      </w:r>
      <w:r>
        <w:rPr>
          <w:rFonts w:ascii="Times New Roman Regular" w:hAnsi="Times New Roman Regular" w:cs="Times New Roman Regular"/>
          <w:color w:val="000000"/>
          <w:sz w:val="22"/>
          <w:szCs w:val="22"/>
          <w:vertAlign w:val="superscript"/>
          <w:lang w:bidi="ar"/>
        </w:rPr>
        <w:t>9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), Lymphocyte percentage (%). Flow cytometry was used to evaluate the expression of inflammatory cytokines in all patients with sepsis, including IL-2/4/6/10 (pg/mL), </w:t>
      </w:r>
      <w:r>
        <w:rPr>
          <w:rFonts w:ascii="Times New Roman Regular" w:hAnsi="Times New Roman Regular" w:cs="Times New Roman Regular"/>
          <w:sz w:val="22"/>
          <w:szCs w:val="22"/>
        </w:rPr>
        <w:t xml:space="preserve">TNF-α 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(pg/mL) and </w:t>
      </w:r>
      <w:r>
        <w:rPr>
          <w:rFonts w:ascii="Times New Roman Regular" w:hAnsi="Times New Roman Regular" w:cs="Times New Roman Regular"/>
          <w:sz w:val="22"/>
          <w:szCs w:val="22"/>
        </w:rPr>
        <w:t xml:space="preserve">INF-γ </w:t>
      </w:r>
      <w:r>
        <w:rPr>
          <w:rFonts w:ascii="Times New Roman Regular" w:hAnsi="Times New Roman Regular" w:cs="Times New Roman Regular"/>
          <w:color w:val="000000"/>
          <w:sz w:val="22"/>
          <w:szCs w:val="22"/>
          <w:lang w:bidi="ar"/>
        </w:rPr>
        <w:t xml:space="preserve">(pg/mL). APACHE II score, acute physiology and chronic health assessment within 24 hours; ICU, intensive care unit; SOFA score on day 1 intensive care unit; sequential organ failure assessment on the first day of admission; CRP,C reactive protein; PCT, procalcitonin; WBC, leukocyte; IL, interleukin; IFN, interferon; TNF, tumor necrosis factor. For data with normal distribution, t-test or one-way analysis of variance (ANOVA) was used to compare, and Pearson correlation analysis was used to analyze the data correlation. The data with non-normal distribution was analyzed by Mann-Whitney U test. Spelman correlation analysis was used to analyze the data correlation. R represents correlation, and P value &lt; 0.05 indicates statistical significance. </w:t>
      </w:r>
    </w:p>
    <w:p w14:paraId="6CE4BC7E">
      <w:pPr>
        <w:ind w:firstLine="440"/>
        <w:jc w:val="both"/>
        <w:rPr>
          <w:rFonts w:ascii="Times New Roman Regular" w:hAnsi="Times New Roman Regular" w:cs="Times New Roman Regular"/>
          <w:sz w:val="22"/>
          <w:szCs w:val="22"/>
        </w:rPr>
      </w:pPr>
      <w:r>
        <w:rPr>
          <w:rFonts w:ascii="Times New Roman Regular" w:hAnsi="Times New Roman Regular" w:cs="Times New Roman Regular"/>
          <w:sz w:val="22"/>
          <w:szCs w:val="22"/>
        </w:rPr>
        <w:br w:type="page"/>
      </w:r>
    </w:p>
    <w:p w14:paraId="0DB57486">
      <w:r>
        <w:drawing>
          <wp:inline distT="0" distB="0" distL="114300" distR="114300">
            <wp:extent cx="6294755" cy="5245100"/>
            <wp:effectExtent l="0" t="0" r="4445" b="12700"/>
            <wp:docPr id="24" name="图片 24" descr="Correlation of Hub genes with clinical indicators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orrelation of Hub genes with clinical indicators_01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4755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83325" cy="5235575"/>
            <wp:effectExtent l="0" t="0" r="15875" b="22225"/>
            <wp:docPr id="23" name="图片 23" descr="Correlation of Hub genes with clinical indicators_0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orrelation of Hub genes with clinical indicators_02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83325" cy="5235575"/>
            <wp:effectExtent l="0" t="0" r="15875" b="22225"/>
            <wp:docPr id="22" name="图片 22" descr="Correlation of Hub genes with clinical indicators_0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orrelation of Hub genes with clinical indicators_03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83325" cy="5235575"/>
            <wp:effectExtent l="0" t="0" r="15875" b="22225"/>
            <wp:docPr id="21" name="图片 21" descr="Correlation of Hub genes with clinical indicators_0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orrelation of Hub genes with clinical indicators_04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83325" cy="5235575"/>
            <wp:effectExtent l="0" t="0" r="15875" b="22225"/>
            <wp:docPr id="20" name="图片 20" descr="Correlation of Hub genes with clinical indicators_0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orrelation of Hub genes with clinical indicators_05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83325" cy="5235575"/>
            <wp:effectExtent l="0" t="0" r="15875" b="22225"/>
            <wp:docPr id="19" name="图片 19" descr="Correlation of Hub genes with clinical indicators_0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orrelation of Hub genes with clinical indicators_06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83325" cy="5235575"/>
            <wp:effectExtent l="0" t="0" r="15875" b="22225"/>
            <wp:docPr id="18" name="图片 18" descr="Correlation of Hub genes with clinical indicators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orrelation of Hub genes with clinical indicators_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83325" cy="5235575"/>
            <wp:effectExtent l="0" t="0" r="15875" b="22225"/>
            <wp:docPr id="17" name="图片 17" descr="Correlation of Hub genes with clinical indicators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orrelation of Hub genes with clinical indicators_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83325" cy="5235575"/>
            <wp:effectExtent l="0" t="0" r="15875" b="22225"/>
            <wp:docPr id="16" name="图片 16" descr="Correlation of Hub genes with clinical indicators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orrelation of Hub genes with clinical indicators_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Verdana">
    <w:panose1 w:val="020B0804030504040204"/>
    <w:charset w:val="00"/>
    <w:family w:val="auto"/>
    <w:pitch w:val="default"/>
    <w:sig w:usb0="A10006FF" w:usb1="4000205B" w:usb2="00000010" w:usb3="00000000" w:csb0="2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7C634"/>
    <w:multiLevelType w:val="multilevel"/>
    <w:tmpl w:val="B027C634"/>
    <w:lvl w:ilvl="0" w:tentative="0">
      <w:start w:val="1"/>
      <w:numFmt w:val="chineseCounting"/>
      <w:pStyle w:val="2"/>
      <w:lvlText w:val="%1."/>
      <w:lvlJc w:val="left"/>
      <w:pPr>
        <w:ind w:left="425" w:hanging="425"/>
      </w:pPr>
      <w:rPr>
        <w:rFonts w:hint="eastAsia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7F716D"/>
    <w:rsid w:val="4DED7812"/>
    <w:rsid w:val="5F7FCBE9"/>
    <w:rsid w:val="72D3A651"/>
    <w:rsid w:val="BE1FB219"/>
    <w:rsid w:val="BF3D4E45"/>
    <w:rsid w:val="EF7F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480" w:firstLineChars="20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spacing w:beforeAutospacing="1" w:afterAutospacing="1"/>
      <w:ind w:firstLine="0" w:firstLineChars="0"/>
      <w:outlineLvl w:val="0"/>
    </w:pPr>
    <w:rPr>
      <w:rFonts w:hint="eastAsia" w:eastAsia="华文楷体" w:cs="宋体"/>
      <w:b/>
      <w:bCs/>
      <w:kern w:val="44"/>
      <w:szCs w:val="48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firstLine="0" w:firstLineChars="0"/>
    </w:pPr>
    <w:rPr>
      <w:rFonts w:ascii="宋体" w:hAnsi="宋体" w:cs="宋体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标题 1 Char"/>
    <w:qFormat/>
    <w:uiPriority w:val="0"/>
    <w:rPr>
      <w:rFonts w:hint="eastAsia" w:ascii="Times New Roman" w:hAnsi="Times New Roman" w:eastAsia="华文楷体" w:cs="宋体"/>
      <w:b/>
      <w:bCs/>
      <w:kern w:val="44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11</TotalTime>
  <ScaleCrop>false</ScaleCrop>
  <LinksUpToDate>false</LinksUpToDate>
  <CharactersWithSpaces>0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2024-01-10T16:00:00Z</dcterms:created>
  <dc:creator>汪晨</dc:creator>
  <cp:lastModifiedBy>汪晨</cp:lastModifiedBy>
  <dcterms:modified xsi:type="dcterms:W3CDTF">2025-03-12T15:58:36Z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F61E384F1F6B1308AC3ED167A22DE8C0_43</vt:lpwstr>
  </property>
</Properties>
</file>