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lang w:val="en-US"/>
        </w:rPr>
      </w:pPr>
      <w:r>
        <w:rPr>
          <w:lang w:val="en-US"/>
        </w:rPr>
        <w:t>Supplement: The Changing Landscape of Nontyphoidal Salmonellosis: Epidemiological Patterns, Imported Cases and Serovar Distribution in Germany from 2012 to 2023</w: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spacing w:after="480"/>
        <w:rPr>
          <w:rFonts w:cs="Times New Roman"/>
          <w:b w:val="0"/>
          <w:sz w:val="24"/>
          <w:szCs w:val="22"/>
          <w:vertAlign w:val="superscript"/>
          <w:lang w:val="de-DE"/>
        </w:rPr>
      </w:pPr>
      <w:r>
        <w:rPr>
          <w:rFonts w:cs="Times New Roman"/>
          <w:b w:val="0"/>
          <w:sz w:val="24"/>
          <w:szCs w:val="22"/>
          <w:lang w:val="de-DE"/>
        </w:rPr>
        <w:t>Simon Brinkwirth</w:t>
      </w:r>
      <w:r>
        <w:rPr>
          <w:rFonts w:cs="Times New Roman"/>
          <w:b w:val="0"/>
          <w:sz w:val="24"/>
          <w:szCs w:val="22"/>
          <w:vertAlign w:val="superscript"/>
          <w:lang w:val="de-DE"/>
        </w:rPr>
        <w:t>1,2,3</w:t>
      </w:r>
      <w:r>
        <w:rPr>
          <w:rFonts w:cs="Times New Roman"/>
          <w:b w:val="0"/>
          <w:sz w:val="24"/>
          <w:szCs w:val="22"/>
          <w:lang w:val="de-DE"/>
        </w:rPr>
        <w:t>, Achim Dörre</w:t>
      </w:r>
      <w:r>
        <w:rPr>
          <w:rFonts w:cs="Times New Roman"/>
          <w:b w:val="0"/>
          <w:sz w:val="24"/>
          <w:szCs w:val="22"/>
          <w:vertAlign w:val="superscript"/>
          <w:lang w:val="de-DE"/>
        </w:rPr>
        <w:t>4</w:t>
      </w:r>
      <w:r>
        <w:rPr>
          <w:rFonts w:cs="Times New Roman"/>
          <w:b w:val="0"/>
          <w:sz w:val="24"/>
          <w:szCs w:val="22"/>
          <w:lang w:val="de-DE"/>
        </w:rPr>
        <w:t>, Klaus Stark</w:t>
      </w:r>
      <w:r>
        <w:rPr>
          <w:rFonts w:cs="Times New Roman"/>
          <w:b w:val="0"/>
          <w:sz w:val="24"/>
          <w:szCs w:val="22"/>
          <w:vertAlign w:val="superscript"/>
          <w:lang w:val="de-DE"/>
        </w:rPr>
        <w:t>1</w:t>
      </w:r>
      <w:r>
        <w:rPr>
          <w:rFonts w:cs="Times New Roman"/>
          <w:b w:val="0"/>
          <w:sz w:val="24"/>
          <w:szCs w:val="22"/>
          <w:lang w:val="de-DE"/>
        </w:rPr>
        <w:t>, Anika Meinen</w:t>
      </w:r>
      <w:r>
        <w:rPr>
          <w:rFonts w:cs="Times New Roman"/>
          <w:b w:val="0"/>
          <w:sz w:val="24"/>
          <w:szCs w:val="22"/>
          <w:vertAlign w:val="superscript"/>
          <w:lang w:val="de-DE"/>
        </w:rPr>
        <w:t>1*</w:t>
      </w:r>
    </w:p>
    <w:p>
      <w:pPr>
        <w:spacing w:after="480"/>
        <w:rPr>
          <w:rFonts w:cs="Times New Roman"/>
          <w:b w:val="0"/>
          <w:sz w:val="24"/>
          <w:szCs w:val="22"/>
          <w:vertAlign w:val="superscript"/>
          <w:lang w:val="de-DE"/>
        </w:rPr>
      </w:pPr>
    </w:p>
    <w:p>
      <w:pPr>
        <w:spacing w:line="480" w:lineRule="auto"/>
        <w:rPr>
          <w:rFonts w:cs="Times New Roman"/>
          <w:b w:val="0"/>
          <w:sz w:val="22"/>
          <w:szCs w:val="20"/>
        </w:rPr>
      </w:pPr>
      <w:r>
        <w:rPr>
          <w:rFonts w:cs="Times New Roman"/>
          <w:b w:val="0"/>
          <w:sz w:val="22"/>
          <w:szCs w:val="20"/>
          <w:vertAlign w:val="superscript"/>
        </w:rPr>
        <w:t>1</w:t>
      </w:r>
      <w:r>
        <w:rPr>
          <w:rFonts w:cs="Times New Roman"/>
          <w:b w:val="0"/>
          <w:sz w:val="22"/>
          <w:szCs w:val="20"/>
        </w:rPr>
        <w:t xml:space="preserve">Robert Koch Institute, Department of Infectious Disease Epidemiology, Unit 35: Gastrointestinal Infections, Zoonoses and Tropical Infections, </w:t>
      </w:r>
      <w:proofErr w:type="spellStart"/>
      <w:r>
        <w:rPr>
          <w:rFonts w:cs="Times New Roman"/>
          <w:b w:val="0"/>
          <w:sz w:val="22"/>
          <w:szCs w:val="20"/>
        </w:rPr>
        <w:t>Seestr</w:t>
      </w:r>
      <w:proofErr w:type="spellEnd"/>
      <w:r>
        <w:rPr>
          <w:rFonts w:cs="Times New Roman"/>
          <w:b w:val="0"/>
          <w:sz w:val="22"/>
          <w:szCs w:val="20"/>
        </w:rPr>
        <w:t xml:space="preserve">. 10, 13353 Berlin, Germany </w:t>
      </w:r>
    </w:p>
    <w:p>
      <w:pPr>
        <w:spacing w:line="480" w:lineRule="auto"/>
        <w:rPr>
          <w:rFonts w:cs="Times New Roman"/>
          <w:b w:val="0"/>
          <w:sz w:val="22"/>
          <w:szCs w:val="20"/>
        </w:rPr>
      </w:pPr>
      <w:r>
        <w:rPr>
          <w:rFonts w:cs="Times New Roman"/>
          <w:b w:val="0"/>
          <w:sz w:val="22"/>
          <w:szCs w:val="20"/>
          <w:vertAlign w:val="superscript"/>
        </w:rPr>
        <w:t>2</w:t>
      </w:r>
      <w:r>
        <w:rPr>
          <w:rFonts w:cs="Times New Roman"/>
          <w:b w:val="0"/>
          <w:sz w:val="22"/>
          <w:szCs w:val="20"/>
        </w:rPr>
        <w:t>Postgraduate Training for Applied Epidemiology (PAE), Robert Koch-Institute, Berlin, Germany</w:t>
      </w:r>
    </w:p>
    <w:p>
      <w:pPr>
        <w:spacing w:line="480" w:lineRule="auto"/>
        <w:rPr>
          <w:rFonts w:cs="Times New Roman"/>
          <w:b w:val="0"/>
          <w:sz w:val="22"/>
          <w:szCs w:val="20"/>
        </w:rPr>
      </w:pPr>
      <w:r>
        <w:rPr>
          <w:rFonts w:cs="Times New Roman"/>
          <w:b w:val="0"/>
          <w:sz w:val="22"/>
          <w:szCs w:val="20"/>
          <w:vertAlign w:val="superscript"/>
        </w:rPr>
        <w:t>3</w:t>
      </w:r>
      <w:r>
        <w:rPr>
          <w:rFonts w:cs="Times New Roman"/>
          <w:b w:val="0"/>
          <w:sz w:val="22"/>
          <w:szCs w:val="20"/>
        </w:rPr>
        <w:t>European Programme for Intervention Epidemiology Training (EPIET), European Centre for Disease Prevention and Control (ECDC), Stockholm, Sweden.</w:t>
      </w:r>
    </w:p>
    <w:p>
      <w:pPr>
        <w:spacing w:line="480" w:lineRule="auto"/>
        <w:rPr>
          <w:rFonts w:cs="Times New Roman"/>
          <w:b w:val="0"/>
          <w:sz w:val="22"/>
          <w:szCs w:val="20"/>
        </w:rPr>
      </w:pPr>
      <w:r>
        <w:rPr>
          <w:rFonts w:cs="Times New Roman"/>
          <w:b w:val="0"/>
          <w:sz w:val="22"/>
          <w:szCs w:val="20"/>
          <w:vertAlign w:val="superscript"/>
        </w:rPr>
        <w:t>4</w:t>
      </w:r>
      <w:r>
        <w:rPr>
          <w:rFonts w:cs="Times New Roman"/>
          <w:b w:val="0"/>
          <w:sz w:val="22"/>
          <w:szCs w:val="20"/>
        </w:rPr>
        <w:t xml:space="preserve">Robert Koch Institute, Department of Infectious Disease Epidemiology, Unit 31: Focal Point for the Public Health Service, Crisis Management, Outbreak Investigations and Training Programmes, </w:t>
      </w:r>
      <w:proofErr w:type="spellStart"/>
      <w:r>
        <w:rPr>
          <w:rFonts w:cs="Times New Roman"/>
          <w:b w:val="0"/>
          <w:sz w:val="22"/>
          <w:szCs w:val="20"/>
        </w:rPr>
        <w:t>Seestr</w:t>
      </w:r>
      <w:proofErr w:type="spellEnd"/>
      <w:r>
        <w:rPr>
          <w:rFonts w:cs="Times New Roman"/>
          <w:b w:val="0"/>
          <w:sz w:val="22"/>
          <w:szCs w:val="20"/>
        </w:rPr>
        <w:t xml:space="preserve">. 10, 13353 Berlin, Germany </w:t>
      </w:r>
    </w:p>
    <w:p>
      <w:pPr>
        <w:spacing w:line="480" w:lineRule="auto"/>
        <w:rPr>
          <w:rFonts w:cs="Times New Roman"/>
          <w:b w:val="0"/>
          <w:sz w:val="22"/>
          <w:szCs w:val="20"/>
        </w:rPr>
      </w:pPr>
    </w:p>
    <w:p>
      <w:pPr>
        <w:spacing w:line="480" w:lineRule="auto"/>
        <w:rPr>
          <w:rFonts w:cs="Times New Roman"/>
          <w:b w:val="0"/>
          <w:sz w:val="22"/>
          <w:szCs w:val="20"/>
        </w:rPr>
      </w:pPr>
    </w:p>
    <w:p>
      <w:pPr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>*Corresponding author: Anika Meinen</w:t>
      </w:r>
    </w:p>
    <w:p>
      <w:pPr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>Email: meinena@rki.de</w:t>
      </w:r>
    </w:p>
    <w:p>
      <w:pPr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>Phone: (+49) 3018754-3663</w:t>
      </w:r>
    </w:p>
    <w:p>
      <w:pPr>
        <w:rPr>
          <w:b w:val="0"/>
          <w:lang w:val="en-US"/>
        </w:rPr>
      </w:pPr>
    </w:p>
    <w:p>
      <w:pPr>
        <w:rPr>
          <w:lang w:val="en-US"/>
        </w:rPr>
      </w:pPr>
    </w:p>
    <w:p>
      <w:pPr>
        <w:ind w:left="1410" w:hanging="1410"/>
        <w:jc w:val="left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 xml:space="preserve">Keywords: </w:t>
      </w:r>
      <w:r>
        <w:rPr>
          <w:b w:val="0"/>
          <w:sz w:val="24"/>
          <w:szCs w:val="24"/>
          <w:lang w:val="en-US"/>
        </w:rPr>
        <w:tab/>
      </w:r>
    </w:p>
    <w:p>
      <w:pPr>
        <w:ind w:left="1410" w:hanging="1410"/>
        <w:jc w:val="left"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  <w:lang w:val="en-US"/>
        </w:rPr>
        <w:t xml:space="preserve">Salmonellosis; Epidemiology; Serovar; Imported Cases; Germany; Incidence Trends                   </w: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  <w:r>
        <w:rPr>
          <w:lang w:val="en-US"/>
        </w:rPr>
        <w:t xml:space="preserve">Supplemental Figures </w:t>
      </w:r>
    </w:p>
    <w:p>
      <w:pPr>
        <w:rPr>
          <w:lang w:val="en-US"/>
        </w:rPr>
      </w:pPr>
    </w:p>
    <w:p>
      <w:pPr>
        <w:rPr>
          <w:b w:val="0"/>
          <w:sz w:val="24"/>
          <w:lang w:val="en-US"/>
        </w:rPr>
      </w:pPr>
    </w:p>
    <w:p>
      <w:pPr>
        <w:rPr>
          <w:b w:val="0"/>
          <w:sz w:val="24"/>
          <w:lang w:val="en-US"/>
        </w:rPr>
      </w:pPr>
    </w:p>
    <w:p>
      <w:pPr>
        <w:rPr>
          <w:b w:val="0"/>
          <w:sz w:val="24"/>
          <w:lang w:val="en-US"/>
        </w:rPr>
      </w:pPr>
      <w:r>
        <w:rPr>
          <w:b w:val="0"/>
          <w:sz w:val="24"/>
          <w:lang w:val="en-US"/>
        </w:rPr>
        <w:t xml:space="preserve">An overall increasing trend for nontyphoidal salmonellosis is observed across all German regions, nevertheless there is an unequal distribution of the total incidence of salmonellosis within the observed period. </w:t>
      </w:r>
      <w:bookmarkStart w:id="0" w:name="_Hlk174101820"/>
      <w:r>
        <w:rPr>
          <w:b w:val="0"/>
          <w:sz w:val="24"/>
          <w:lang w:val="en-US"/>
        </w:rPr>
        <w:t xml:space="preserve">The </w:t>
      </w:r>
      <w:r>
        <w:rPr>
          <w:b w:val="0"/>
          <w:i/>
          <w:sz w:val="24"/>
          <w:lang w:val="en-US"/>
        </w:rPr>
        <w:t>East</w:t>
      </w:r>
      <w:r>
        <w:rPr>
          <w:b w:val="0"/>
          <w:sz w:val="24"/>
          <w:lang w:val="en-US"/>
        </w:rPr>
        <w:t xml:space="preserve"> is identified as a high-incidence area with a mean incidence of 24 cases per 100,000 inhabitants compared to the </w:t>
      </w:r>
      <w:r>
        <w:rPr>
          <w:b w:val="0"/>
          <w:i/>
          <w:sz w:val="24"/>
          <w:lang w:val="en-US"/>
        </w:rPr>
        <w:t>North</w:t>
      </w:r>
      <w:r>
        <w:rPr>
          <w:b w:val="0"/>
          <w:sz w:val="24"/>
          <w:lang w:val="en-US"/>
        </w:rPr>
        <w:t xml:space="preserve"> (15 cases), </w:t>
      </w:r>
      <w:r>
        <w:rPr>
          <w:b w:val="0"/>
          <w:i/>
          <w:sz w:val="24"/>
          <w:lang w:val="en-US"/>
        </w:rPr>
        <w:t>South</w:t>
      </w:r>
      <w:r>
        <w:rPr>
          <w:b w:val="0"/>
          <w:sz w:val="24"/>
          <w:lang w:val="en-US"/>
        </w:rPr>
        <w:t xml:space="preserve"> (14 cases) and </w:t>
      </w:r>
      <w:r>
        <w:rPr>
          <w:b w:val="0"/>
          <w:i/>
          <w:sz w:val="24"/>
          <w:lang w:val="en-US"/>
        </w:rPr>
        <w:t>West</w:t>
      </w:r>
      <w:r>
        <w:rPr>
          <w:b w:val="0"/>
          <w:sz w:val="24"/>
          <w:lang w:val="en-US"/>
        </w:rPr>
        <w:t xml:space="preserve"> (15 cases).</w:t>
      </w:r>
      <w:bookmarkEnd w:id="0"/>
    </w:p>
    <w:p>
      <w:pPr>
        <w:rPr>
          <w:b w:val="0"/>
          <w:sz w:val="24"/>
          <w:lang w:val="en-US"/>
        </w:rPr>
      </w:pPr>
      <w:r>
        <w:rPr>
          <w:b w:val="0"/>
          <w:noProof/>
          <w:sz w:val="24"/>
          <w:lang w:val="en-US"/>
        </w:rPr>
        <w:drawing>
          <wp:inline distT="0" distB="0" distL="0" distR="0">
            <wp:extent cx="5760720" cy="370332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lot_reg_V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 w:val="0"/>
          <w:sz w:val="24"/>
        </w:rPr>
      </w:pPr>
    </w:p>
    <w:p>
      <w:pPr>
        <w:rPr>
          <w:b w:val="0"/>
          <w:sz w:val="24"/>
          <w:lang w:val="en-US"/>
        </w:rPr>
      </w:pPr>
      <w:r>
        <w:rPr>
          <w:sz w:val="24"/>
          <w:lang w:val="en-US"/>
        </w:rPr>
        <w:t>Figure S1.</w:t>
      </w:r>
      <w:r>
        <w:rPr>
          <w:b w:val="0"/>
          <w:sz w:val="24"/>
          <w:lang w:val="en-US"/>
        </w:rPr>
        <w:t xml:space="preserve"> Salmonellosis incidence per 100,000 population from 2012–2023 per region</w:t>
      </w:r>
    </w:p>
    <w:p>
      <w:pPr>
        <w:rPr>
          <w:lang w:val="en-US"/>
        </w:rPr>
      </w:pPr>
    </w:p>
    <w:p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400799" cy="3000375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248" cy="301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>
      <w:pPr>
        <w:rPr>
          <w:b w:val="0"/>
          <w:sz w:val="24"/>
          <w:lang w:val="en-US"/>
        </w:rPr>
      </w:pPr>
      <w:r>
        <w:rPr>
          <w:sz w:val="24"/>
          <w:lang w:val="en-US"/>
        </w:rPr>
        <w:t>Figure S2.</w:t>
      </w:r>
      <w:r>
        <w:rPr>
          <w:b w:val="0"/>
          <w:sz w:val="24"/>
          <w:lang w:val="en-US"/>
        </w:rPr>
        <w:t xml:space="preserve"> Salmonellosis </w:t>
      </w:r>
      <w:r>
        <w:rPr>
          <w:b w:val="0"/>
          <w:sz w:val="24"/>
          <w:lang w:val="en-US"/>
        </w:rPr>
        <w:t>i</w:t>
      </w:r>
      <w:r>
        <w:rPr>
          <w:b w:val="0"/>
          <w:sz w:val="24"/>
          <w:lang w:val="en-US"/>
        </w:rPr>
        <w:t>ncidence per 100,000 population by age group from 2012–2023 in Germany</w:t>
      </w:r>
    </w:p>
    <w:p>
      <w:pPr>
        <w:rPr>
          <w:b w:val="0"/>
          <w:sz w:val="24"/>
          <w:lang w:val="en-US"/>
        </w:rPr>
      </w:pPr>
    </w:p>
    <w:p>
      <w:pPr>
        <w:rPr>
          <w:lang w:val="en-US"/>
        </w:rPr>
      </w:pPr>
    </w:p>
    <w:p>
      <w:r>
        <w:rPr>
          <w:noProof/>
        </w:rPr>
        <w:drawing>
          <wp:inline distT="0" distB="0" distL="0" distR="0">
            <wp:extent cx="6400799" cy="3000375"/>
            <wp:effectExtent l="0" t="0" r="63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156" cy="30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 w:val="0"/>
          <w:sz w:val="22"/>
          <w:lang w:val="en-US"/>
        </w:rPr>
      </w:pPr>
      <w:r>
        <w:rPr>
          <w:sz w:val="22"/>
          <w:lang w:val="en-US"/>
        </w:rPr>
        <w:t>Figure S3.</w:t>
      </w:r>
      <w:r>
        <w:rPr>
          <w:b w:val="0"/>
          <w:sz w:val="22"/>
          <w:lang w:val="en-US"/>
        </w:rPr>
        <w:t xml:space="preserve"> Salmonellosis </w:t>
      </w:r>
      <w:r>
        <w:rPr>
          <w:b w:val="0"/>
          <w:sz w:val="22"/>
          <w:lang w:val="en-US"/>
        </w:rPr>
        <w:t>i</w:t>
      </w:r>
      <w:r>
        <w:rPr>
          <w:b w:val="0"/>
          <w:sz w:val="22"/>
          <w:lang w:val="en-US"/>
        </w:rPr>
        <w:t xml:space="preserve">ncidence per 100,000 population by age and gender with proportion of </w:t>
      </w:r>
      <w:r>
        <w:rPr>
          <w:b w:val="0"/>
          <w:sz w:val="22"/>
        </w:rPr>
        <w:t>hospitalised</w:t>
      </w:r>
      <w:r>
        <w:rPr>
          <w:b w:val="0"/>
          <w:sz w:val="22"/>
          <w:lang w:val="en-US"/>
        </w:rPr>
        <w:t xml:space="preserve"> cases in Germany from 2012–2023 </w: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b w:val="0"/>
          <w:sz w:val="22"/>
          <w:lang w:val="en-US"/>
        </w:rPr>
      </w:pPr>
    </w:p>
    <w:p>
      <w:pPr>
        <w:rPr>
          <w:b w:val="0"/>
          <w:sz w:val="24"/>
          <w:lang w:val="en-US"/>
        </w:rPr>
      </w:pPr>
    </w:p>
    <w:p>
      <w:pPr>
        <w:rPr>
          <w:b w:val="0"/>
          <w:sz w:val="24"/>
          <w:lang w:val="en-US"/>
        </w:rPr>
        <w:sectPr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>
      <w:pPr>
        <w:rPr>
          <w:b w:val="0"/>
          <w:sz w:val="24"/>
          <w:lang w:val="en-US"/>
        </w:rPr>
      </w:pPr>
      <w:r>
        <w:rPr>
          <w:b w:val="0"/>
          <w:noProof/>
          <w:sz w:val="24"/>
          <w:lang w:val="en-US"/>
        </w:rPr>
        <w:lastRenderedPageBreak/>
        <w:drawing>
          <wp:inline distT="0" distB="0" distL="0" distR="0">
            <wp:extent cx="9072245" cy="4535805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ero_plot_combined_V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 w:val="0"/>
          <w:sz w:val="24"/>
          <w:lang w:val="en-US"/>
        </w:rPr>
      </w:pPr>
    </w:p>
    <w:p>
      <w:pPr>
        <w:rPr>
          <w:b w:val="0"/>
          <w:sz w:val="24"/>
          <w:lang w:val="en-US"/>
        </w:rPr>
      </w:pPr>
      <w:r>
        <w:rPr>
          <w:sz w:val="24"/>
          <w:lang w:val="en-US"/>
        </w:rPr>
        <w:t>Figure S4</w:t>
      </w:r>
      <w:r>
        <w:rPr>
          <w:b w:val="0"/>
          <w:sz w:val="24"/>
          <w:lang w:val="en-US"/>
        </w:rPr>
        <w:t xml:space="preserve"> Serovar distribution and trend of imported salmonellosis cases (2012-2023 in Germany) and hospitalised salmonellosis cases (2017–2023 in Germany).</w:t>
      </w:r>
      <w:bookmarkStart w:id="1" w:name="_GoBack"/>
      <w:bookmarkEnd w:id="1"/>
    </w:p>
    <w:p>
      <w:pPr>
        <w:rPr>
          <w:b w:val="0"/>
          <w:sz w:val="24"/>
          <w:lang w:val="en-US"/>
        </w:rPr>
      </w:pPr>
    </w:p>
    <w:sectPr>
      <w:pgSz w:w="16838" w:h="11906" w:orient="landscape"/>
      <w:pgMar w:top="1417" w:right="1417" w:bottom="141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EA411-7D22-405C-8EED-C69F573A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ajorBidi"/>
        <w:b/>
        <w:bCs/>
        <w:color w:val="000000" w:themeColor="text1"/>
        <w:sz w:val="28"/>
        <w:szCs w:val="28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0" w:line="360" w:lineRule="auto"/>
      <w:jc w:val="both"/>
    </w:pPr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pPr>
      <w:spacing w:after="0" w:line="240" w:lineRule="auto"/>
    </w:pPr>
    <w:rPr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line="240" w:lineRule="auto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cs="Times New Roman"/>
      <w:sz w:val="18"/>
      <w:szCs w:val="18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272</Words>
  <Characters>1720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Brinkwirth, Simon</dc:creator>
  <cp:keywords/>
  <dc:description/>
  <cp:lastModifiedBy>Meinen, Anika</cp:lastModifiedBy>
  <cp:revision>7</cp:revision>
  <dcterms:created xsi:type="dcterms:W3CDTF">2025-02-28T10:44:00Z</dcterms:created>
  <dcterms:modified xsi:type="dcterms:W3CDTF">2025-03-11T13:18:00Z</dcterms:modified>
</cp:coreProperties>
</file>