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24E14" w14:textId="0C32450A" w:rsidR="005E1277" w:rsidRDefault="00307B80" w:rsidP="005E1277">
      <w:pPr>
        <w:spacing w:line="480" w:lineRule="auto"/>
        <w:rPr>
          <w:rFonts w:ascii="Bookman Old Style" w:hAnsi="Bookman Old Style"/>
          <w:b/>
          <w:bCs/>
          <w:sz w:val="22"/>
        </w:rPr>
      </w:pPr>
      <w:r>
        <w:rPr>
          <w:rFonts w:ascii="Bookman Old Style" w:hAnsi="Bookman Old Style"/>
          <w:b/>
          <w:bCs/>
          <w:sz w:val="22"/>
        </w:rPr>
        <w:t xml:space="preserve">Supplementary </w:t>
      </w:r>
      <w:r w:rsidR="005E1277" w:rsidRPr="005E1277">
        <w:rPr>
          <w:rFonts w:ascii="Bookman Old Style" w:hAnsi="Bookman Old Style"/>
          <w:b/>
          <w:bCs/>
          <w:sz w:val="22"/>
        </w:rPr>
        <w:t>Appendix</w:t>
      </w:r>
    </w:p>
    <w:p w14:paraId="53D1CA77" w14:textId="7ED07F6F" w:rsidR="00307B80" w:rsidRPr="005211BD" w:rsidRDefault="00307B80" w:rsidP="00307B80">
      <w:pPr>
        <w:pStyle w:val="ListParagraph"/>
        <w:numPr>
          <w:ilvl w:val="0"/>
          <w:numId w:val="4"/>
        </w:numPr>
        <w:spacing w:line="480" w:lineRule="auto"/>
        <w:rPr>
          <w:rFonts w:ascii="Bookman Old Style" w:hAnsi="Bookman Old Style"/>
          <w:b/>
          <w:bCs/>
          <w:sz w:val="22"/>
        </w:rPr>
      </w:pPr>
      <w:r>
        <w:rPr>
          <w:rFonts w:ascii="Bookman Old Style" w:hAnsi="Bookman Old Style"/>
          <w:b/>
          <w:bCs/>
          <w:sz w:val="22"/>
        </w:rPr>
        <w:t xml:space="preserve">Sensitivity Analysis </w:t>
      </w:r>
      <w:r w:rsidR="002C0B08">
        <w:rPr>
          <w:rFonts w:ascii="Bookman Old Style" w:hAnsi="Bookman Old Style"/>
          <w:b/>
          <w:bCs/>
          <w:sz w:val="22"/>
        </w:rPr>
        <w:t>on Different Referent Groups</w:t>
      </w:r>
    </w:p>
    <w:p w14:paraId="79574F0B" w14:textId="782A10EC" w:rsidR="002C0B08" w:rsidRDefault="002C0B08" w:rsidP="002C0B08">
      <w:pPr>
        <w:spacing w:line="480" w:lineRule="auto"/>
        <w:rPr>
          <w:rFonts w:ascii="Bookman Old Style" w:hAnsi="Bookman Old Style"/>
          <w:sz w:val="22"/>
        </w:rPr>
      </w:pPr>
      <w:r>
        <w:rPr>
          <w:rFonts w:ascii="Bookman Old Style" w:hAnsi="Bookman Old Style"/>
          <w:sz w:val="22"/>
        </w:rPr>
        <w:t>For most of the pandemic period, women aged 80 and over were the most tested group.  However, in wave 4, male children under 10 were the most tested group.  We evaluated the effects of using women as the most tested group throughout the pandemic as compared to our method of concatenating the epidemic curve, varying the referent group such that 5 of 6 waves used women aged 80 and over, and wave 4 used male children under age 10.  The results are presented below.</w:t>
      </w:r>
    </w:p>
    <w:p w14:paraId="186F02F0" w14:textId="4404551B" w:rsidR="002C0B08" w:rsidRPr="005211BD" w:rsidRDefault="00A4063B" w:rsidP="005211BD">
      <w:pPr>
        <w:spacing w:line="480" w:lineRule="auto"/>
        <w:rPr>
          <w:rFonts w:ascii="Bookman Old Style" w:hAnsi="Bookman Old Style"/>
          <w:sz w:val="22"/>
        </w:rPr>
      </w:pPr>
      <w:r>
        <w:rPr>
          <w:rFonts w:ascii="Bookman Old Style" w:hAnsi="Bookman Old Style"/>
          <w:noProof/>
          <w:sz w:val="22"/>
          <w14:ligatures w14:val="standardContextual"/>
        </w:rPr>
        <w:drawing>
          <wp:inline distT="0" distB="0" distL="0" distR="0" wp14:anchorId="7541B5B6" wp14:editId="78BB7507">
            <wp:extent cx="6036733" cy="4390351"/>
            <wp:effectExtent l="0" t="0" r="0" b="4445"/>
            <wp:docPr id="1625313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13086" name="Picture 1625313086"/>
                    <pic:cNvPicPr/>
                  </pic:nvPicPr>
                  <pic:blipFill>
                    <a:blip r:embed="rId7"/>
                    <a:stretch>
                      <a:fillRect/>
                    </a:stretch>
                  </pic:blipFill>
                  <pic:spPr>
                    <a:xfrm>
                      <a:off x="0" y="0"/>
                      <a:ext cx="6041220" cy="4393614"/>
                    </a:xfrm>
                    <a:prstGeom prst="rect">
                      <a:avLst/>
                    </a:prstGeom>
                  </pic:spPr>
                </pic:pic>
              </a:graphicData>
            </a:graphic>
          </wp:inline>
        </w:drawing>
      </w:r>
    </w:p>
    <w:p w14:paraId="3FC2EA5D" w14:textId="6AEEE9DC" w:rsidR="00307B80" w:rsidRDefault="002C0B08" w:rsidP="00307B80">
      <w:pPr>
        <w:spacing w:line="480" w:lineRule="auto"/>
        <w:rPr>
          <w:rFonts w:ascii="Bookman Old Style" w:hAnsi="Bookman Old Style"/>
          <w:sz w:val="22"/>
        </w:rPr>
      </w:pPr>
      <w:proofErr w:type="gramStart"/>
      <w:r>
        <w:rPr>
          <w:rFonts w:ascii="Bookman Old Style" w:hAnsi="Bookman Old Style"/>
          <w:sz w:val="22"/>
        </w:rPr>
        <w:t>It can be seen that when</w:t>
      </w:r>
      <w:proofErr w:type="gramEnd"/>
      <w:r>
        <w:rPr>
          <w:rFonts w:ascii="Bookman Old Style" w:hAnsi="Bookman Old Style"/>
          <w:sz w:val="22"/>
        </w:rPr>
        <w:t xml:space="preserve"> males aged &lt; 10 were used as the referent group, adjusted cases (blue curve) were lower than reported cases (maroon curve) for most of the pandemic, as children were relatively under-tested outside of wave 4.  Using </w:t>
      </w:r>
      <w:proofErr w:type="gramStart"/>
      <w:r>
        <w:rPr>
          <w:rFonts w:ascii="Bookman Old Style" w:hAnsi="Bookman Old Style"/>
          <w:sz w:val="22"/>
        </w:rPr>
        <w:t>highly-</w:t>
      </w:r>
      <w:r>
        <w:rPr>
          <w:rFonts w:ascii="Bookman Old Style" w:hAnsi="Bookman Old Style"/>
          <w:sz w:val="22"/>
        </w:rPr>
        <w:lastRenderedPageBreak/>
        <w:t>tested</w:t>
      </w:r>
      <w:proofErr w:type="gramEnd"/>
      <w:r>
        <w:rPr>
          <w:rFonts w:ascii="Bookman Old Style" w:hAnsi="Bookman Old Style"/>
          <w:sz w:val="22"/>
        </w:rPr>
        <w:t xml:space="preserve"> women aged 80 and over resulted, as would be expected, in substantially higher adjusted case rates.  During the fourth pandemic wave, when all age groups were highly tested, there was little difference between reported cases, adjusted cases using males aged &lt; 10 as the referent, and adjusted </w:t>
      </w:r>
      <w:r w:rsidR="00A4063B">
        <w:rPr>
          <w:rFonts w:ascii="Bookman Old Style" w:hAnsi="Bookman Old Style"/>
          <w:sz w:val="22"/>
        </w:rPr>
        <w:t>cases using females 80 and over as the referent, as this was a period of high rates of testing.  Nonetheless, as shown in the graph below, using the most tested group (males under 10) as the referent for wave resulted in the highest adjusted case count during this wave, and an adjusted case count that exceeded reported cases.</w:t>
      </w:r>
    </w:p>
    <w:p w14:paraId="55110923" w14:textId="26E37C18" w:rsidR="005566F0" w:rsidRPr="005211BD" w:rsidRDefault="005566F0" w:rsidP="00307B80">
      <w:pPr>
        <w:spacing w:line="480" w:lineRule="auto"/>
        <w:rPr>
          <w:rFonts w:ascii="Bookman Old Style" w:hAnsi="Bookman Old Style"/>
          <w:sz w:val="22"/>
        </w:rPr>
      </w:pPr>
      <w:r>
        <w:rPr>
          <w:rFonts w:ascii="Bookman Old Style" w:hAnsi="Bookman Old Style"/>
          <w:noProof/>
          <w:sz w:val="22"/>
          <w14:ligatures w14:val="standardContextual"/>
        </w:rPr>
        <w:drawing>
          <wp:inline distT="0" distB="0" distL="0" distR="0" wp14:anchorId="001C756C" wp14:editId="37905F91">
            <wp:extent cx="6350000" cy="4618182"/>
            <wp:effectExtent l="0" t="0" r="0" b="5080"/>
            <wp:docPr id="17387237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23785" name="Picture 1738723785"/>
                    <pic:cNvPicPr/>
                  </pic:nvPicPr>
                  <pic:blipFill>
                    <a:blip r:embed="rId8"/>
                    <a:stretch>
                      <a:fillRect/>
                    </a:stretch>
                  </pic:blipFill>
                  <pic:spPr>
                    <a:xfrm>
                      <a:off x="0" y="0"/>
                      <a:ext cx="6351592" cy="4619340"/>
                    </a:xfrm>
                    <a:prstGeom prst="rect">
                      <a:avLst/>
                    </a:prstGeom>
                  </pic:spPr>
                </pic:pic>
              </a:graphicData>
            </a:graphic>
          </wp:inline>
        </w:drawing>
      </w:r>
    </w:p>
    <w:p w14:paraId="7C5DD24C" w14:textId="77777777" w:rsidR="00307B80" w:rsidRPr="005211BD" w:rsidRDefault="00307B80" w:rsidP="005211BD">
      <w:pPr>
        <w:spacing w:line="480" w:lineRule="auto"/>
        <w:rPr>
          <w:rFonts w:ascii="Bookman Old Style" w:hAnsi="Bookman Old Style"/>
          <w:b/>
          <w:bCs/>
          <w:sz w:val="22"/>
        </w:rPr>
      </w:pPr>
    </w:p>
    <w:p w14:paraId="738DC875" w14:textId="295A9473" w:rsidR="00310900" w:rsidRDefault="00310900" w:rsidP="00307B80">
      <w:pPr>
        <w:pStyle w:val="ListParagraph"/>
        <w:numPr>
          <w:ilvl w:val="0"/>
          <w:numId w:val="4"/>
        </w:numPr>
        <w:spacing w:line="480" w:lineRule="auto"/>
        <w:rPr>
          <w:rFonts w:ascii="Bookman Old Style" w:hAnsi="Bookman Old Style"/>
          <w:b/>
          <w:bCs/>
          <w:sz w:val="22"/>
        </w:rPr>
      </w:pPr>
      <w:r>
        <w:rPr>
          <w:rFonts w:ascii="Bookman Old Style" w:hAnsi="Bookman Old Style"/>
          <w:b/>
          <w:bCs/>
          <w:sz w:val="22"/>
        </w:rPr>
        <w:t>Lags from Case Identification to Death</w:t>
      </w:r>
    </w:p>
    <w:p w14:paraId="7927ECE6" w14:textId="1CF5EEC2" w:rsidR="00310900" w:rsidRPr="005211BD" w:rsidRDefault="00310900" w:rsidP="00310900">
      <w:pPr>
        <w:spacing w:line="480" w:lineRule="auto"/>
        <w:ind w:left="360"/>
        <w:rPr>
          <w:rFonts w:ascii="Bookman Old Style" w:hAnsi="Bookman Old Style"/>
          <w:sz w:val="22"/>
          <w:szCs w:val="22"/>
        </w:rPr>
      </w:pPr>
      <w:proofErr w:type="gramStart"/>
      <w:r>
        <w:rPr>
          <w:rFonts w:ascii="Bookman Old Style" w:hAnsi="Bookman Old Style"/>
          <w:sz w:val="22"/>
        </w:rPr>
        <w:lastRenderedPageBreak/>
        <w:t>In order to</w:t>
      </w:r>
      <w:proofErr w:type="gramEnd"/>
      <w:r>
        <w:rPr>
          <w:rFonts w:ascii="Bookman Old Style" w:hAnsi="Bookman Old Style"/>
          <w:sz w:val="22"/>
        </w:rPr>
        <w:t xml:space="preserve"> identify </w:t>
      </w:r>
      <w:r w:rsidRPr="004D4A64">
        <w:rPr>
          <w:rFonts w:ascii="Bookman Old Style" w:hAnsi="Bookman Old Style"/>
          <w:sz w:val="22"/>
          <w:szCs w:val="22"/>
        </w:rPr>
        <w:t xml:space="preserve">appropriate lags for analyses evaluating the relationship between case counts and subsequent deaths, we used Ontario’s Case Contact Management (CCM) dataset, as described elsewhere </w:t>
      </w:r>
      <w:r w:rsidRPr="005211BD">
        <w:rPr>
          <w:rFonts w:ascii="Bookman Old Style" w:hAnsi="Bookman Old Style"/>
          <w:sz w:val="22"/>
          <w:szCs w:val="22"/>
        </w:rPr>
        <w:fldChar w:fldCharType="begin">
          <w:fldData xml:space="preserve">PEVuZE5vdGU+PENpdGU+PEF1dGhvcj5GaXNtYW48L0F1dGhvcj48WWVhcj4yMDI0PC9ZZWFyPjxS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</w:fldData>
        </w:fldChar>
      </w:r>
      <w:r w:rsidR="005211BD">
        <w:rPr>
          <w:rFonts w:ascii="Bookman Old Style" w:hAnsi="Bookman Old Style"/>
          <w:sz w:val="22"/>
          <w:szCs w:val="22"/>
        </w:rPr>
        <w:instrText xml:space="preserve"> ADDIN EN.CITE </w:instrText>
      </w:r>
      <w:r w:rsidR="005211BD">
        <w:rPr>
          <w:rFonts w:ascii="Bookman Old Style" w:hAnsi="Bookman Old Style"/>
          <w:sz w:val="22"/>
          <w:szCs w:val="22"/>
        </w:rPr>
        <w:fldChar w:fldCharType="begin">
          <w:fldData xml:space="preserve">PEVuZE5vdGU+PENpdGU+PEF1dGhvcj5GaXNtYW48L0F1dGhvcj48WWVhcj4yMDI0PC9ZZWFyPjxS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</w:fldData>
        </w:fldChar>
      </w:r>
      <w:r w:rsidR="005211BD">
        <w:rPr>
          <w:rFonts w:ascii="Bookman Old Style" w:hAnsi="Bookman Old Style"/>
          <w:sz w:val="22"/>
          <w:szCs w:val="22"/>
        </w:rPr>
        <w:instrText xml:space="preserve"> ADDIN EN.CITE.DATA </w:instrText>
      </w:r>
      <w:r w:rsidR="005211BD">
        <w:rPr>
          <w:rFonts w:ascii="Bookman Old Style" w:hAnsi="Bookman Old Style"/>
          <w:sz w:val="22"/>
          <w:szCs w:val="22"/>
        </w:rPr>
      </w:r>
      <w:r w:rsidR="005211BD">
        <w:rPr>
          <w:rFonts w:ascii="Bookman Old Style" w:hAnsi="Bookman Old Style"/>
          <w:sz w:val="22"/>
          <w:szCs w:val="22"/>
        </w:rPr>
        <w:fldChar w:fldCharType="end"/>
      </w:r>
      <w:r w:rsidRPr="005211BD">
        <w:rPr>
          <w:rFonts w:ascii="Bookman Old Style" w:hAnsi="Bookman Old Style"/>
          <w:sz w:val="22"/>
          <w:szCs w:val="22"/>
        </w:rPr>
        <w:fldChar w:fldCharType="separate"/>
      </w:r>
      <w:r w:rsidR="005211BD">
        <w:rPr>
          <w:rFonts w:ascii="Bookman Old Style" w:hAnsi="Bookman Old Style"/>
          <w:noProof/>
          <w:sz w:val="22"/>
          <w:szCs w:val="22"/>
        </w:rPr>
        <w:t>(1-5)</w:t>
      </w:r>
      <w:r w:rsidRPr="005211BD">
        <w:rPr>
          <w:rFonts w:ascii="Bookman Old Style" w:hAnsi="Bookman Old Style"/>
          <w:sz w:val="22"/>
          <w:szCs w:val="22"/>
        </w:rPr>
        <w:fldChar w:fldCharType="end"/>
      </w:r>
      <w:r w:rsidRPr="005211BD">
        <w:rPr>
          <w:rFonts w:ascii="Bookman Old Style" w:hAnsi="Bookman Old Style"/>
          <w:sz w:val="22"/>
          <w:szCs w:val="22"/>
        </w:rPr>
        <w:t xml:space="preserve">.  The graph below plots lag between SARS-CoV-2 test positivity and death date for 14,021 individuals with documented death date.  The analysis was truncated </w:t>
      </w:r>
      <w:proofErr w:type="gramStart"/>
      <w:r w:rsidRPr="005211BD">
        <w:rPr>
          <w:rFonts w:ascii="Bookman Old Style" w:hAnsi="Bookman Old Style"/>
          <w:sz w:val="22"/>
          <w:szCs w:val="22"/>
        </w:rPr>
        <w:t>at</w:t>
      </w:r>
      <w:proofErr w:type="gramEnd"/>
      <w:r w:rsidRPr="005211BD">
        <w:rPr>
          <w:rFonts w:ascii="Bookman Old Style" w:hAnsi="Bookman Old Style"/>
          <w:sz w:val="22"/>
          <w:szCs w:val="22"/>
        </w:rPr>
        <w:t xml:space="preserve"> May 25, 2022</w:t>
      </w:r>
      <w:r w:rsidR="00116BA3" w:rsidRPr="005211BD">
        <w:rPr>
          <w:rFonts w:ascii="Bookman Old Style" w:hAnsi="Bookman Old Style"/>
          <w:sz w:val="22"/>
          <w:szCs w:val="22"/>
        </w:rPr>
        <w:t xml:space="preserve"> due to possible delays in death reporting.  The graph below is restricted to death dates occurring up to 100 days after test positivity.  Median time to death was 11 days (red dashed line); mean was 16 days (brown dashed line); the 25</w:t>
      </w:r>
      <w:r w:rsidR="00116BA3" w:rsidRPr="005211BD">
        <w:rPr>
          <w:rFonts w:ascii="Bookman Old Style" w:hAnsi="Bookman Old Style"/>
          <w:sz w:val="22"/>
          <w:szCs w:val="22"/>
          <w:vertAlign w:val="superscript"/>
        </w:rPr>
        <w:t>th</w:t>
      </w:r>
      <w:r w:rsidR="00116BA3" w:rsidRPr="005211BD">
        <w:rPr>
          <w:rFonts w:ascii="Bookman Old Style" w:hAnsi="Bookman Old Style"/>
          <w:sz w:val="22"/>
          <w:szCs w:val="22"/>
        </w:rPr>
        <w:t xml:space="preserve"> and 75</w:t>
      </w:r>
      <w:r w:rsidR="00116BA3" w:rsidRPr="005211BD">
        <w:rPr>
          <w:rFonts w:ascii="Bookman Old Style" w:hAnsi="Bookman Old Style"/>
          <w:sz w:val="22"/>
          <w:szCs w:val="22"/>
          <w:vertAlign w:val="superscript"/>
        </w:rPr>
        <w:t>th</w:t>
      </w:r>
      <w:r w:rsidR="00116BA3" w:rsidRPr="005211BD">
        <w:rPr>
          <w:rFonts w:ascii="Bookman Old Style" w:hAnsi="Bookman Old Style"/>
          <w:sz w:val="22"/>
          <w:szCs w:val="22"/>
        </w:rPr>
        <w:t xml:space="preserve"> percentiles were 5 and 18 days respectively (dashed blue lines).  The distribution shows marked right-skewing.</w:t>
      </w:r>
    </w:p>
    <w:p w14:paraId="71800B07" w14:textId="301D26F1" w:rsidR="00856732" w:rsidRDefault="00116BA3" w:rsidP="00310900">
      <w:pPr>
        <w:spacing w:line="480" w:lineRule="auto"/>
        <w:ind w:left="360"/>
        <w:rPr>
          <w:rFonts w:ascii="Bookman Old Style" w:hAnsi="Bookman Old Style"/>
          <w:b/>
          <w:bCs/>
          <w:sz w:val="22"/>
        </w:rPr>
      </w:pPr>
      <w:r>
        <w:rPr>
          <w:rFonts w:ascii="Bookman Old Style" w:hAnsi="Bookman Old Style"/>
          <w:b/>
          <w:bCs/>
          <w:noProof/>
          <w:sz w:val="22"/>
          <w14:ligatures w14:val="standardContextual"/>
        </w:rPr>
        <w:drawing>
          <wp:inline distT="0" distB="0" distL="0" distR="0" wp14:anchorId="6B4D818D" wp14:editId="4202D597">
            <wp:extent cx="5998779" cy="4362748"/>
            <wp:effectExtent l="0" t="0" r="0" b="0"/>
            <wp:docPr id="573200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00557" name="Picture 573200557"/>
                    <pic:cNvPicPr/>
                  </pic:nvPicPr>
                  <pic:blipFill>
                    <a:blip r:embed="rId9"/>
                    <a:stretch>
                      <a:fillRect/>
                    </a:stretch>
                  </pic:blipFill>
                  <pic:spPr>
                    <a:xfrm>
                      <a:off x="0" y="0"/>
                      <a:ext cx="6011031" cy="4371659"/>
                    </a:xfrm>
                    <a:prstGeom prst="rect">
                      <a:avLst/>
                    </a:prstGeom>
                  </pic:spPr>
                </pic:pic>
              </a:graphicData>
            </a:graphic>
          </wp:inline>
        </w:drawing>
      </w:r>
    </w:p>
    <w:p w14:paraId="696BC696" w14:textId="77777777" w:rsidR="00856732" w:rsidRDefault="00856732">
      <w:pPr>
        <w:rPr>
          <w:rFonts w:ascii="Bookman Old Style" w:hAnsi="Bookman Old Style"/>
          <w:b/>
          <w:bCs/>
          <w:sz w:val="22"/>
        </w:rPr>
      </w:pPr>
      <w:r>
        <w:rPr>
          <w:rFonts w:ascii="Bookman Old Style" w:hAnsi="Bookman Old Style"/>
          <w:b/>
          <w:bCs/>
          <w:sz w:val="22"/>
        </w:rPr>
        <w:br w:type="page"/>
      </w:r>
    </w:p>
    <w:p w14:paraId="023039C5" w14:textId="4D6E5788" w:rsidR="0009626D" w:rsidRPr="005211BD" w:rsidRDefault="00307B80" w:rsidP="0009626D">
      <w:pPr>
        <w:pStyle w:val="ListParagraph"/>
        <w:numPr>
          <w:ilvl w:val="0"/>
          <w:numId w:val="4"/>
        </w:numPr>
        <w:spacing w:line="480" w:lineRule="auto"/>
        <w:rPr>
          <w:rFonts w:ascii="Bookman Old Style" w:hAnsi="Bookman Old Style"/>
          <w:b/>
          <w:bCs/>
          <w:sz w:val="22"/>
        </w:rPr>
      </w:pPr>
      <w:r w:rsidRPr="005211BD">
        <w:rPr>
          <w:rFonts w:ascii="Bookman Old Style" w:hAnsi="Bookman Old Style"/>
          <w:b/>
          <w:bCs/>
          <w:sz w:val="22"/>
        </w:rPr>
        <w:lastRenderedPageBreak/>
        <w:t>Spearman Correlation Coefficients by Pandemic Wave</w:t>
      </w:r>
    </w:p>
    <w:p w14:paraId="7C146825" w14:textId="14110E3C" w:rsidR="005D65BC" w:rsidRPr="005211BD" w:rsidRDefault="00856732" w:rsidP="0009626D">
      <w:pPr>
        <w:spacing w:line="480" w:lineRule="auto"/>
        <w:rPr>
          <w:rFonts w:ascii="Bookman Old Style" w:hAnsi="Bookman Old Style"/>
          <w:b/>
          <w:bCs/>
          <w:sz w:val="22"/>
        </w:rPr>
      </w:pPr>
      <w:r w:rsidRPr="005211BD">
        <w:rPr>
          <w:rFonts w:ascii="Bookman Old Style" w:hAnsi="Bookman Old Style"/>
          <w:sz w:val="22"/>
        </w:rPr>
        <w:t xml:space="preserve">In addition to estimating overall Spearman correlation </w:t>
      </w:r>
      <w:r w:rsidR="005D65BC" w:rsidRPr="005211BD">
        <w:rPr>
          <w:rFonts w:ascii="Bookman Old Style" w:hAnsi="Bookman Old Style"/>
          <w:sz w:val="22"/>
        </w:rPr>
        <w:t xml:space="preserve">coefficients for reported cases and lagged deaths, and adjusted cases and lagged deaths, we evaluated coefficients wave by wave.  The table below presents correlation coefficients with </w:t>
      </w:r>
      <w:r w:rsidR="007028F7" w:rsidRPr="005211BD">
        <w:rPr>
          <w:rFonts w:ascii="Bookman Old Style" w:hAnsi="Bookman Old Style"/>
          <w:sz w:val="22"/>
        </w:rPr>
        <w:t xml:space="preserve">bootstrapped 95% confidence intervals, P-values for </w:t>
      </w:r>
      <w:r w:rsidR="005D65BC" w:rsidRPr="005211BD">
        <w:rPr>
          <w:rFonts w:ascii="Bookman Old Style" w:hAnsi="Bookman Old Style"/>
          <w:sz w:val="22"/>
        </w:rPr>
        <w:t>non-</w:t>
      </w:r>
      <w:r w:rsidR="007028F7" w:rsidRPr="005211BD">
        <w:rPr>
          <w:rFonts w:ascii="Bookman Old Style" w:hAnsi="Bookman Old Style"/>
          <w:sz w:val="22"/>
        </w:rPr>
        <w:t>independence</w:t>
      </w:r>
      <w:r w:rsidR="005D65BC" w:rsidRPr="005211BD">
        <w:rPr>
          <w:rFonts w:ascii="Bookman Old Style" w:hAnsi="Bookman Old Style"/>
          <w:sz w:val="22"/>
        </w:rPr>
        <w:t xml:space="preserve"> of cases and deaths</w:t>
      </w:r>
      <w:r w:rsidR="007028F7" w:rsidRPr="005211BD">
        <w:rPr>
          <w:rFonts w:ascii="Bookman Old Style" w:hAnsi="Bookman Old Style"/>
          <w:sz w:val="22"/>
        </w:rPr>
        <w:t>, and P-values comparing Spearman correlations</w:t>
      </w:r>
      <w:r w:rsidR="005D65BC" w:rsidRPr="005211BD">
        <w:rPr>
          <w:rFonts w:ascii="Bookman Old Style" w:hAnsi="Bookman Old Style"/>
          <w:sz w:val="22"/>
        </w:rPr>
        <w:t xml:space="preserve"> for adjusted and reported cases, estimated using </w:t>
      </w:r>
      <w:r w:rsidR="005D65BC" w:rsidRPr="005211BD">
        <w:rPr>
          <w:rFonts w:ascii="Bookman Old Style" w:hAnsi="Bookman Old Style"/>
          <w:sz w:val="22"/>
          <w:szCs w:val="22"/>
        </w:rPr>
        <w:t xml:space="preserve">Fisher's Z-transformation.  On a </w:t>
      </w:r>
      <w:r w:rsidR="00B265F1" w:rsidRPr="00B265F1">
        <w:rPr>
          <w:rFonts w:ascii="Bookman Old Style" w:hAnsi="Bookman Old Style"/>
          <w:sz w:val="22"/>
          <w:szCs w:val="22"/>
        </w:rPr>
        <w:t>wave-by-wave</w:t>
      </w:r>
      <w:r w:rsidR="005D65BC" w:rsidRPr="005211BD">
        <w:rPr>
          <w:rFonts w:ascii="Bookman Old Style" w:hAnsi="Bookman Old Style"/>
          <w:sz w:val="22"/>
          <w:szCs w:val="22"/>
        </w:rPr>
        <w:t xml:space="preserve"> basis, correlations estimated with reported cases, and adjusted cases, were similar</w:t>
      </w:r>
      <w:r w:rsidR="0009626D" w:rsidRPr="005211BD">
        <w:rPr>
          <w:rFonts w:ascii="Bookman Old Style" w:hAnsi="Bookman Old Style"/>
          <w:sz w:val="22"/>
          <w:szCs w:val="22"/>
        </w:rPr>
        <w:t xml:space="preserve"> for all waves except wave 6.</w:t>
      </w:r>
    </w:p>
    <w:tbl>
      <w:tblPr>
        <w:tblStyle w:val="TableGrid"/>
        <w:tblW w:w="11057" w:type="dxa"/>
        <w:tblInd w:w="-572" w:type="dxa"/>
        <w:tblLayout w:type="fixed"/>
        <w:tblLook w:val="04A0" w:firstRow="1" w:lastRow="0" w:firstColumn="1" w:lastColumn="0" w:noHBand="0" w:noVBand="1"/>
      </w:tblPr>
      <w:tblGrid>
        <w:gridCol w:w="908"/>
        <w:gridCol w:w="1257"/>
        <w:gridCol w:w="784"/>
        <w:gridCol w:w="784"/>
        <w:gridCol w:w="1480"/>
        <w:gridCol w:w="1308"/>
        <w:gridCol w:w="734"/>
        <w:gridCol w:w="826"/>
        <w:gridCol w:w="1417"/>
        <w:gridCol w:w="1559"/>
      </w:tblGrid>
      <w:tr w:rsidR="0009626D" w:rsidRPr="005D65BC" w14:paraId="7C6AEEC8" w14:textId="77777777" w:rsidTr="005211BD">
        <w:trPr>
          <w:trHeight w:val="331"/>
        </w:trPr>
        <w:tc>
          <w:tcPr>
            <w:tcW w:w="908" w:type="dxa"/>
            <w:vMerge w:val="restart"/>
            <w:hideMark/>
          </w:tcPr>
          <w:p w14:paraId="5DC47258" w14:textId="77777777" w:rsidR="005D65BC" w:rsidRPr="005211BD" w:rsidRDefault="005D65BC" w:rsidP="005D65BC">
            <w:pPr>
              <w:spacing w:line="480" w:lineRule="auto"/>
              <w:rPr>
                <w:rFonts w:ascii="Bookman Old Style" w:hAnsi="Bookman Old Style"/>
                <w:b/>
                <w:bCs/>
                <w:sz w:val="18"/>
                <w:szCs w:val="18"/>
              </w:rPr>
            </w:pPr>
            <w:r w:rsidRPr="005211BD">
              <w:rPr>
                <w:rFonts w:ascii="Bookman Old Style" w:hAnsi="Bookman Old Style"/>
                <w:b/>
                <w:bCs/>
                <w:sz w:val="18"/>
                <w:szCs w:val="18"/>
              </w:rPr>
              <w:t>Wave</w:t>
            </w:r>
          </w:p>
        </w:tc>
        <w:tc>
          <w:tcPr>
            <w:tcW w:w="4305" w:type="dxa"/>
            <w:gridSpan w:val="4"/>
            <w:hideMark/>
          </w:tcPr>
          <w:p w14:paraId="54638E68" w14:textId="77777777" w:rsidR="005D65BC" w:rsidRPr="005211BD" w:rsidRDefault="005D65BC" w:rsidP="005211BD">
            <w:pPr>
              <w:spacing w:line="480" w:lineRule="auto"/>
              <w:jc w:val="center"/>
              <w:rPr>
                <w:rFonts w:ascii="Bookman Old Style" w:hAnsi="Bookman Old Style"/>
                <w:b/>
                <w:bCs/>
                <w:sz w:val="18"/>
                <w:szCs w:val="18"/>
              </w:rPr>
            </w:pPr>
            <w:r w:rsidRPr="005211BD">
              <w:rPr>
                <w:rFonts w:ascii="Bookman Old Style" w:hAnsi="Bookman Old Style"/>
                <w:b/>
                <w:bCs/>
                <w:sz w:val="18"/>
                <w:szCs w:val="18"/>
              </w:rPr>
              <w:t>Reported Cases</w:t>
            </w:r>
          </w:p>
        </w:tc>
        <w:tc>
          <w:tcPr>
            <w:tcW w:w="4285" w:type="dxa"/>
            <w:gridSpan w:val="4"/>
            <w:hideMark/>
          </w:tcPr>
          <w:p w14:paraId="0A5B0FF7" w14:textId="77777777" w:rsidR="005D65BC" w:rsidRPr="005211BD" w:rsidRDefault="005D65BC" w:rsidP="005211BD">
            <w:pPr>
              <w:spacing w:line="480" w:lineRule="auto"/>
              <w:jc w:val="center"/>
              <w:rPr>
                <w:rFonts w:ascii="Bookman Old Style" w:hAnsi="Bookman Old Style"/>
                <w:b/>
                <w:bCs/>
                <w:sz w:val="18"/>
                <w:szCs w:val="18"/>
              </w:rPr>
            </w:pPr>
            <w:r w:rsidRPr="005211BD">
              <w:rPr>
                <w:rFonts w:ascii="Bookman Old Style" w:hAnsi="Bookman Old Style"/>
                <w:b/>
                <w:bCs/>
                <w:sz w:val="18"/>
                <w:szCs w:val="18"/>
              </w:rPr>
              <w:t>Adjusted cases</w:t>
            </w:r>
          </w:p>
        </w:tc>
        <w:tc>
          <w:tcPr>
            <w:tcW w:w="1559" w:type="dxa"/>
            <w:vMerge w:val="restart"/>
            <w:hideMark/>
          </w:tcPr>
          <w:p w14:paraId="62802496" w14:textId="77777777" w:rsidR="005D65BC" w:rsidRPr="005211BD" w:rsidRDefault="005D65BC" w:rsidP="005D65BC">
            <w:pPr>
              <w:spacing w:line="480" w:lineRule="auto"/>
              <w:rPr>
                <w:rFonts w:ascii="Bookman Old Style" w:hAnsi="Bookman Old Style"/>
                <w:b/>
                <w:bCs/>
                <w:sz w:val="16"/>
                <w:szCs w:val="16"/>
              </w:rPr>
            </w:pPr>
            <w:r w:rsidRPr="005211BD">
              <w:rPr>
                <w:rFonts w:ascii="Bookman Old Style" w:hAnsi="Bookman Old Style"/>
                <w:b/>
                <w:bCs/>
                <w:sz w:val="16"/>
                <w:szCs w:val="16"/>
              </w:rPr>
              <w:t>P-value (based on Fisher Z-transformation)</w:t>
            </w:r>
          </w:p>
        </w:tc>
      </w:tr>
      <w:tr w:rsidR="0009626D" w:rsidRPr="005D65BC" w14:paraId="49BA81AD" w14:textId="77777777" w:rsidTr="005211BD">
        <w:trPr>
          <w:trHeight w:val="1082"/>
        </w:trPr>
        <w:tc>
          <w:tcPr>
            <w:tcW w:w="908" w:type="dxa"/>
            <w:vMerge/>
            <w:hideMark/>
          </w:tcPr>
          <w:p w14:paraId="0388CBB1" w14:textId="77777777" w:rsidR="005D65BC" w:rsidRPr="005211BD" w:rsidRDefault="005D65BC" w:rsidP="005D65BC">
            <w:pPr>
              <w:spacing w:line="480" w:lineRule="auto"/>
              <w:rPr>
                <w:rFonts w:ascii="Bookman Old Style" w:hAnsi="Bookman Old Style"/>
                <w:sz w:val="18"/>
                <w:szCs w:val="18"/>
              </w:rPr>
            </w:pPr>
          </w:p>
        </w:tc>
        <w:tc>
          <w:tcPr>
            <w:tcW w:w="1257" w:type="dxa"/>
            <w:hideMark/>
          </w:tcPr>
          <w:p w14:paraId="31FAF76E" w14:textId="77777777" w:rsidR="005D65BC" w:rsidRPr="005211BD" w:rsidRDefault="005D65BC" w:rsidP="005211BD">
            <w:pPr>
              <w:spacing w:line="480" w:lineRule="auto"/>
              <w:jc w:val="center"/>
              <w:rPr>
                <w:rFonts w:ascii="Bookman Old Style" w:hAnsi="Bookman Old Style"/>
                <w:b/>
                <w:bCs/>
                <w:sz w:val="16"/>
                <w:szCs w:val="16"/>
              </w:rPr>
            </w:pPr>
            <w:r w:rsidRPr="005211BD">
              <w:rPr>
                <w:rFonts w:ascii="Bookman Old Style" w:hAnsi="Bookman Old Style"/>
                <w:b/>
                <w:bCs/>
                <w:sz w:val="16"/>
                <w:szCs w:val="16"/>
              </w:rPr>
              <w:t>Spearman's rho</w:t>
            </w:r>
          </w:p>
        </w:tc>
        <w:tc>
          <w:tcPr>
            <w:tcW w:w="784" w:type="dxa"/>
            <w:hideMark/>
          </w:tcPr>
          <w:p w14:paraId="03F2FE4C" w14:textId="77777777" w:rsidR="005D65BC" w:rsidRPr="005211BD" w:rsidRDefault="005D65BC" w:rsidP="005211BD">
            <w:pPr>
              <w:spacing w:line="480" w:lineRule="auto"/>
              <w:jc w:val="center"/>
              <w:rPr>
                <w:rFonts w:ascii="Bookman Old Style" w:hAnsi="Bookman Old Style"/>
                <w:b/>
                <w:bCs/>
                <w:sz w:val="18"/>
                <w:szCs w:val="18"/>
              </w:rPr>
            </w:pPr>
            <w:r w:rsidRPr="005211BD">
              <w:rPr>
                <w:rFonts w:ascii="Bookman Old Style" w:hAnsi="Bookman Old Style"/>
                <w:b/>
                <w:bCs/>
                <w:sz w:val="18"/>
                <w:szCs w:val="18"/>
              </w:rPr>
              <w:t>LCL</w:t>
            </w:r>
          </w:p>
        </w:tc>
        <w:tc>
          <w:tcPr>
            <w:tcW w:w="784" w:type="dxa"/>
            <w:hideMark/>
          </w:tcPr>
          <w:p w14:paraId="1C125A17" w14:textId="77777777" w:rsidR="005D65BC" w:rsidRPr="005211BD" w:rsidRDefault="005D65BC" w:rsidP="005211BD">
            <w:pPr>
              <w:spacing w:line="480" w:lineRule="auto"/>
              <w:jc w:val="center"/>
              <w:rPr>
                <w:rFonts w:ascii="Bookman Old Style" w:hAnsi="Bookman Old Style"/>
                <w:b/>
                <w:bCs/>
                <w:sz w:val="18"/>
                <w:szCs w:val="18"/>
              </w:rPr>
            </w:pPr>
            <w:r w:rsidRPr="005211BD">
              <w:rPr>
                <w:rFonts w:ascii="Bookman Old Style" w:hAnsi="Bookman Old Style"/>
                <w:b/>
                <w:bCs/>
                <w:sz w:val="18"/>
                <w:szCs w:val="18"/>
              </w:rPr>
              <w:t>UCL</w:t>
            </w:r>
          </w:p>
        </w:tc>
        <w:tc>
          <w:tcPr>
            <w:tcW w:w="1480" w:type="dxa"/>
            <w:hideMark/>
          </w:tcPr>
          <w:p w14:paraId="0716EBD7" w14:textId="77777777" w:rsidR="005D65BC" w:rsidRPr="005211BD" w:rsidRDefault="005D65BC" w:rsidP="005211BD">
            <w:pPr>
              <w:spacing w:line="480" w:lineRule="auto"/>
              <w:jc w:val="center"/>
              <w:rPr>
                <w:rFonts w:ascii="Bookman Old Style" w:hAnsi="Bookman Old Style"/>
                <w:b/>
                <w:bCs/>
                <w:sz w:val="16"/>
                <w:szCs w:val="16"/>
              </w:rPr>
            </w:pPr>
            <w:r w:rsidRPr="005211BD">
              <w:rPr>
                <w:rFonts w:ascii="Bookman Old Style" w:hAnsi="Bookman Old Style"/>
                <w:b/>
                <w:bCs/>
                <w:sz w:val="16"/>
                <w:szCs w:val="16"/>
              </w:rPr>
              <w:t>P for non-independence</w:t>
            </w:r>
          </w:p>
        </w:tc>
        <w:tc>
          <w:tcPr>
            <w:tcW w:w="1308" w:type="dxa"/>
            <w:hideMark/>
          </w:tcPr>
          <w:p w14:paraId="15625586" w14:textId="77777777" w:rsidR="005D65BC" w:rsidRPr="005211BD" w:rsidRDefault="005D65BC" w:rsidP="005211BD">
            <w:pPr>
              <w:spacing w:line="480" w:lineRule="auto"/>
              <w:jc w:val="center"/>
              <w:rPr>
                <w:rFonts w:ascii="Bookman Old Style" w:hAnsi="Bookman Old Style"/>
                <w:b/>
                <w:bCs/>
                <w:sz w:val="16"/>
                <w:szCs w:val="16"/>
              </w:rPr>
            </w:pPr>
            <w:r w:rsidRPr="005211BD">
              <w:rPr>
                <w:rFonts w:ascii="Bookman Old Style" w:hAnsi="Bookman Old Style"/>
                <w:b/>
                <w:bCs/>
                <w:sz w:val="16"/>
                <w:szCs w:val="16"/>
              </w:rPr>
              <w:t>Spearman's rho</w:t>
            </w:r>
          </w:p>
        </w:tc>
        <w:tc>
          <w:tcPr>
            <w:tcW w:w="734" w:type="dxa"/>
            <w:hideMark/>
          </w:tcPr>
          <w:p w14:paraId="7877B4EB" w14:textId="77777777" w:rsidR="005D65BC" w:rsidRPr="005211BD" w:rsidRDefault="005D65BC" w:rsidP="005211BD">
            <w:pPr>
              <w:spacing w:line="480" w:lineRule="auto"/>
              <w:jc w:val="center"/>
              <w:rPr>
                <w:rFonts w:ascii="Bookman Old Style" w:hAnsi="Bookman Old Style"/>
                <w:b/>
                <w:bCs/>
                <w:sz w:val="18"/>
                <w:szCs w:val="18"/>
              </w:rPr>
            </w:pPr>
            <w:r w:rsidRPr="005211BD">
              <w:rPr>
                <w:rFonts w:ascii="Bookman Old Style" w:hAnsi="Bookman Old Style"/>
                <w:b/>
                <w:bCs/>
                <w:sz w:val="18"/>
                <w:szCs w:val="18"/>
              </w:rPr>
              <w:t>LCL</w:t>
            </w:r>
          </w:p>
        </w:tc>
        <w:tc>
          <w:tcPr>
            <w:tcW w:w="826" w:type="dxa"/>
            <w:hideMark/>
          </w:tcPr>
          <w:p w14:paraId="236480E7" w14:textId="77777777" w:rsidR="005D65BC" w:rsidRPr="005211BD" w:rsidRDefault="005D65BC" w:rsidP="005211BD">
            <w:pPr>
              <w:spacing w:line="480" w:lineRule="auto"/>
              <w:jc w:val="center"/>
              <w:rPr>
                <w:rFonts w:ascii="Bookman Old Style" w:hAnsi="Bookman Old Style"/>
                <w:b/>
                <w:bCs/>
                <w:sz w:val="18"/>
                <w:szCs w:val="18"/>
              </w:rPr>
            </w:pPr>
            <w:r w:rsidRPr="005211BD">
              <w:rPr>
                <w:rFonts w:ascii="Bookman Old Style" w:hAnsi="Bookman Old Style"/>
                <w:b/>
                <w:bCs/>
                <w:sz w:val="18"/>
                <w:szCs w:val="18"/>
              </w:rPr>
              <w:t>UCL</w:t>
            </w:r>
          </w:p>
        </w:tc>
        <w:tc>
          <w:tcPr>
            <w:tcW w:w="1417" w:type="dxa"/>
            <w:hideMark/>
          </w:tcPr>
          <w:p w14:paraId="61B1D630" w14:textId="77777777" w:rsidR="005D65BC" w:rsidRPr="005211BD" w:rsidRDefault="005D65BC" w:rsidP="005211BD">
            <w:pPr>
              <w:spacing w:line="480" w:lineRule="auto"/>
              <w:jc w:val="center"/>
              <w:rPr>
                <w:rFonts w:ascii="Bookman Old Style" w:hAnsi="Bookman Old Style"/>
                <w:b/>
                <w:bCs/>
                <w:sz w:val="16"/>
                <w:szCs w:val="16"/>
              </w:rPr>
            </w:pPr>
            <w:r w:rsidRPr="005211BD">
              <w:rPr>
                <w:rFonts w:ascii="Bookman Old Style" w:hAnsi="Bookman Old Style"/>
                <w:b/>
                <w:bCs/>
                <w:sz w:val="16"/>
                <w:szCs w:val="16"/>
              </w:rPr>
              <w:t>P for non-independence</w:t>
            </w:r>
          </w:p>
        </w:tc>
        <w:tc>
          <w:tcPr>
            <w:tcW w:w="1559" w:type="dxa"/>
            <w:vMerge/>
            <w:hideMark/>
          </w:tcPr>
          <w:p w14:paraId="7E72D915" w14:textId="77777777" w:rsidR="005D65BC" w:rsidRPr="005211BD" w:rsidRDefault="005D65BC" w:rsidP="005D65BC">
            <w:pPr>
              <w:spacing w:line="480" w:lineRule="auto"/>
              <w:rPr>
                <w:rFonts w:ascii="Bookman Old Style" w:hAnsi="Bookman Old Style"/>
                <w:sz w:val="18"/>
                <w:szCs w:val="18"/>
              </w:rPr>
            </w:pPr>
          </w:p>
        </w:tc>
      </w:tr>
      <w:tr w:rsidR="0009626D" w:rsidRPr="005D65BC" w14:paraId="27608FC5" w14:textId="77777777" w:rsidTr="005211BD">
        <w:trPr>
          <w:trHeight w:val="353"/>
        </w:trPr>
        <w:tc>
          <w:tcPr>
            <w:tcW w:w="908" w:type="dxa"/>
            <w:hideMark/>
          </w:tcPr>
          <w:p w14:paraId="4F9047A0" w14:textId="77777777" w:rsidR="005D65BC" w:rsidRPr="005211BD" w:rsidRDefault="005D65BC" w:rsidP="005D65BC">
            <w:pPr>
              <w:spacing w:line="480" w:lineRule="auto"/>
              <w:rPr>
                <w:rFonts w:ascii="Bookman Old Style" w:hAnsi="Bookman Old Style"/>
                <w:sz w:val="18"/>
                <w:szCs w:val="18"/>
              </w:rPr>
            </w:pPr>
            <w:r w:rsidRPr="005211BD">
              <w:rPr>
                <w:rFonts w:ascii="Bookman Old Style" w:hAnsi="Bookman Old Style"/>
                <w:sz w:val="18"/>
                <w:szCs w:val="18"/>
              </w:rPr>
              <w:t>Overall</w:t>
            </w:r>
          </w:p>
        </w:tc>
        <w:tc>
          <w:tcPr>
            <w:tcW w:w="1257" w:type="dxa"/>
            <w:hideMark/>
          </w:tcPr>
          <w:p w14:paraId="6D189CA4"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0.758</w:t>
            </w:r>
          </w:p>
        </w:tc>
        <w:tc>
          <w:tcPr>
            <w:tcW w:w="784" w:type="dxa"/>
            <w:hideMark/>
          </w:tcPr>
          <w:p w14:paraId="643E1F69"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0.644</w:t>
            </w:r>
          </w:p>
        </w:tc>
        <w:tc>
          <w:tcPr>
            <w:tcW w:w="784" w:type="dxa"/>
            <w:hideMark/>
          </w:tcPr>
          <w:p w14:paraId="3E47E546"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0.872</w:t>
            </w:r>
          </w:p>
        </w:tc>
        <w:tc>
          <w:tcPr>
            <w:tcW w:w="1480" w:type="dxa"/>
            <w:hideMark/>
          </w:tcPr>
          <w:p w14:paraId="67337802"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308" w:type="dxa"/>
            <w:hideMark/>
          </w:tcPr>
          <w:p w14:paraId="3C8FCCCD"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0.820</w:t>
            </w:r>
          </w:p>
        </w:tc>
        <w:tc>
          <w:tcPr>
            <w:tcW w:w="734" w:type="dxa"/>
            <w:hideMark/>
          </w:tcPr>
          <w:p w14:paraId="73B0B9C6"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0.735</w:t>
            </w:r>
          </w:p>
        </w:tc>
        <w:tc>
          <w:tcPr>
            <w:tcW w:w="826" w:type="dxa"/>
            <w:hideMark/>
          </w:tcPr>
          <w:p w14:paraId="5DD3D0F2"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0.905</w:t>
            </w:r>
          </w:p>
        </w:tc>
        <w:tc>
          <w:tcPr>
            <w:tcW w:w="1417" w:type="dxa"/>
            <w:hideMark/>
          </w:tcPr>
          <w:p w14:paraId="2203C309"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559" w:type="dxa"/>
            <w:hideMark/>
          </w:tcPr>
          <w:p w14:paraId="055DF20F"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0.188</w:t>
            </w:r>
          </w:p>
        </w:tc>
      </w:tr>
      <w:tr w:rsidR="0009626D" w:rsidRPr="005D65BC" w14:paraId="7FC80796" w14:textId="77777777" w:rsidTr="005211BD">
        <w:trPr>
          <w:trHeight w:val="353"/>
        </w:trPr>
        <w:tc>
          <w:tcPr>
            <w:tcW w:w="908" w:type="dxa"/>
            <w:hideMark/>
          </w:tcPr>
          <w:p w14:paraId="4ABA61F4" w14:textId="77777777" w:rsidR="005D65BC" w:rsidRPr="005211BD" w:rsidRDefault="005D65BC" w:rsidP="005D65BC">
            <w:pPr>
              <w:spacing w:line="480" w:lineRule="auto"/>
              <w:rPr>
                <w:rFonts w:ascii="Bookman Old Style" w:hAnsi="Bookman Old Style"/>
                <w:sz w:val="18"/>
                <w:szCs w:val="18"/>
              </w:rPr>
            </w:pPr>
            <w:r w:rsidRPr="005211BD">
              <w:rPr>
                <w:rFonts w:ascii="Bookman Old Style" w:hAnsi="Bookman Old Style"/>
                <w:sz w:val="18"/>
                <w:szCs w:val="18"/>
              </w:rPr>
              <w:t>1</w:t>
            </w:r>
          </w:p>
        </w:tc>
        <w:tc>
          <w:tcPr>
            <w:tcW w:w="1257" w:type="dxa"/>
            <w:hideMark/>
          </w:tcPr>
          <w:p w14:paraId="6B4CBD0F"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0.877</w:t>
            </w:r>
          </w:p>
        </w:tc>
        <w:tc>
          <w:tcPr>
            <w:tcW w:w="784" w:type="dxa"/>
            <w:hideMark/>
          </w:tcPr>
          <w:p w14:paraId="79FDD47E"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0.689</w:t>
            </w:r>
          </w:p>
        </w:tc>
        <w:tc>
          <w:tcPr>
            <w:tcW w:w="784" w:type="dxa"/>
            <w:hideMark/>
          </w:tcPr>
          <w:p w14:paraId="19CDE322"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0.970</w:t>
            </w:r>
          </w:p>
        </w:tc>
        <w:tc>
          <w:tcPr>
            <w:tcW w:w="1480" w:type="dxa"/>
            <w:hideMark/>
          </w:tcPr>
          <w:p w14:paraId="0A8F3E7C"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308" w:type="dxa"/>
            <w:noWrap/>
            <w:hideMark/>
          </w:tcPr>
          <w:p w14:paraId="345CD830"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0.889</w:t>
            </w:r>
          </w:p>
        </w:tc>
        <w:tc>
          <w:tcPr>
            <w:tcW w:w="734" w:type="dxa"/>
            <w:noWrap/>
            <w:hideMark/>
          </w:tcPr>
          <w:p w14:paraId="68DE8BAB"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0.729</w:t>
            </w:r>
          </w:p>
        </w:tc>
        <w:tc>
          <w:tcPr>
            <w:tcW w:w="826" w:type="dxa"/>
            <w:noWrap/>
            <w:hideMark/>
          </w:tcPr>
          <w:p w14:paraId="3CA0FDFB"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0.974</w:t>
            </w:r>
          </w:p>
        </w:tc>
        <w:tc>
          <w:tcPr>
            <w:tcW w:w="1417" w:type="dxa"/>
            <w:hideMark/>
          </w:tcPr>
          <w:p w14:paraId="073C5E61"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559" w:type="dxa"/>
            <w:hideMark/>
          </w:tcPr>
          <w:p w14:paraId="31FD5AB3"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0.847</w:t>
            </w:r>
          </w:p>
        </w:tc>
      </w:tr>
      <w:tr w:rsidR="0009626D" w:rsidRPr="005D65BC" w14:paraId="1EBC26F2" w14:textId="77777777" w:rsidTr="005211BD">
        <w:trPr>
          <w:trHeight w:val="353"/>
        </w:trPr>
        <w:tc>
          <w:tcPr>
            <w:tcW w:w="908" w:type="dxa"/>
            <w:hideMark/>
          </w:tcPr>
          <w:p w14:paraId="49C2E742" w14:textId="77777777" w:rsidR="005D65BC" w:rsidRPr="005211BD" w:rsidRDefault="005D65BC" w:rsidP="005D65BC">
            <w:pPr>
              <w:spacing w:line="480" w:lineRule="auto"/>
              <w:rPr>
                <w:rFonts w:ascii="Bookman Old Style" w:hAnsi="Bookman Old Style"/>
                <w:sz w:val="18"/>
                <w:szCs w:val="18"/>
              </w:rPr>
            </w:pPr>
            <w:r w:rsidRPr="005211BD">
              <w:rPr>
                <w:rFonts w:ascii="Bookman Old Style" w:hAnsi="Bookman Old Style"/>
                <w:sz w:val="18"/>
                <w:szCs w:val="18"/>
              </w:rPr>
              <w:t>2</w:t>
            </w:r>
          </w:p>
        </w:tc>
        <w:tc>
          <w:tcPr>
            <w:tcW w:w="1257" w:type="dxa"/>
            <w:hideMark/>
          </w:tcPr>
          <w:p w14:paraId="552E9B7A"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0.971</w:t>
            </w:r>
          </w:p>
        </w:tc>
        <w:tc>
          <w:tcPr>
            <w:tcW w:w="784" w:type="dxa"/>
            <w:noWrap/>
            <w:hideMark/>
          </w:tcPr>
          <w:p w14:paraId="780F829D"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0.884</w:t>
            </w:r>
          </w:p>
        </w:tc>
        <w:tc>
          <w:tcPr>
            <w:tcW w:w="784" w:type="dxa"/>
            <w:noWrap/>
            <w:hideMark/>
          </w:tcPr>
          <w:p w14:paraId="0612C570"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0.995</w:t>
            </w:r>
          </w:p>
        </w:tc>
        <w:tc>
          <w:tcPr>
            <w:tcW w:w="1480" w:type="dxa"/>
            <w:hideMark/>
          </w:tcPr>
          <w:p w14:paraId="192D0BAB"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308" w:type="dxa"/>
            <w:noWrap/>
            <w:hideMark/>
          </w:tcPr>
          <w:p w14:paraId="70255883"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0.971</w:t>
            </w:r>
          </w:p>
        </w:tc>
        <w:tc>
          <w:tcPr>
            <w:tcW w:w="734" w:type="dxa"/>
            <w:noWrap/>
            <w:hideMark/>
          </w:tcPr>
          <w:p w14:paraId="63C19F09"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0.899</w:t>
            </w:r>
          </w:p>
        </w:tc>
        <w:tc>
          <w:tcPr>
            <w:tcW w:w="826" w:type="dxa"/>
            <w:noWrap/>
            <w:hideMark/>
          </w:tcPr>
          <w:p w14:paraId="15FF0971"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0.994</w:t>
            </w:r>
          </w:p>
        </w:tc>
        <w:tc>
          <w:tcPr>
            <w:tcW w:w="1417" w:type="dxa"/>
            <w:hideMark/>
          </w:tcPr>
          <w:p w14:paraId="741A007A"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559" w:type="dxa"/>
            <w:hideMark/>
          </w:tcPr>
          <w:p w14:paraId="24912CA7"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1.000</w:t>
            </w:r>
          </w:p>
        </w:tc>
      </w:tr>
      <w:tr w:rsidR="0009626D" w:rsidRPr="005D65BC" w14:paraId="73E70A27" w14:textId="77777777" w:rsidTr="005211BD">
        <w:trPr>
          <w:trHeight w:val="331"/>
        </w:trPr>
        <w:tc>
          <w:tcPr>
            <w:tcW w:w="908" w:type="dxa"/>
            <w:hideMark/>
          </w:tcPr>
          <w:p w14:paraId="4A1C6CA1" w14:textId="77777777" w:rsidR="005D65BC" w:rsidRPr="005211BD" w:rsidRDefault="005D65BC" w:rsidP="005D65BC">
            <w:pPr>
              <w:spacing w:line="480" w:lineRule="auto"/>
              <w:rPr>
                <w:rFonts w:ascii="Bookman Old Style" w:hAnsi="Bookman Old Style"/>
                <w:sz w:val="18"/>
                <w:szCs w:val="18"/>
              </w:rPr>
            </w:pPr>
            <w:r w:rsidRPr="005211BD">
              <w:rPr>
                <w:rFonts w:ascii="Bookman Old Style" w:hAnsi="Bookman Old Style"/>
                <w:sz w:val="18"/>
                <w:szCs w:val="18"/>
              </w:rPr>
              <w:t>3</w:t>
            </w:r>
          </w:p>
        </w:tc>
        <w:tc>
          <w:tcPr>
            <w:tcW w:w="1257" w:type="dxa"/>
            <w:noWrap/>
            <w:hideMark/>
          </w:tcPr>
          <w:p w14:paraId="3F8034AE"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0.983</w:t>
            </w:r>
          </w:p>
        </w:tc>
        <w:tc>
          <w:tcPr>
            <w:tcW w:w="784" w:type="dxa"/>
            <w:noWrap/>
            <w:hideMark/>
          </w:tcPr>
          <w:p w14:paraId="3471C909"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0.920</w:t>
            </w:r>
          </w:p>
        </w:tc>
        <w:tc>
          <w:tcPr>
            <w:tcW w:w="784" w:type="dxa"/>
            <w:noWrap/>
            <w:hideMark/>
          </w:tcPr>
          <w:p w14:paraId="0C3A1F3C"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1.000</w:t>
            </w:r>
          </w:p>
        </w:tc>
        <w:tc>
          <w:tcPr>
            <w:tcW w:w="1480" w:type="dxa"/>
            <w:hideMark/>
          </w:tcPr>
          <w:p w14:paraId="2CCD06C8"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308" w:type="dxa"/>
            <w:hideMark/>
          </w:tcPr>
          <w:p w14:paraId="5089F328"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0.977</w:t>
            </w:r>
          </w:p>
        </w:tc>
        <w:tc>
          <w:tcPr>
            <w:tcW w:w="734" w:type="dxa"/>
            <w:hideMark/>
          </w:tcPr>
          <w:p w14:paraId="574230D4"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0.896</w:t>
            </w:r>
          </w:p>
        </w:tc>
        <w:tc>
          <w:tcPr>
            <w:tcW w:w="826" w:type="dxa"/>
            <w:hideMark/>
          </w:tcPr>
          <w:p w14:paraId="2158130E"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1.000</w:t>
            </w:r>
          </w:p>
        </w:tc>
        <w:tc>
          <w:tcPr>
            <w:tcW w:w="1417" w:type="dxa"/>
            <w:hideMark/>
          </w:tcPr>
          <w:p w14:paraId="4ADFB1FD"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559" w:type="dxa"/>
            <w:hideMark/>
          </w:tcPr>
          <w:p w14:paraId="02BC0FB4"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0.674</w:t>
            </w:r>
          </w:p>
        </w:tc>
      </w:tr>
      <w:tr w:rsidR="0009626D" w:rsidRPr="005D65BC" w14:paraId="0F5930F8" w14:textId="77777777" w:rsidTr="005211BD">
        <w:trPr>
          <w:trHeight w:val="353"/>
        </w:trPr>
        <w:tc>
          <w:tcPr>
            <w:tcW w:w="908" w:type="dxa"/>
            <w:hideMark/>
          </w:tcPr>
          <w:p w14:paraId="0B41A929" w14:textId="77777777" w:rsidR="005D65BC" w:rsidRPr="005211BD" w:rsidRDefault="005D65BC" w:rsidP="005D65BC">
            <w:pPr>
              <w:spacing w:line="480" w:lineRule="auto"/>
              <w:rPr>
                <w:rFonts w:ascii="Bookman Old Style" w:hAnsi="Bookman Old Style"/>
                <w:sz w:val="18"/>
                <w:szCs w:val="18"/>
              </w:rPr>
            </w:pPr>
            <w:r w:rsidRPr="005211BD">
              <w:rPr>
                <w:rFonts w:ascii="Bookman Old Style" w:hAnsi="Bookman Old Style"/>
                <w:sz w:val="18"/>
                <w:szCs w:val="18"/>
              </w:rPr>
              <w:t>4</w:t>
            </w:r>
          </w:p>
        </w:tc>
        <w:tc>
          <w:tcPr>
            <w:tcW w:w="1257" w:type="dxa"/>
            <w:noWrap/>
            <w:hideMark/>
          </w:tcPr>
          <w:p w14:paraId="71034382"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0.910</w:t>
            </w:r>
          </w:p>
        </w:tc>
        <w:tc>
          <w:tcPr>
            <w:tcW w:w="784" w:type="dxa"/>
            <w:noWrap/>
            <w:hideMark/>
          </w:tcPr>
          <w:p w14:paraId="2541BE98"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0.810</w:t>
            </w:r>
          </w:p>
        </w:tc>
        <w:tc>
          <w:tcPr>
            <w:tcW w:w="784" w:type="dxa"/>
            <w:noWrap/>
            <w:hideMark/>
          </w:tcPr>
          <w:p w14:paraId="663991ED"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1.000</w:t>
            </w:r>
          </w:p>
        </w:tc>
        <w:tc>
          <w:tcPr>
            <w:tcW w:w="1480" w:type="dxa"/>
            <w:hideMark/>
          </w:tcPr>
          <w:p w14:paraId="49A02097"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308" w:type="dxa"/>
            <w:noWrap/>
            <w:hideMark/>
          </w:tcPr>
          <w:p w14:paraId="1F0F257D"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0.883</w:t>
            </w:r>
          </w:p>
        </w:tc>
        <w:tc>
          <w:tcPr>
            <w:tcW w:w="734" w:type="dxa"/>
            <w:noWrap/>
            <w:hideMark/>
          </w:tcPr>
          <w:p w14:paraId="231DDDB7"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0.720</w:t>
            </w:r>
          </w:p>
        </w:tc>
        <w:tc>
          <w:tcPr>
            <w:tcW w:w="826" w:type="dxa"/>
            <w:noWrap/>
            <w:hideMark/>
          </w:tcPr>
          <w:p w14:paraId="4BCF7CE3"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0.955</w:t>
            </w:r>
          </w:p>
        </w:tc>
        <w:tc>
          <w:tcPr>
            <w:tcW w:w="1417" w:type="dxa"/>
            <w:hideMark/>
          </w:tcPr>
          <w:p w14:paraId="71F6EE46"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559" w:type="dxa"/>
            <w:hideMark/>
          </w:tcPr>
          <w:p w14:paraId="291FDD28"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0.647</w:t>
            </w:r>
          </w:p>
        </w:tc>
      </w:tr>
      <w:tr w:rsidR="0009626D" w:rsidRPr="005D65BC" w14:paraId="6CAD94F5" w14:textId="77777777" w:rsidTr="005211BD">
        <w:trPr>
          <w:trHeight w:val="353"/>
        </w:trPr>
        <w:tc>
          <w:tcPr>
            <w:tcW w:w="908" w:type="dxa"/>
            <w:hideMark/>
          </w:tcPr>
          <w:p w14:paraId="6C2639BD" w14:textId="77777777" w:rsidR="005D65BC" w:rsidRPr="005211BD" w:rsidRDefault="005D65BC" w:rsidP="005D65BC">
            <w:pPr>
              <w:spacing w:line="480" w:lineRule="auto"/>
              <w:rPr>
                <w:rFonts w:ascii="Bookman Old Style" w:hAnsi="Bookman Old Style"/>
                <w:sz w:val="18"/>
                <w:szCs w:val="18"/>
              </w:rPr>
            </w:pPr>
            <w:r w:rsidRPr="005211BD">
              <w:rPr>
                <w:rFonts w:ascii="Bookman Old Style" w:hAnsi="Bookman Old Style"/>
                <w:sz w:val="18"/>
                <w:szCs w:val="18"/>
              </w:rPr>
              <w:t>5</w:t>
            </w:r>
          </w:p>
        </w:tc>
        <w:tc>
          <w:tcPr>
            <w:tcW w:w="1257" w:type="dxa"/>
            <w:noWrap/>
            <w:hideMark/>
          </w:tcPr>
          <w:p w14:paraId="1181FAD4"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0.923</w:t>
            </w:r>
          </w:p>
        </w:tc>
        <w:tc>
          <w:tcPr>
            <w:tcW w:w="784" w:type="dxa"/>
            <w:noWrap/>
            <w:hideMark/>
          </w:tcPr>
          <w:p w14:paraId="42805189"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0.646</w:t>
            </w:r>
          </w:p>
        </w:tc>
        <w:tc>
          <w:tcPr>
            <w:tcW w:w="784" w:type="dxa"/>
            <w:noWrap/>
            <w:hideMark/>
          </w:tcPr>
          <w:p w14:paraId="4FC4C94A"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1.000</w:t>
            </w:r>
          </w:p>
        </w:tc>
        <w:tc>
          <w:tcPr>
            <w:tcW w:w="1480" w:type="dxa"/>
            <w:hideMark/>
          </w:tcPr>
          <w:p w14:paraId="4B6AF187"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308" w:type="dxa"/>
            <w:hideMark/>
          </w:tcPr>
          <w:p w14:paraId="60C0931F"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0.972</w:t>
            </w:r>
          </w:p>
        </w:tc>
        <w:tc>
          <w:tcPr>
            <w:tcW w:w="734" w:type="dxa"/>
            <w:hideMark/>
          </w:tcPr>
          <w:p w14:paraId="56D8E640"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0.799</w:t>
            </w:r>
          </w:p>
        </w:tc>
        <w:tc>
          <w:tcPr>
            <w:tcW w:w="826" w:type="dxa"/>
            <w:hideMark/>
          </w:tcPr>
          <w:p w14:paraId="5A0604DB"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1.000</w:t>
            </w:r>
          </w:p>
        </w:tc>
        <w:tc>
          <w:tcPr>
            <w:tcW w:w="1417" w:type="dxa"/>
            <w:hideMark/>
          </w:tcPr>
          <w:p w14:paraId="33F53D12"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559" w:type="dxa"/>
            <w:hideMark/>
          </w:tcPr>
          <w:p w14:paraId="6234AA83"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0.271</w:t>
            </w:r>
          </w:p>
        </w:tc>
      </w:tr>
      <w:tr w:rsidR="0009626D" w:rsidRPr="005D65BC" w14:paraId="78FBD906" w14:textId="77777777" w:rsidTr="005211BD">
        <w:trPr>
          <w:trHeight w:val="374"/>
        </w:trPr>
        <w:tc>
          <w:tcPr>
            <w:tcW w:w="908" w:type="dxa"/>
            <w:hideMark/>
          </w:tcPr>
          <w:p w14:paraId="1D9C98E4" w14:textId="77777777" w:rsidR="005D65BC" w:rsidRPr="005211BD" w:rsidRDefault="005D65BC" w:rsidP="005D65BC">
            <w:pPr>
              <w:spacing w:line="480" w:lineRule="auto"/>
              <w:rPr>
                <w:rFonts w:ascii="Bookman Old Style" w:hAnsi="Bookman Old Style"/>
                <w:sz w:val="18"/>
                <w:szCs w:val="18"/>
              </w:rPr>
            </w:pPr>
            <w:r w:rsidRPr="005211BD">
              <w:rPr>
                <w:rFonts w:ascii="Bookman Old Style" w:hAnsi="Bookman Old Style"/>
                <w:sz w:val="18"/>
                <w:szCs w:val="18"/>
              </w:rPr>
              <w:t>6</w:t>
            </w:r>
          </w:p>
        </w:tc>
        <w:tc>
          <w:tcPr>
            <w:tcW w:w="1257" w:type="dxa"/>
            <w:hideMark/>
          </w:tcPr>
          <w:p w14:paraId="1BA22119"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0.853</w:t>
            </w:r>
          </w:p>
        </w:tc>
        <w:tc>
          <w:tcPr>
            <w:tcW w:w="784" w:type="dxa"/>
            <w:hideMark/>
          </w:tcPr>
          <w:p w14:paraId="35DC6D63"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0.677</w:t>
            </w:r>
          </w:p>
        </w:tc>
        <w:tc>
          <w:tcPr>
            <w:tcW w:w="784" w:type="dxa"/>
            <w:hideMark/>
          </w:tcPr>
          <w:p w14:paraId="645D365F"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0.935</w:t>
            </w:r>
          </w:p>
        </w:tc>
        <w:tc>
          <w:tcPr>
            <w:tcW w:w="1480" w:type="dxa"/>
            <w:hideMark/>
          </w:tcPr>
          <w:p w14:paraId="66FBB852"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&lt;0.001</w:t>
            </w:r>
          </w:p>
        </w:tc>
        <w:tc>
          <w:tcPr>
            <w:tcW w:w="1308" w:type="dxa"/>
            <w:noWrap/>
            <w:hideMark/>
          </w:tcPr>
          <w:p w14:paraId="61DB0B83"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0.554</w:t>
            </w:r>
          </w:p>
        </w:tc>
        <w:tc>
          <w:tcPr>
            <w:tcW w:w="734" w:type="dxa"/>
            <w:noWrap/>
            <w:hideMark/>
          </w:tcPr>
          <w:p w14:paraId="2B5585BF"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0.233</w:t>
            </w:r>
          </w:p>
        </w:tc>
        <w:tc>
          <w:tcPr>
            <w:tcW w:w="826" w:type="dxa"/>
            <w:noWrap/>
            <w:hideMark/>
          </w:tcPr>
          <w:p w14:paraId="0AF8AC1C"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0.876</w:t>
            </w:r>
          </w:p>
        </w:tc>
        <w:tc>
          <w:tcPr>
            <w:tcW w:w="1417" w:type="dxa"/>
            <w:hideMark/>
          </w:tcPr>
          <w:p w14:paraId="00EF58BC"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0.001</w:t>
            </w:r>
          </w:p>
        </w:tc>
        <w:tc>
          <w:tcPr>
            <w:tcW w:w="1559" w:type="dxa"/>
            <w:hideMark/>
          </w:tcPr>
          <w:p w14:paraId="792BDE5D" w14:textId="77777777" w:rsidR="005D65BC" w:rsidRPr="005211BD" w:rsidRDefault="005D65BC" w:rsidP="005211BD">
            <w:pPr>
              <w:spacing w:line="480" w:lineRule="auto"/>
              <w:jc w:val="center"/>
              <w:rPr>
                <w:rFonts w:ascii="Bookman Old Style" w:hAnsi="Bookman Old Style"/>
                <w:sz w:val="18"/>
                <w:szCs w:val="18"/>
              </w:rPr>
            </w:pPr>
            <w:r w:rsidRPr="005211BD">
              <w:rPr>
                <w:rFonts w:ascii="Bookman Old Style" w:hAnsi="Bookman Old Style"/>
                <w:sz w:val="18"/>
                <w:szCs w:val="18"/>
              </w:rPr>
              <w:t>0.048</w:t>
            </w:r>
          </w:p>
        </w:tc>
      </w:tr>
      <w:tr w:rsidR="0009626D" w:rsidRPr="005D65BC" w14:paraId="2B0B476B" w14:textId="77777777" w:rsidTr="005211BD">
        <w:trPr>
          <w:trHeight w:val="794"/>
        </w:trPr>
        <w:tc>
          <w:tcPr>
            <w:tcW w:w="11057" w:type="dxa"/>
            <w:gridSpan w:val="10"/>
          </w:tcPr>
          <w:p w14:paraId="1423589D" w14:textId="6BB90C84" w:rsidR="0009626D" w:rsidRPr="0009626D" w:rsidRDefault="0009626D" w:rsidP="005211BD">
            <w:pPr>
              <w:spacing w:line="480" w:lineRule="auto"/>
              <w:rPr>
                <w:rFonts w:ascii="Bookman Old Style" w:hAnsi="Bookman Old Style"/>
                <w:sz w:val="18"/>
                <w:szCs w:val="18"/>
              </w:rPr>
            </w:pPr>
            <w:r w:rsidRPr="005211BD">
              <w:rPr>
                <w:rFonts w:ascii="Bookman Old Style" w:hAnsi="Bookman Old Style"/>
                <w:b/>
                <w:bCs/>
                <w:sz w:val="18"/>
                <w:szCs w:val="18"/>
              </w:rPr>
              <w:t xml:space="preserve">NOTE: </w:t>
            </w:r>
            <w:r w:rsidRPr="005211BD">
              <w:rPr>
                <w:rFonts w:ascii="Bookman Old Style" w:hAnsi="Bookman Old Style"/>
                <w:sz w:val="18"/>
                <w:szCs w:val="18"/>
              </w:rPr>
              <w:t>UCL, LCL, upper confidence limit and lower confidence limit, estimated with bootstrapping (N = 1000 replications).</w:t>
            </w:r>
          </w:p>
        </w:tc>
      </w:tr>
    </w:tbl>
    <w:p w14:paraId="0A0A7ECA" w14:textId="77777777" w:rsidR="0009626D" w:rsidRDefault="0009626D" w:rsidP="007028F7">
      <w:pPr>
        <w:spacing w:line="480" w:lineRule="auto"/>
        <w:rPr>
          <w:rFonts w:ascii="Bookman Old Style" w:hAnsi="Bookman Old Style"/>
          <w:b/>
          <w:bCs/>
          <w:sz w:val="22"/>
        </w:rPr>
      </w:pPr>
    </w:p>
    <w:p w14:paraId="5A5E1856" w14:textId="4EE21556" w:rsidR="007028F7" w:rsidRPr="005211BD" w:rsidRDefault="0009626D" w:rsidP="005211BD">
      <w:pPr>
        <w:spacing w:line="480" w:lineRule="auto"/>
        <w:rPr>
          <w:rFonts w:ascii="Bookman Old Style" w:hAnsi="Bookman Old Style"/>
          <w:sz w:val="22"/>
          <w:szCs w:val="22"/>
        </w:rPr>
      </w:pPr>
      <w:r>
        <w:rPr>
          <w:rFonts w:ascii="Bookman Old Style" w:hAnsi="Bookman Old Style"/>
          <w:sz w:val="22"/>
        </w:rPr>
        <w:t xml:space="preserve">Correlation between reported cases and deaths may reflect the fact that when testing rates were lower, individuals at higher risk of mortality (e.g., older individuals) were prioritized for testing.  In wave 6, reported cases remained highly correlated with lagged deaths (rho 0.85), but correlation with adjusted cases was weaker (rho 0.55), with the difference between estimates statistically significant (P = 0.048).  The weaker </w:t>
      </w:r>
      <w:r>
        <w:rPr>
          <w:rFonts w:ascii="Bookman Old Style" w:hAnsi="Bookman Old Style"/>
          <w:sz w:val="22"/>
        </w:rPr>
        <w:lastRenderedPageBreak/>
        <w:t>correlation between adjusted cases and deaths in the final p</w:t>
      </w:r>
      <w:r w:rsidRPr="004D4A64">
        <w:rPr>
          <w:rFonts w:ascii="Bookman Old Style" w:hAnsi="Bookman Old Style"/>
          <w:sz w:val="22"/>
          <w:szCs w:val="22"/>
        </w:rPr>
        <w:t>andemic wave may reflect protective effects of widespread vaccination.</w:t>
      </w:r>
    </w:p>
    <w:p w14:paraId="2BD8342A" w14:textId="185C8F19" w:rsidR="00C71572" w:rsidRPr="005211BD" w:rsidRDefault="00C71572" w:rsidP="005211BD">
      <w:pPr>
        <w:pStyle w:val="ListParagraph"/>
        <w:numPr>
          <w:ilvl w:val="0"/>
          <w:numId w:val="4"/>
        </w:numPr>
        <w:spacing w:line="480" w:lineRule="auto"/>
        <w:rPr>
          <w:rFonts w:ascii="Bookman Old Style" w:hAnsi="Bookman Old Style"/>
          <w:b/>
          <w:bCs/>
          <w:sz w:val="22"/>
          <w:szCs w:val="22"/>
        </w:rPr>
      </w:pPr>
      <w:r w:rsidRPr="005211BD">
        <w:rPr>
          <w:rFonts w:ascii="Bookman Old Style" w:hAnsi="Bookman Old Style"/>
          <w:b/>
          <w:bCs/>
          <w:sz w:val="22"/>
          <w:szCs w:val="22"/>
        </w:rPr>
        <w:t>Additional Outputs from D</w:t>
      </w:r>
      <w:r w:rsidRPr="004D4A64">
        <w:rPr>
          <w:rFonts w:ascii="Bookman Old Style" w:hAnsi="Bookman Old Style"/>
          <w:b/>
          <w:bCs/>
          <w:sz w:val="22"/>
          <w:szCs w:val="22"/>
        </w:rPr>
        <w:t>istributed Lag Non-Linear Models</w:t>
      </w:r>
    </w:p>
    <w:p w14:paraId="50E89370" w14:textId="77777777" w:rsidR="00C71572" w:rsidRPr="001A77C8" w:rsidRDefault="00C71572" w:rsidP="005211BD">
      <w:pPr>
        <w:spacing w:line="480" w:lineRule="auto"/>
      </w:pPr>
      <w:r w:rsidRPr="005211BD">
        <w:rPr>
          <w:rFonts w:ascii="Bookman Old Style" w:hAnsi="Bookman Old Style"/>
          <w:sz w:val="22"/>
          <w:szCs w:val="22"/>
        </w:rPr>
        <w:t xml:space="preserve">We employed Distributed Lag Non-Linear Models (DLNMs) to characterize the delayed association between both reported and test-adjusted case </w:t>
      </w:r>
      <w:proofErr w:type="gramStart"/>
      <w:r w:rsidRPr="005211BD">
        <w:rPr>
          <w:rFonts w:ascii="Bookman Old Style" w:hAnsi="Bookman Old Style"/>
          <w:sz w:val="22"/>
          <w:szCs w:val="22"/>
        </w:rPr>
        <w:t>counts</w:t>
      </w:r>
      <w:proofErr w:type="gramEnd"/>
      <w:r w:rsidRPr="005211BD">
        <w:rPr>
          <w:rFonts w:ascii="Bookman Old Style" w:hAnsi="Bookman Old Style"/>
          <w:sz w:val="22"/>
          <w:szCs w:val="22"/>
        </w:rPr>
        <w:t xml:space="preserve"> and weekly death counts over 1 to 8-week lag periods.  Main model results are presented in the Results section.  We also evaluated lag-response plots associated with elevated case counts. The lag-response plots below relative risk (RR) of death across lag periods for case counts set at the 75th percentile.  For adjusted cases, the RR increases most markedly for cases at lags of 1-4 weeks.  For reported cases effects are seen at lags of 1-6 weeks.  Protective effects (at 5-6 weeks for adjusted cases and 7-8 weeks for reported cases) may represent harvesting.</w:t>
      </w:r>
    </w:p>
    <w:p w14:paraId="41BA613C" w14:textId="1ECBBE6F" w:rsidR="00C71572" w:rsidRDefault="00C71572" w:rsidP="005211BD">
      <w:pPr>
        <w:pStyle w:val="ListParagraph"/>
        <w:spacing w:line="480" w:lineRule="auto"/>
      </w:pPr>
      <w:r>
        <w:rPr>
          <w:noProof/>
        </w:rPr>
        <w:lastRenderedPageBreak/>
        <w:drawing>
          <wp:inline distT="0" distB="0" distL="0" distR="0" wp14:anchorId="1B968F52" wp14:editId="7A04F19C">
            <wp:extent cx="5943600" cy="4754880"/>
            <wp:effectExtent l="0" t="0" r="0" b="0"/>
            <wp:docPr id="266084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84877" name="Picture 266084877"/>
                    <pic:cNvPicPr/>
                  </pic:nvPicPr>
                  <pic:blipFill>
                    <a:blip r:embed="rId10"/>
                    <a:stretch>
                      <a:fillRect/>
                    </a:stretch>
                  </pic:blipFill>
                  <pic:spPr>
                    <a:xfrm>
                      <a:off x="0" y="0"/>
                      <a:ext cx="5943600" cy="4754880"/>
                    </a:xfrm>
                    <a:prstGeom prst="rect">
                      <a:avLst/>
                    </a:prstGeom>
                  </pic:spPr>
                </pic:pic>
              </a:graphicData>
            </a:graphic>
          </wp:inline>
        </w:drawing>
      </w:r>
    </w:p>
    <w:p w14:paraId="26310FFE" w14:textId="77777777" w:rsidR="00C71572" w:rsidRPr="00C71572" w:rsidRDefault="00C71572" w:rsidP="005211BD">
      <w:pPr>
        <w:spacing w:line="480" w:lineRule="auto"/>
        <w:ind w:left="360"/>
      </w:pPr>
      <w:r w:rsidRPr="001A77C8">
        <w:rPr>
          <w:noProof/>
        </w:rPr>
        <w:lastRenderedPageBreak/>
        <w:drawing>
          <wp:inline distT="0" distB="0" distL="0" distR="0" wp14:anchorId="2AB5F00C" wp14:editId="20C6D84C">
            <wp:extent cx="5943600" cy="4763770"/>
            <wp:effectExtent l="0" t="0" r="0" b="0"/>
            <wp:docPr id="1785937291" name="Picture 1"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37291" name="Picture 1" descr="A graph of a line&#10;&#10;Description automatically generated"/>
                    <pic:cNvPicPr/>
                  </pic:nvPicPr>
                  <pic:blipFill>
                    <a:blip r:embed="rId11"/>
                    <a:stretch>
                      <a:fillRect/>
                    </a:stretch>
                  </pic:blipFill>
                  <pic:spPr>
                    <a:xfrm>
                      <a:off x="0" y="0"/>
                      <a:ext cx="5943600" cy="4763770"/>
                    </a:xfrm>
                    <a:prstGeom prst="rect">
                      <a:avLst/>
                    </a:prstGeom>
                  </pic:spPr>
                </pic:pic>
              </a:graphicData>
            </a:graphic>
          </wp:inline>
        </w:drawing>
      </w:r>
    </w:p>
    <w:p w14:paraId="6E2972A1" w14:textId="65894636" w:rsidR="00C71572" w:rsidRPr="005211BD" w:rsidRDefault="00C71572" w:rsidP="005211BD">
      <w:pPr>
        <w:spacing w:line="480" w:lineRule="auto"/>
        <w:ind w:left="360"/>
        <w:rPr>
          <w:rFonts w:ascii="Bookman Old Style" w:hAnsi="Bookman Old Style"/>
          <w:sz w:val="22"/>
          <w:szCs w:val="22"/>
        </w:rPr>
      </w:pPr>
      <w:r w:rsidRPr="005211BD">
        <w:rPr>
          <w:rFonts w:ascii="Bookman Old Style" w:hAnsi="Bookman Old Style"/>
          <w:sz w:val="22"/>
          <w:szCs w:val="22"/>
        </w:rPr>
        <w:t>Exposure-response plots display cumulative RR of death across the range of case counts, aggregated over all lag periods (1-8 weeks).  For both adjusted and reported cases, a dose-response relationship between increasing case counts and risk of death is seen.</w:t>
      </w:r>
    </w:p>
    <w:p w14:paraId="471F8E36" w14:textId="77777777" w:rsidR="00C71572" w:rsidRPr="00C71572" w:rsidRDefault="00C71572" w:rsidP="005211BD">
      <w:pPr>
        <w:spacing w:line="480" w:lineRule="auto"/>
        <w:ind w:left="360"/>
        <w:rPr>
          <w:rFonts w:ascii="Bookman Old Style" w:hAnsi="Bookman Old Style"/>
        </w:rPr>
      </w:pPr>
      <w:r>
        <w:rPr>
          <w:noProof/>
        </w:rPr>
        <w:lastRenderedPageBreak/>
        <w:drawing>
          <wp:inline distT="0" distB="0" distL="0" distR="0" wp14:anchorId="0764B095" wp14:editId="3CD6F6DB">
            <wp:extent cx="5943600" cy="4762500"/>
            <wp:effectExtent l="0" t="0" r="0" b="0"/>
            <wp:docPr id="1090837370" name="Picture 4" descr="A graph of a graph showing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37370" name="Picture 4" descr="A graph of a graph showing a curv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762500"/>
                    </a:xfrm>
                    <a:prstGeom prst="rect">
                      <a:avLst/>
                    </a:prstGeom>
                  </pic:spPr>
                </pic:pic>
              </a:graphicData>
            </a:graphic>
          </wp:inline>
        </w:drawing>
      </w:r>
    </w:p>
    <w:p w14:paraId="209F93E6" w14:textId="77777777" w:rsidR="00C71572" w:rsidRPr="00C71572" w:rsidRDefault="00C71572" w:rsidP="005211BD">
      <w:pPr>
        <w:spacing w:line="480" w:lineRule="auto"/>
        <w:rPr>
          <w:rFonts w:ascii="Bookman Old Style" w:hAnsi="Bookman Old Style"/>
        </w:rPr>
      </w:pPr>
      <w:r>
        <w:rPr>
          <w:noProof/>
        </w:rPr>
        <w:lastRenderedPageBreak/>
        <w:drawing>
          <wp:inline distT="0" distB="0" distL="0" distR="0" wp14:anchorId="1DC90847" wp14:editId="0392ED43">
            <wp:extent cx="6187514" cy="4903076"/>
            <wp:effectExtent l="0" t="0" r="0" b="0"/>
            <wp:docPr id="2024294849" name="Picture 5" descr="A graph of a graph showing a number of ca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94849" name="Picture 5" descr="A graph of a graph showing a number of cas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94821" cy="4908866"/>
                    </a:xfrm>
                    <a:prstGeom prst="rect">
                      <a:avLst/>
                    </a:prstGeom>
                  </pic:spPr>
                </pic:pic>
              </a:graphicData>
            </a:graphic>
          </wp:inline>
        </w:drawing>
      </w:r>
    </w:p>
    <w:p w14:paraId="24F98FB6" w14:textId="77777777" w:rsidR="00C71572" w:rsidRPr="005211BD" w:rsidRDefault="00C71572" w:rsidP="005211BD">
      <w:pPr>
        <w:spacing w:line="480" w:lineRule="auto"/>
        <w:rPr>
          <w:rFonts w:ascii="Bookman Old Style" w:hAnsi="Bookman Old Style"/>
          <w:sz w:val="22"/>
          <w:szCs w:val="22"/>
        </w:rPr>
      </w:pPr>
      <w:r w:rsidRPr="005211BD">
        <w:rPr>
          <w:rFonts w:ascii="Bookman Old Style" w:hAnsi="Bookman Old Style"/>
          <w:sz w:val="22"/>
          <w:szCs w:val="22"/>
        </w:rPr>
        <w:t>We plotted 3-dimensional surfaces that depict relative risks (Z-axis) across a range of lags (1-8 weeks) and case counts.  For both adjusted cases and reported cases relative risk increased with shorter lags and higher case counts.</w:t>
      </w:r>
    </w:p>
    <w:p w14:paraId="150AF297" w14:textId="77777777" w:rsidR="00C71572" w:rsidRDefault="00C71572" w:rsidP="005211BD">
      <w:pPr>
        <w:spacing w:line="480" w:lineRule="auto"/>
        <w:ind w:left="360"/>
      </w:pPr>
    </w:p>
    <w:p w14:paraId="60094A8B" w14:textId="77777777" w:rsidR="00C71572" w:rsidRDefault="00C71572" w:rsidP="005211BD">
      <w:pPr>
        <w:ind w:left="360"/>
      </w:pPr>
      <w:r w:rsidRPr="003138B4">
        <w:rPr>
          <w:noProof/>
        </w:rPr>
        <w:lastRenderedPageBreak/>
        <w:drawing>
          <wp:inline distT="0" distB="0" distL="0" distR="0" wp14:anchorId="2F97079A" wp14:editId="500B678D">
            <wp:extent cx="6322803" cy="5005552"/>
            <wp:effectExtent l="0" t="0" r="1905" b="0"/>
            <wp:docPr id="974690772"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0772" name="Picture 1" descr="A graph of a graph&#10;&#10;Description automatically generated"/>
                    <pic:cNvPicPr/>
                  </pic:nvPicPr>
                  <pic:blipFill>
                    <a:blip r:embed="rId14"/>
                    <a:stretch>
                      <a:fillRect/>
                    </a:stretch>
                  </pic:blipFill>
                  <pic:spPr>
                    <a:xfrm>
                      <a:off x="0" y="0"/>
                      <a:ext cx="6339929" cy="5019110"/>
                    </a:xfrm>
                    <a:prstGeom prst="rect">
                      <a:avLst/>
                    </a:prstGeom>
                  </pic:spPr>
                </pic:pic>
              </a:graphicData>
            </a:graphic>
          </wp:inline>
        </w:drawing>
      </w:r>
    </w:p>
    <w:p w14:paraId="5F7D9F78" w14:textId="77777777" w:rsidR="00C71572" w:rsidRDefault="00C71572" w:rsidP="005211BD"/>
    <w:p w14:paraId="715BAACA" w14:textId="77777777" w:rsidR="00C71572" w:rsidRDefault="00C71572" w:rsidP="005211BD">
      <w:r w:rsidRPr="001F3FCA">
        <w:rPr>
          <w:noProof/>
        </w:rPr>
        <w:lastRenderedPageBreak/>
        <w:drawing>
          <wp:inline distT="0" distB="0" distL="0" distR="0" wp14:anchorId="6090666F" wp14:editId="1EB6A4D7">
            <wp:extent cx="5943600" cy="5209540"/>
            <wp:effectExtent l="0" t="0" r="0" b="0"/>
            <wp:docPr id="1636589568" name="Picture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589568" name="Picture 1" descr="A graph of a curve&#10;&#10;Description automatically generated"/>
                    <pic:cNvPicPr/>
                  </pic:nvPicPr>
                  <pic:blipFill>
                    <a:blip r:embed="rId15"/>
                    <a:stretch>
                      <a:fillRect/>
                    </a:stretch>
                  </pic:blipFill>
                  <pic:spPr>
                    <a:xfrm>
                      <a:off x="0" y="0"/>
                      <a:ext cx="5943600" cy="5209540"/>
                    </a:xfrm>
                    <a:prstGeom prst="rect">
                      <a:avLst/>
                    </a:prstGeom>
                  </pic:spPr>
                </pic:pic>
              </a:graphicData>
            </a:graphic>
          </wp:inline>
        </w:drawing>
      </w:r>
    </w:p>
    <w:p w14:paraId="657D8650" w14:textId="77777777" w:rsidR="00C71572" w:rsidRPr="005211BD" w:rsidRDefault="00C71572" w:rsidP="005211BD">
      <w:pPr>
        <w:spacing w:line="480" w:lineRule="auto"/>
        <w:rPr>
          <w:rFonts w:ascii="Bookman Old Style" w:hAnsi="Bookman Old Style"/>
          <w:sz w:val="22"/>
          <w:szCs w:val="22"/>
        </w:rPr>
      </w:pPr>
      <w:r w:rsidRPr="005211BD">
        <w:rPr>
          <w:rFonts w:ascii="Bookman Old Style" w:hAnsi="Bookman Old Style"/>
          <w:sz w:val="22"/>
          <w:szCs w:val="22"/>
        </w:rPr>
        <w:t>In summary, DNLM demonstrated the ability of both adjusted case counts and reported case counts to predict mortality across a range of lags.  As noted in our Results section, the use of adjusted cases improved model fit and predictive ability.</w:t>
      </w:r>
    </w:p>
    <w:p w14:paraId="4A412344" w14:textId="77777777" w:rsidR="00FC5553" w:rsidRDefault="00FC5553" w:rsidP="00C71572">
      <w:pPr>
        <w:rPr>
          <w:rFonts w:ascii="Bookman Old Style" w:hAnsi="Bookman Old Style"/>
        </w:rPr>
      </w:pPr>
    </w:p>
    <w:p w14:paraId="015C2D47" w14:textId="28F4542B" w:rsidR="00FC5553" w:rsidRDefault="00FC5553" w:rsidP="00FC5553">
      <w:pPr>
        <w:spacing w:line="480" w:lineRule="auto"/>
        <w:rPr>
          <w:rFonts w:ascii="Bookman Old Style" w:hAnsi="Bookman Old Style"/>
          <w:b/>
          <w:bCs/>
          <w:noProof/>
          <w:sz w:val="22"/>
          <w14:ligatures w14:val="standardContextual"/>
        </w:rPr>
      </w:pPr>
      <w:r>
        <w:rPr>
          <w:rFonts w:ascii="Bookman Old Style" w:hAnsi="Bookman Old Style"/>
          <w:b/>
          <w:bCs/>
          <w:noProof/>
          <w:sz w:val="22"/>
          <w14:ligatures w14:val="standardContextual"/>
        </w:rPr>
        <w:t>5. Adjustment Ratios and Average Weekly Testing Rates in Ontario Public Health Units</w:t>
      </w:r>
    </w:p>
    <w:p w14:paraId="4841A40E" w14:textId="464C1370" w:rsidR="00FC5553" w:rsidRDefault="001E643A" w:rsidP="00FC5553">
      <w:pPr>
        <w:spacing w:line="480" w:lineRule="auto"/>
        <w:rPr>
          <w:rFonts w:ascii="Bookman Old Style" w:hAnsi="Bookman Old Style"/>
          <w:noProof/>
          <w:sz w:val="22"/>
          <w14:ligatures w14:val="standardContextual"/>
        </w:rPr>
      </w:pPr>
      <w:r>
        <w:rPr>
          <w:rFonts w:ascii="Bookman Old Style" w:hAnsi="Bookman Old Style"/>
          <w:noProof/>
          <w:sz w:val="22"/>
          <w14:ligatures w14:val="standardContextual"/>
        </w:rPr>
        <w:t xml:space="preserve">(A) Average weekly SARS-CoV-2 testing rates (%) by health unit in Southern Ontario. (entire province is presented in inset).  Darker regions had higher rates of testing. </w:t>
      </w:r>
      <w:r w:rsidR="00FC5553">
        <w:rPr>
          <w:rFonts w:ascii="Bookman Old Style" w:hAnsi="Bookman Old Style"/>
          <w:noProof/>
          <w:sz w:val="22"/>
          <w14:ligatures w14:val="standardContextual"/>
        </w:rPr>
        <w:t>(</w:t>
      </w:r>
      <w:r>
        <w:rPr>
          <w:rFonts w:ascii="Bookman Old Style" w:hAnsi="Bookman Old Style"/>
          <w:noProof/>
          <w:sz w:val="22"/>
          <w14:ligatures w14:val="standardContextual"/>
        </w:rPr>
        <w:t>B</w:t>
      </w:r>
      <w:r w:rsidR="00FC5553">
        <w:rPr>
          <w:rFonts w:ascii="Bookman Old Style" w:hAnsi="Bookman Old Style"/>
          <w:noProof/>
          <w:sz w:val="22"/>
          <w14:ligatures w14:val="standardContextual"/>
        </w:rPr>
        <w:t>) Adjustment ratios by health unit in Southern Ontario</w:t>
      </w:r>
      <w:r>
        <w:rPr>
          <w:rFonts w:ascii="Bookman Old Style" w:hAnsi="Bookman Old Style"/>
          <w:noProof/>
          <w:sz w:val="22"/>
          <w14:ligatures w14:val="standardContextual"/>
        </w:rPr>
        <w:t xml:space="preserve"> (entire province in inset)</w:t>
      </w:r>
      <w:r w:rsidR="00FC5553">
        <w:rPr>
          <w:rFonts w:ascii="Bookman Old Style" w:hAnsi="Bookman Old Style"/>
          <w:noProof/>
          <w:sz w:val="22"/>
          <w14:ligatures w14:val="standardContextual"/>
        </w:rPr>
        <w:t xml:space="preserve">.  Higher (darker) regions have higher adjustment ratios, meaning that unadjusted case </w:t>
      </w:r>
      <w:r w:rsidR="00FC5553">
        <w:rPr>
          <w:rFonts w:ascii="Bookman Old Style" w:hAnsi="Bookman Old Style"/>
          <w:noProof/>
          <w:sz w:val="22"/>
          <w14:ligatures w14:val="standardContextual"/>
        </w:rPr>
        <w:lastRenderedPageBreak/>
        <w:t>counts are relatively closer to test-adjusted case counts than in other health units.  Lighter regions have lower adjustment ratios, indicating a larger relative gap between reported case counts and test-adjusted case counts.</w:t>
      </w:r>
    </w:p>
    <w:p w14:paraId="7178E5C7" w14:textId="77777777" w:rsidR="001E643A" w:rsidRDefault="001E643A" w:rsidP="00FC5553">
      <w:pPr>
        <w:spacing w:line="480" w:lineRule="auto"/>
        <w:rPr>
          <w:rFonts w:ascii="Bookman Old Style" w:hAnsi="Bookman Old Style"/>
          <w:noProof/>
          <w:sz w:val="22"/>
          <w14:ligatures w14:val="standardContextual"/>
        </w:rPr>
      </w:pPr>
    </w:p>
    <w:p w14:paraId="3EC6F969" w14:textId="5B9B6D7D" w:rsidR="001E643A" w:rsidRPr="00AD1D6F" w:rsidRDefault="001E643A" w:rsidP="005211BD">
      <w:pPr>
        <w:spacing w:line="480" w:lineRule="auto"/>
        <w:jc w:val="center"/>
        <w:rPr>
          <w:rFonts w:ascii="Bookman Old Style" w:hAnsi="Bookman Old Style"/>
          <w:noProof/>
          <w:sz w:val="22"/>
          <w14:ligatures w14:val="standardContextual"/>
        </w:rPr>
      </w:pPr>
      <w:r>
        <w:rPr>
          <w:rFonts w:ascii="Bookman Old Style" w:hAnsi="Bookman Old Style"/>
          <w:noProof/>
          <w:sz w:val="22"/>
          <w14:ligatures w14:val="standardContextual"/>
        </w:rPr>
        <w:drawing>
          <wp:inline distT="0" distB="0" distL="0" distR="0" wp14:anchorId="74C42F72" wp14:editId="0D72F93F">
            <wp:extent cx="5964299" cy="4138542"/>
            <wp:effectExtent l="0" t="0" r="0" b="0"/>
            <wp:docPr id="399935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35798" name="Picture 399935798"/>
                    <pic:cNvPicPr/>
                  </pic:nvPicPr>
                  <pic:blipFill>
                    <a:blip r:embed="rId16"/>
                    <a:stretch>
                      <a:fillRect/>
                    </a:stretch>
                  </pic:blipFill>
                  <pic:spPr>
                    <a:xfrm>
                      <a:off x="0" y="0"/>
                      <a:ext cx="5970669" cy="4142962"/>
                    </a:xfrm>
                    <a:prstGeom prst="rect">
                      <a:avLst/>
                    </a:prstGeom>
                  </pic:spPr>
                </pic:pic>
              </a:graphicData>
            </a:graphic>
          </wp:inline>
        </w:drawing>
      </w:r>
    </w:p>
    <w:p w14:paraId="193F8DD2" w14:textId="5E44125F" w:rsidR="00FC5553" w:rsidRPr="00AC7C77" w:rsidRDefault="00FC5553" w:rsidP="00FC5553">
      <w:pPr>
        <w:spacing w:line="480" w:lineRule="auto"/>
        <w:rPr>
          <w:rFonts w:ascii="Bookman Old Style" w:hAnsi="Bookman Old Style"/>
          <w:b/>
          <w:bCs/>
          <w:noProof/>
          <w:sz w:val="22"/>
          <w14:ligatures w14:val="standardContextual"/>
        </w:rPr>
      </w:pPr>
    </w:p>
    <w:p w14:paraId="36308356" w14:textId="77777777" w:rsidR="00FC5553" w:rsidRDefault="00FC5553" w:rsidP="00FC5553">
      <w:pPr>
        <w:spacing w:line="480" w:lineRule="auto"/>
        <w:rPr>
          <w:rFonts w:ascii="Bookman Old Style" w:hAnsi="Bookman Old Style"/>
          <w:noProof/>
          <w:sz w:val="22"/>
          <w14:ligatures w14:val="standardContextual"/>
        </w:rPr>
      </w:pPr>
    </w:p>
    <w:p w14:paraId="7E2B501B" w14:textId="77777777" w:rsidR="00FC5553" w:rsidRDefault="00FC5553" w:rsidP="00FC5553">
      <w:pPr>
        <w:rPr>
          <w:rFonts w:ascii="Bookman Old Style" w:hAnsi="Bookman Old Style"/>
          <w:b/>
          <w:bCs/>
          <w:noProof/>
          <w:sz w:val="22"/>
          <w14:ligatures w14:val="standardContextual"/>
        </w:rPr>
      </w:pPr>
      <w:r>
        <w:rPr>
          <w:rFonts w:ascii="Bookman Old Style" w:hAnsi="Bookman Old Style"/>
          <w:b/>
          <w:bCs/>
          <w:noProof/>
          <w:sz w:val="22"/>
          <w14:ligatures w14:val="standardContextual"/>
        </w:rPr>
        <w:br w:type="page"/>
      </w:r>
    </w:p>
    <w:p w14:paraId="5F388C3C" w14:textId="77777777" w:rsidR="00FC5553" w:rsidRPr="005211BD" w:rsidRDefault="00FC5553" w:rsidP="005211BD">
      <w:pPr>
        <w:rPr>
          <w:rFonts w:ascii="Bookman Old Style" w:hAnsi="Bookman Old Style"/>
        </w:rPr>
      </w:pPr>
    </w:p>
    <w:p w14:paraId="0700CBC9" w14:textId="77777777" w:rsidR="00C71572" w:rsidRPr="005211BD" w:rsidRDefault="00C71572" w:rsidP="005211BD">
      <w:pPr>
        <w:pStyle w:val="ListParagraph"/>
        <w:spacing w:line="480" w:lineRule="auto"/>
        <w:rPr>
          <w:rFonts w:ascii="Bookman Old Style" w:hAnsi="Bookman Old Style"/>
          <w:b/>
          <w:bCs/>
          <w:sz w:val="22"/>
        </w:rPr>
      </w:pPr>
    </w:p>
    <w:p w14:paraId="5C3A9E96" w14:textId="6F00622D" w:rsidR="00307119" w:rsidRDefault="00FC5553" w:rsidP="00307B80">
      <w:pPr>
        <w:spacing w:line="480" w:lineRule="auto"/>
        <w:rPr>
          <w:rFonts w:ascii="Bookman Old Style" w:hAnsi="Bookman Old Style"/>
          <w:b/>
          <w:bCs/>
          <w:sz w:val="22"/>
        </w:rPr>
      </w:pPr>
      <w:r>
        <w:rPr>
          <w:rFonts w:ascii="Bookman Old Style" w:hAnsi="Bookman Old Style"/>
          <w:b/>
          <w:bCs/>
          <w:sz w:val="22"/>
        </w:rPr>
        <w:t>6</w:t>
      </w:r>
      <w:r w:rsidR="00C71572">
        <w:rPr>
          <w:rFonts w:ascii="Bookman Old Style" w:hAnsi="Bookman Old Style"/>
          <w:b/>
          <w:bCs/>
          <w:sz w:val="22"/>
        </w:rPr>
        <w:t xml:space="preserve">. </w:t>
      </w:r>
      <w:r w:rsidR="00656A04">
        <w:rPr>
          <w:rFonts w:ascii="Bookman Old Style" w:hAnsi="Bookman Old Style"/>
          <w:b/>
          <w:bCs/>
          <w:sz w:val="22"/>
        </w:rPr>
        <w:t xml:space="preserve">Adjustment </w:t>
      </w:r>
      <w:r w:rsidR="002C0B08">
        <w:rPr>
          <w:rFonts w:ascii="Bookman Old Style" w:hAnsi="Bookman Old Style"/>
          <w:b/>
          <w:bCs/>
          <w:sz w:val="22"/>
        </w:rPr>
        <w:t>R</w:t>
      </w:r>
      <w:r w:rsidR="00656A04">
        <w:rPr>
          <w:rFonts w:ascii="Bookman Old Style" w:hAnsi="Bookman Old Style"/>
          <w:b/>
          <w:bCs/>
          <w:sz w:val="22"/>
        </w:rPr>
        <w:t>atio</w:t>
      </w:r>
      <w:r w:rsidR="00307119">
        <w:rPr>
          <w:rFonts w:ascii="Bookman Old Style" w:hAnsi="Bookman Old Style"/>
          <w:b/>
          <w:bCs/>
          <w:sz w:val="22"/>
        </w:rPr>
        <w:t>s by Age, Sex and Time Period</w:t>
      </w:r>
    </w:p>
    <w:p w14:paraId="4E4BEAEE" w14:textId="695463C0" w:rsidR="00307119" w:rsidRPr="00307119" w:rsidRDefault="00307119" w:rsidP="005E1277">
      <w:pPr>
        <w:spacing w:line="480" w:lineRule="auto"/>
        <w:rPr>
          <w:rFonts w:ascii="Bookman Old Style" w:hAnsi="Bookman Old Style"/>
          <w:sz w:val="22"/>
        </w:rPr>
      </w:pPr>
      <w:r w:rsidRPr="00307119">
        <w:rPr>
          <w:rFonts w:ascii="Bookman Old Style" w:hAnsi="Bookman Old Style"/>
          <w:sz w:val="22"/>
        </w:rPr>
        <w:t xml:space="preserve">Panel A (left) </w:t>
      </w:r>
      <w:r>
        <w:rPr>
          <w:rFonts w:ascii="Bookman Old Style" w:hAnsi="Bookman Old Style"/>
          <w:sz w:val="22"/>
        </w:rPr>
        <w:t xml:space="preserve">shows </w:t>
      </w:r>
      <w:r w:rsidR="00656A04">
        <w:rPr>
          <w:rFonts w:ascii="Bookman Old Style" w:hAnsi="Bookman Old Style"/>
          <w:sz w:val="22"/>
        </w:rPr>
        <w:t>adjustment ratio</w:t>
      </w:r>
      <w:r>
        <w:rPr>
          <w:rFonts w:ascii="Bookman Old Style" w:hAnsi="Bookman Old Style"/>
          <w:sz w:val="22"/>
        </w:rPr>
        <w:t xml:space="preserve">s (Y-axis), defined as the ratio of reported cases to test-adjusted cases, over the study period by age-grouping (X-axis) and sex.  Red bars represent females; blue bars represent males.  Whiskers represent confidence bounds.  Higher </w:t>
      </w:r>
      <w:r w:rsidR="00656A04">
        <w:rPr>
          <w:rFonts w:ascii="Bookman Old Style" w:hAnsi="Bookman Old Style"/>
          <w:sz w:val="22"/>
        </w:rPr>
        <w:t>adjustment ratio</w:t>
      </w:r>
      <w:r>
        <w:rPr>
          <w:rFonts w:ascii="Bookman Old Style" w:hAnsi="Bookman Old Style"/>
          <w:sz w:val="22"/>
        </w:rPr>
        <w:t xml:space="preserve">s indicate a smaller relative gap between reported cases and test-adjusted cases.  Panel B (right) shows </w:t>
      </w:r>
      <w:r w:rsidR="00656A04">
        <w:rPr>
          <w:rFonts w:ascii="Bookman Old Style" w:hAnsi="Bookman Old Style"/>
          <w:sz w:val="22"/>
        </w:rPr>
        <w:t>adjustment ratio</w:t>
      </w:r>
      <w:r>
        <w:rPr>
          <w:rFonts w:ascii="Bookman Old Style" w:hAnsi="Bookman Old Style"/>
          <w:sz w:val="22"/>
        </w:rPr>
        <w:t xml:space="preserve">s for the population </w:t>
      </w:r>
      <w:proofErr w:type="gramStart"/>
      <w:r>
        <w:rPr>
          <w:rFonts w:ascii="Bookman Old Style" w:hAnsi="Bookman Old Style"/>
          <w:sz w:val="22"/>
        </w:rPr>
        <w:t>as a whole in</w:t>
      </w:r>
      <w:proofErr w:type="gramEnd"/>
      <w:r>
        <w:rPr>
          <w:rFonts w:ascii="Bookman Old Style" w:hAnsi="Bookman Old Style"/>
          <w:sz w:val="22"/>
        </w:rPr>
        <w:t xml:space="preserve"> each of six distinct pandemic waves.  During waves 3 and 4, in the presence of high rates of testing, </w:t>
      </w:r>
      <w:r w:rsidR="00656A04">
        <w:rPr>
          <w:rFonts w:ascii="Bookman Old Style" w:hAnsi="Bookman Old Style"/>
          <w:sz w:val="22"/>
        </w:rPr>
        <w:t>adjustment ratio</w:t>
      </w:r>
      <w:r>
        <w:rPr>
          <w:rFonts w:ascii="Bookman Old Style" w:hAnsi="Bookman Old Style"/>
          <w:sz w:val="22"/>
        </w:rPr>
        <w:t>s were close to 1.</w:t>
      </w:r>
      <w:r w:rsidR="0035438B">
        <w:rPr>
          <w:rFonts w:ascii="Bookman Old Style" w:hAnsi="Bookman Old Style"/>
          <w:sz w:val="22"/>
        </w:rPr>
        <w:t xml:space="preserve">  Note that these adjustment ratios differ from </w:t>
      </w:r>
    </w:p>
    <w:p w14:paraId="33A9E788" w14:textId="6C8FBB76" w:rsidR="00B938FA" w:rsidRDefault="00AB3414" w:rsidP="005E1277">
      <w:pPr>
        <w:spacing w:line="480" w:lineRule="auto"/>
        <w:rPr>
          <w:rFonts w:ascii="Bookman Old Style" w:hAnsi="Bookman Old Style"/>
          <w:b/>
          <w:bCs/>
          <w:sz w:val="22"/>
        </w:rPr>
      </w:pPr>
      <w:r w:rsidRPr="00AB3414">
        <w:rPr>
          <w:rFonts w:ascii="Bookman Old Style" w:hAnsi="Bookman Old Style"/>
          <w:b/>
          <w:bCs/>
          <w:noProof/>
          <w:sz w:val="22"/>
        </w:rPr>
        <w:drawing>
          <wp:inline distT="0" distB="0" distL="0" distR="0" wp14:anchorId="68315EF7" wp14:editId="42527A00">
            <wp:extent cx="5943600" cy="2991485"/>
            <wp:effectExtent l="0" t="0" r="0" b="5715"/>
            <wp:docPr id="86170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05042" name=""/>
                    <pic:cNvPicPr/>
                  </pic:nvPicPr>
                  <pic:blipFill>
                    <a:blip r:embed="rId17"/>
                    <a:stretch>
                      <a:fillRect/>
                    </a:stretch>
                  </pic:blipFill>
                  <pic:spPr>
                    <a:xfrm>
                      <a:off x="0" y="0"/>
                      <a:ext cx="5943600" cy="2991485"/>
                    </a:xfrm>
                    <a:prstGeom prst="rect">
                      <a:avLst/>
                    </a:prstGeom>
                  </pic:spPr>
                </pic:pic>
              </a:graphicData>
            </a:graphic>
          </wp:inline>
        </w:drawing>
      </w:r>
      <w:r w:rsidRPr="00AB3414">
        <w:rPr>
          <w:noProof/>
          <w14:ligatures w14:val="standardContextual"/>
        </w:rPr>
        <w:t xml:space="preserve"> </w:t>
      </w:r>
    </w:p>
    <w:p w14:paraId="1E49BFA6" w14:textId="1A826C8C" w:rsidR="00EC6322" w:rsidRDefault="00EC6322">
      <w:pPr>
        <w:rPr>
          <w:rFonts w:ascii="Bookman Old Style" w:hAnsi="Bookman Old Style"/>
          <w:b/>
          <w:bCs/>
          <w:sz w:val="22"/>
        </w:rPr>
      </w:pPr>
    </w:p>
    <w:p w14:paraId="3283655C" w14:textId="1FC8E319" w:rsidR="009569B7" w:rsidRDefault="00FC5553" w:rsidP="005E1277">
      <w:pPr>
        <w:spacing w:line="480" w:lineRule="auto"/>
        <w:rPr>
          <w:rFonts w:ascii="Bookman Old Style" w:hAnsi="Bookman Old Style"/>
          <w:b/>
          <w:bCs/>
          <w:sz w:val="22"/>
        </w:rPr>
      </w:pPr>
      <w:r>
        <w:rPr>
          <w:rFonts w:ascii="Bookman Old Style" w:hAnsi="Bookman Old Style"/>
          <w:b/>
          <w:bCs/>
          <w:sz w:val="22"/>
        </w:rPr>
        <w:t>7</w:t>
      </w:r>
      <w:r w:rsidR="009569B7">
        <w:rPr>
          <w:rFonts w:ascii="Bookman Old Style" w:hAnsi="Bookman Old Style"/>
          <w:b/>
          <w:bCs/>
          <w:sz w:val="22"/>
        </w:rPr>
        <w:t>.</w:t>
      </w:r>
      <w:r w:rsidR="00EC6322">
        <w:rPr>
          <w:rFonts w:ascii="Bookman Old Style" w:hAnsi="Bookman Old Style"/>
          <w:b/>
          <w:bCs/>
          <w:sz w:val="22"/>
        </w:rPr>
        <w:t xml:space="preserve"> Forest Plot of </w:t>
      </w:r>
      <w:r w:rsidR="00656A04">
        <w:rPr>
          <w:rFonts w:ascii="Bookman Old Style" w:hAnsi="Bookman Old Style"/>
          <w:b/>
          <w:bCs/>
          <w:sz w:val="22"/>
        </w:rPr>
        <w:t>Adjustment Ratio</w:t>
      </w:r>
      <w:r w:rsidR="00EC6322">
        <w:rPr>
          <w:rFonts w:ascii="Bookman Old Style" w:hAnsi="Bookman Old Style"/>
          <w:b/>
          <w:bCs/>
          <w:sz w:val="22"/>
        </w:rPr>
        <w:t>s by Ontario Health Unit</w:t>
      </w:r>
    </w:p>
    <w:p w14:paraId="0404A28B" w14:textId="0427AFCE" w:rsidR="00EC6322" w:rsidRPr="00EC6322" w:rsidRDefault="00EC6322" w:rsidP="005E1277">
      <w:pPr>
        <w:spacing w:line="480" w:lineRule="auto"/>
        <w:rPr>
          <w:rFonts w:ascii="Bookman Old Style" w:hAnsi="Bookman Old Style"/>
          <w:sz w:val="22"/>
        </w:rPr>
      </w:pPr>
      <w:r>
        <w:rPr>
          <w:rFonts w:ascii="Bookman Old Style" w:hAnsi="Bookman Old Style"/>
          <w:sz w:val="22"/>
        </w:rPr>
        <w:t xml:space="preserve">Health unit names are listed on the left size of the figure; </w:t>
      </w:r>
      <w:r w:rsidR="00656A04">
        <w:rPr>
          <w:rFonts w:ascii="Bookman Old Style" w:hAnsi="Bookman Old Style"/>
          <w:sz w:val="22"/>
        </w:rPr>
        <w:t>adjustment ratio</w:t>
      </w:r>
      <w:r>
        <w:rPr>
          <w:rFonts w:ascii="Bookman Old Style" w:hAnsi="Bookman Old Style"/>
          <w:sz w:val="22"/>
        </w:rPr>
        <w:t xml:space="preserve">s (“effect size”, or “ES”) are listed on the right with 95% confidence intervals.  Box sizes are inversely proportional to variance of estimates.  Ratios range from 0.11 in </w:t>
      </w:r>
      <w:r>
        <w:rPr>
          <w:rFonts w:ascii="Bookman Old Style" w:hAnsi="Bookman Old Style"/>
          <w:sz w:val="22"/>
        </w:rPr>
        <w:lastRenderedPageBreak/>
        <w:t xml:space="preserve">Timiskaming to 0.69 in Peel, with a mean </w:t>
      </w:r>
      <w:r w:rsidR="00656A04">
        <w:rPr>
          <w:rFonts w:ascii="Bookman Old Style" w:hAnsi="Bookman Old Style"/>
          <w:sz w:val="22"/>
        </w:rPr>
        <w:t>adjustment ratio</w:t>
      </w:r>
      <w:r>
        <w:rPr>
          <w:rFonts w:ascii="Bookman Old Style" w:hAnsi="Bookman Old Style"/>
          <w:sz w:val="22"/>
        </w:rPr>
        <w:t xml:space="preserve"> of 0.31 across all health units, and substantial between health unit heterogeneity.</w:t>
      </w:r>
    </w:p>
    <w:p w14:paraId="23752B9A" w14:textId="77777777" w:rsidR="00EC6322" w:rsidRDefault="00EC6322" w:rsidP="005E1277">
      <w:pPr>
        <w:spacing w:line="480" w:lineRule="auto"/>
        <w:rPr>
          <w:rFonts w:ascii="Bookman Old Style" w:hAnsi="Bookman Old Style"/>
          <w:b/>
          <w:bCs/>
          <w:sz w:val="22"/>
        </w:rPr>
      </w:pPr>
    </w:p>
    <w:p w14:paraId="338F2CF8" w14:textId="019019A1" w:rsidR="00EC6322" w:rsidRDefault="007279C7" w:rsidP="005E1277">
      <w:pPr>
        <w:spacing w:line="480" w:lineRule="auto"/>
        <w:rPr>
          <w:rFonts w:ascii="Bookman Old Style" w:hAnsi="Bookman Old Style"/>
          <w:b/>
          <w:bCs/>
          <w:sz w:val="22"/>
        </w:rPr>
      </w:pPr>
      <w:r w:rsidRPr="007279C7">
        <w:rPr>
          <w:noProof/>
          <w14:ligatures w14:val="standardContextual"/>
        </w:rPr>
        <w:t xml:space="preserve"> </w:t>
      </w:r>
      <w:r w:rsidRPr="007279C7">
        <w:rPr>
          <w:rFonts w:ascii="Bookman Old Style" w:hAnsi="Bookman Old Style"/>
          <w:b/>
          <w:bCs/>
          <w:noProof/>
          <w:sz w:val="22"/>
        </w:rPr>
        <w:drawing>
          <wp:inline distT="0" distB="0" distL="0" distR="0" wp14:anchorId="3EBAB194" wp14:editId="762CC257">
            <wp:extent cx="5943600" cy="5965190"/>
            <wp:effectExtent l="0" t="0" r="0" b="3810"/>
            <wp:docPr id="124008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8881" name=""/>
                    <pic:cNvPicPr/>
                  </pic:nvPicPr>
                  <pic:blipFill>
                    <a:blip r:embed="rId18"/>
                    <a:stretch>
                      <a:fillRect/>
                    </a:stretch>
                  </pic:blipFill>
                  <pic:spPr>
                    <a:xfrm>
                      <a:off x="0" y="0"/>
                      <a:ext cx="5943600" cy="5965190"/>
                    </a:xfrm>
                    <a:prstGeom prst="rect">
                      <a:avLst/>
                    </a:prstGeom>
                  </pic:spPr>
                </pic:pic>
              </a:graphicData>
            </a:graphic>
          </wp:inline>
        </w:drawing>
      </w:r>
    </w:p>
    <w:p w14:paraId="36C306D1" w14:textId="02850FC7" w:rsidR="00B938FA" w:rsidRDefault="00C75ACE" w:rsidP="00B938FA">
      <w:pPr>
        <w:spacing w:line="480" w:lineRule="auto"/>
        <w:rPr>
          <w:rFonts w:ascii="Bookman Old Style" w:hAnsi="Bookman Old Style"/>
          <w:b/>
          <w:bCs/>
          <w:sz w:val="22"/>
        </w:rPr>
      </w:pPr>
      <w:r>
        <w:rPr>
          <w:rFonts w:ascii="Bookman Old Style" w:hAnsi="Bookman Old Style"/>
          <w:b/>
          <w:bCs/>
          <w:sz w:val="22"/>
        </w:rPr>
        <w:t>8</w:t>
      </w:r>
      <w:r w:rsidR="00B938FA">
        <w:rPr>
          <w:rFonts w:ascii="Bookman Old Style" w:hAnsi="Bookman Old Style"/>
          <w:b/>
          <w:bCs/>
          <w:sz w:val="22"/>
        </w:rPr>
        <w:t>.</w:t>
      </w:r>
      <w:r w:rsidR="00A74BE1">
        <w:rPr>
          <w:rFonts w:ascii="Bookman Old Style" w:hAnsi="Bookman Old Style"/>
          <w:b/>
          <w:bCs/>
          <w:sz w:val="22"/>
        </w:rPr>
        <w:t xml:space="preserve"> Observed and Predicted </w:t>
      </w:r>
      <w:r w:rsidR="00656A04">
        <w:rPr>
          <w:rFonts w:ascii="Bookman Old Style" w:hAnsi="Bookman Old Style"/>
          <w:b/>
          <w:bCs/>
          <w:sz w:val="22"/>
        </w:rPr>
        <w:t>Adjustment Ratio</w:t>
      </w:r>
      <w:r w:rsidR="00A74BE1">
        <w:rPr>
          <w:rFonts w:ascii="Bookman Old Style" w:hAnsi="Bookman Old Style"/>
          <w:b/>
          <w:bCs/>
          <w:sz w:val="22"/>
        </w:rPr>
        <w:t>s and Per Capita Testing</w:t>
      </w:r>
    </w:p>
    <w:p w14:paraId="4B78F600" w14:textId="40B87C85" w:rsidR="00A74BE1" w:rsidRPr="00A74BE1" w:rsidRDefault="00A74BE1" w:rsidP="00B938FA">
      <w:pPr>
        <w:spacing w:line="480" w:lineRule="auto"/>
        <w:rPr>
          <w:rFonts w:ascii="Bookman Old Style" w:hAnsi="Bookman Old Style"/>
          <w:sz w:val="22"/>
        </w:rPr>
      </w:pPr>
      <w:r>
        <w:rPr>
          <w:rFonts w:ascii="Bookman Old Style" w:hAnsi="Bookman Old Style"/>
          <w:sz w:val="22"/>
        </w:rPr>
        <w:lastRenderedPageBreak/>
        <w:t xml:space="preserve">Circles represent observed (red) and predicted (blue) </w:t>
      </w:r>
      <w:r w:rsidR="00656A04">
        <w:rPr>
          <w:rFonts w:ascii="Bookman Old Style" w:hAnsi="Bookman Old Style"/>
          <w:sz w:val="22"/>
        </w:rPr>
        <w:t>adjustment ratio</w:t>
      </w:r>
      <w:r>
        <w:rPr>
          <w:rFonts w:ascii="Bookman Old Style" w:hAnsi="Bookman Old Style"/>
          <w:sz w:val="22"/>
        </w:rPr>
        <w:t>s</w:t>
      </w:r>
      <w:r w:rsidR="007279C7">
        <w:rPr>
          <w:rFonts w:ascii="Bookman Old Style" w:hAnsi="Bookman Old Style"/>
          <w:sz w:val="22"/>
        </w:rPr>
        <w:t xml:space="preserve"> (</w:t>
      </w:r>
      <w:proofErr w:type="spellStart"/>
      <w:r w:rsidR="007279C7">
        <w:rPr>
          <w:rFonts w:ascii="Bookman Old Style" w:hAnsi="Bookman Old Style"/>
          <w:sz w:val="22"/>
        </w:rPr>
        <w:t>AjR</w:t>
      </w:r>
      <w:proofErr w:type="spellEnd"/>
      <w:r w:rsidR="007279C7">
        <w:rPr>
          <w:rFonts w:ascii="Bookman Old Style" w:hAnsi="Bookman Old Style"/>
          <w:sz w:val="22"/>
        </w:rPr>
        <w:t>)</w:t>
      </w:r>
      <w:r>
        <w:rPr>
          <w:rFonts w:ascii="Bookman Old Style" w:hAnsi="Bookman Old Style"/>
          <w:sz w:val="22"/>
        </w:rPr>
        <w:t xml:space="preserve"> for SARS-CoV-2 by Ontario public health unit.  Predicted </w:t>
      </w:r>
      <w:proofErr w:type="spellStart"/>
      <w:r w:rsidR="007279C7">
        <w:rPr>
          <w:rFonts w:ascii="Bookman Old Style" w:hAnsi="Bookman Old Style"/>
          <w:sz w:val="22"/>
        </w:rPr>
        <w:t>AjR</w:t>
      </w:r>
      <w:proofErr w:type="spellEnd"/>
      <w:r>
        <w:rPr>
          <w:rFonts w:ascii="Bookman Old Style" w:hAnsi="Bookman Old Style"/>
          <w:sz w:val="22"/>
        </w:rPr>
        <w:t xml:space="preserve"> are derived from a meta-regression model, which also adjusts for prevalence of multi-generational households by public health unit.  Size of circles is inversely proportional to the variance of the estimate.  Straight lines are lines of best fit for observed (red) and predicted (blue) estimates.</w:t>
      </w:r>
    </w:p>
    <w:p w14:paraId="54E4377E" w14:textId="77777777" w:rsidR="009569B7" w:rsidRPr="009569B7" w:rsidRDefault="009569B7" w:rsidP="005E1277">
      <w:pPr>
        <w:spacing w:line="480" w:lineRule="auto"/>
        <w:rPr>
          <w:rFonts w:ascii="Bookman Old Style" w:hAnsi="Bookman Old Style"/>
          <w:b/>
          <w:bCs/>
          <w:sz w:val="22"/>
        </w:rPr>
      </w:pPr>
    </w:p>
    <w:p w14:paraId="7B1FE601" w14:textId="3FDFD0DE" w:rsidR="00B94135" w:rsidRDefault="007279C7" w:rsidP="005211BD">
      <w:pPr>
        <w:spacing w:line="480" w:lineRule="auto"/>
      </w:pPr>
      <w:r w:rsidRPr="007279C7">
        <w:rPr>
          <w:noProof/>
          <w14:ligatures w14:val="standardContextual"/>
        </w:rPr>
        <w:t xml:space="preserve"> </w:t>
      </w:r>
      <w:r w:rsidRPr="007279C7">
        <w:rPr>
          <w:rFonts w:ascii="Bookman Old Style" w:hAnsi="Bookman Old Style"/>
          <w:b/>
          <w:bCs/>
          <w:noProof/>
          <w:sz w:val="22"/>
        </w:rPr>
        <w:drawing>
          <wp:inline distT="0" distB="0" distL="0" distR="0" wp14:anchorId="31B6D4DF" wp14:editId="4E114ACC">
            <wp:extent cx="5029200" cy="3657600"/>
            <wp:effectExtent l="0" t="0" r="0" b="0"/>
            <wp:docPr id="504713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13490" name=""/>
                    <pic:cNvPicPr/>
                  </pic:nvPicPr>
                  <pic:blipFill>
                    <a:blip r:embed="rId19"/>
                    <a:stretch>
                      <a:fillRect/>
                    </a:stretch>
                  </pic:blipFill>
                  <pic:spPr>
                    <a:xfrm>
                      <a:off x="0" y="0"/>
                      <a:ext cx="5029200" cy="3657600"/>
                    </a:xfrm>
                    <a:prstGeom prst="rect">
                      <a:avLst/>
                    </a:prstGeom>
                  </pic:spPr>
                </pic:pic>
              </a:graphicData>
            </a:graphic>
          </wp:inline>
        </w:drawing>
      </w:r>
    </w:p>
    <w:sectPr w:rsidR="00B94135" w:rsidSect="007C4FB1">
      <w:footerReference w:type="even" r:id="rId20"/>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FCAC1" w14:textId="77777777" w:rsidR="009E7C6A" w:rsidRDefault="009E7C6A" w:rsidP="00746C3B">
      <w:r>
        <w:separator/>
      </w:r>
    </w:p>
  </w:endnote>
  <w:endnote w:type="continuationSeparator" w:id="0">
    <w:p w14:paraId="3499A413" w14:textId="77777777" w:rsidR="009E7C6A" w:rsidRDefault="009E7C6A" w:rsidP="0074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13041030"/>
      <w:docPartObj>
        <w:docPartGallery w:val="Page Numbers (Bottom of Page)"/>
        <w:docPartUnique/>
      </w:docPartObj>
    </w:sdtPr>
    <w:sdtContent>
      <w:p w14:paraId="752F2A5F" w14:textId="24EE730C" w:rsidR="00746C3B" w:rsidRDefault="00746C3B" w:rsidP="00AA03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533BEF" w14:textId="77777777" w:rsidR="00746C3B" w:rsidRDefault="00746C3B" w:rsidP="005211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5952591"/>
      <w:docPartObj>
        <w:docPartGallery w:val="Page Numbers (Bottom of Page)"/>
        <w:docPartUnique/>
      </w:docPartObj>
    </w:sdtPr>
    <w:sdtContent>
      <w:p w14:paraId="39C6A31C" w14:textId="229E8FCA" w:rsidR="00746C3B" w:rsidRDefault="00746C3B" w:rsidP="00AA03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4CE3A8" w14:textId="77777777" w:rsidR="00746C3B" w:rsidRDefault="00746C3B" w:rsidP="005211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1BB9B" w14:textId="77777777" w:rsidR="009E7C6A" w:rsidRDefault="009E7C6A" w:rsidP="00746C3B">
      <w:r>
        <w:separator/>
      </w:r>
    </w:p>
  </w:footnote>
  <w:footnote w:type="continuationSeparator" w:id="0">
    <w:p w14:paraId="372B10A6" w14:textId="77777777" w:rsidR="009E7C6A" w:rsidRDefault="009E7C6A" w:rsidP="00746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4AE1"/>
    <w:multiLevelType w:val="hybridMultilevel"/>
    <w:tmpl w:val="204A12BE"/>
    <w:lvl w:ilvl="0" w:tplc="1CB4A9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B4C82"/>
    <w:multiLevelType w:val="hybridMultilevel"/>
    <w:tmpl w:val="E0E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D26BC"/>
    <w:multiLevelType w:val="hybridMultilevel"/>
    <w:tmpl w:val="A88A3BD2"/>
    <w:lvl w:ilvl="0" w:tplc="6C0CA8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8248C"/>
    <w:multiLevelType w:val="hybridMultilevel"/>
    <w:tmpl w:val="866C602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BC37680"/>
    <w:multiLevelType w:val="hybridMultilevel"/>
    <w:tmpl w:val="74464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82D9C"/>
    <w:multiLevelType w:val="hybridMultilevel"/>
    <w:tmpl w:val="032E7E04"/>
    <w:lvl w:ilvl="0" w:tplc="6C1A9C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0A1D2E"/>
    <w:multiLevelType w:val="hybridMultilevel"/>
    <w:tmpl w:val="57502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D4230F"/>
    <w:multiLevelType w:val="hybridMultilevel"/>
    <w:tmpl w:val="EAF66E7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8458976">
    <w:abstractNumId w:val="3"/>
  </w:num>
  <w:num w:numId="2" w16cid:durableId="1113398666">
    <w:abstractNumId w:val="1"/>
  </w:num>
  <w:num w:numId="3" w16cid:durableId="1551722450">
    <w:abstractNumId w:val="4"/>
  </w:num>
  <w:num w:numId="4" w16cid:durableId="780878706">
    <w:abstractNumId w:val="6"/>
  </w:num>
  <w:num w:numId="5" w16cid:durableId="1379205589">
    <w:abstractNumId w:val="7"/>
  </w:num>
  <w:num w:numId="6" w16cid:durableId="2112510301">
    <w:abstractNumId w:val="0"/>
  </w:num>
  <w:num w:numId="7" w16cid:durableId="1462724232">
    <w:abstractNumId w:val="5"/>
  </w:num>
  <w:num w:numId="8" w16cid:durableId="705561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als Internal Medicine&lt;/Style&gt;&lt;LeftDelim&gt;{&lt;/LeftDelim&gt;&lt;RightDelim&gt;}&lt;/RightDelim&gt;&lt;FontName&gt;Bookman Old Style&lt;/FontName&gt;&lt;FontSize&gt;11&lt;/FontSize&gt;&lt;ReflistTitle&gt;&lt;style face=&quot;bold&quot;&gt;References&lt;/sty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9frp99dz69ttr0ezppfxxxtutsr2fwazaxap&quot;&gt;Endnote refs2&lt;record-ids&gt;&lt;item&gt;72&lt;/item&gt;&lt;item&gt;406&lt;/item&gt;&lt;item&gt;407&lt;/item&gt;&lt;item&gt;525&lt;/item&gt;&lt;item&gt;527&lt;/item&gt;&lt;/record-ids&gt;&lt;/item&gt;&lt;/Libraries&gt;"/>
  </w:docVars>
  <w:rsids>
    <w:rsidRoot w:val="004306C2"/>
    <w:rsid w:val="00000679"/>
    <w:rsid w:val="000107EE"/>
    <w:rsid w:val="00016131"/>
    <w:rsid w:val="000162A1"/>
    <w:rsid w:val="00031EA4"/>
    <w:rsid w:val="0003404D"/>
    <w:rsid w:val="00061740"/>
    <w:rsid w:val="000670F2"/>
    <w:rsid w:val="00067891"/>
    <w:rsid w:val="0007242C"/>
    <w:rsid w:val="00073A45"/>
    <w:rsid w:val="000848AD"/>
    <w:rsid w:val="00094C17"/>
    <w:rsid w:val="0009626D"/>
    <w:rsid w:val="000A6491"/>
    <w:rsid w:val="000B117A"/>
    <w:rsid w:val="000B2AF2"/>
    <w:rsid w:val="000B58ED"/>
    <w:rsid w:val="000F5C67"/>
    <w:rsid w:val="00100F0C"/>
    <w:rsid w:val="00116BA3"/>
    <w:rsid w:val="0013689A"/>
    <w:rsid w:val="0014758D"/>
    <w:rsid w:val="00153FC5"/>
    <w:rsid w:val="00171082"/>
    <w:rsid w:val="0017207D"/>
    <w:rsid w:val="001750D4"/>
    <w:rsid w:val="00177493"/>
    <w:rsid w:val="0019072B"/>
    <w:rsid w:val="00191361"/>
    <w:rsid w:val="00194383"/>
    <w:rsid w:val="001A1EFC"/>
    <w:rsid w:val="001A31DE"/>
    <w:rsid w:val="001B2361"/>
    <w:rsid w:val="001C22C3"/>
    <w:rsid w:val="001C66A5"/>
    <w:rsid w:val="001C6B34"/>
    <w:rsid w:val="001D154E"/>
    <w:rsid w:val="001D7962"/>
    <w:rsid w:val="001E643A"/>
    <w:rsid w:val="001E72E1"/>
    <w:rsid w:val="00211839"/>
    <w:rsid w:val="002471CE"/>
    <w:rsid w:val="00252B38"/>
    <w:rsid w:val="002535CC"/>
    <w:rsid w:val="00266AA8"/>
    <w:rsid w:val="00273A68"/>
    <w:rsid w:val="00293BB6"/>
    <w:rsid w:val="002B041A"/>
    <w:rsid w:val="002B4AF3"/>
    <w:rsid w:val="002C0B08"/>
    <w:rsid w:val="002C47E0"/>
    <w:rsid w:val="002C5693"/>
    <w:rsid w:val="002D5FF9"/>
    <w:rsid w:val="002E0518"/>
    <w:rsid w:val="002E1647"/>
    <w:rsid w:val="002E2728"/>
    <w:rsid w:val="002E49E5"/>
    <w:rsid w:val="00307119"/>
    <w:rsid w:val="00307B80"/>
    <w:rsid w:val="00310900"/>
    <w:rsid w:val="00320F30"/>
    <w:rsid w:val="00333665"/>
    <w:rsid w:val="00333DC9"/>
    <w:rsid w:val="0035438B"/>
    <w:rsid w:val="00364A49"/>
    <w:rsid w:val="003908AE"/>
    <w:rsid w:val="0039334E"/>
    <w:rsid w:val="003A08E9"/>
    <w:rsid w:val="003C39FB"/>
    <w:rsid w:val="003C40A9"/>
    <w:rsid w:val="003C5D20"/>
    <w:rsid w:val="003E1518"/>
    <w:rsid w:val="003E1CDC"/>
    <w:rsid w:val="003E2506"/>
    <w:rsid w:val="003F4E6E"/>
    <w:rsid w:val="003F728F"/>
    <w:rsid w:val="0040780E"/>
    <w:rsid w:val="00417E98"/>
    <w:rsid w:val="00421D66"/>
    <w:rsid w:val="004234F9"/>
    <w:rsid w:val="00425A46"/>
    <w:rsid w:val="00430280"/>
    <w:rsid w:val="004306C2"/>
    <w:rsid w:val="00444172"/>
    <w:rsid w:val="0044738E"/>
    <w:rsid w:val="00447BD7"/>
    <w:rsid w:val="0045341A"/>
    <w:rsid w:val="00481220"/>
    <w:rsid w:val="00482172"/>
    <w:rsid w:val="004910BC"/>
    <w:rsid w:val="00496342"/>
    <w:rsid w:val="00497185"/>
    <w:rsid w:val="004B4433"/>
    <w:rsid w:val="004D4A64"/>
    <w:rsid w:val="005033FD"/>
    <w:rsid w:val="0050589F"/>
    <w:rsid w:val="00505A58"/>
    <w:rsid w:val="005101AC"/>
    <w:rsid w:val="00513B6E"/>
    <w:rsid w:val="00513D6E"/>
    <w:rsid w:val="005211BD"/>
    <w:rsid w:val="005242B2"/>
    <w:rsid w:val="00525366"/>
    <w:rsid w:val="005304E3"/>
    <w:rsid w:val="0053502E"/>
    <w:rsid w:val="005400BB"/>
    <w:rsid w:val="00546592"/>
    <w:rsid w:val="00555D54"/>
    <w:rsid w:val="005566F0"/>
    <w:rsid w:val="005607DE"/>
    <w:rsid w:val="005658B9"/>
    <w:rsid w:val="0056665D"/>
    <w:rsid w:val="005856D6"/>
    <w:rsid w:val="005D0863"/>
    <w:rsid w:val="005D65BC"/>
    <w:rsid w:val="005E1277"/>
    <w:rsid w:val="005E2836"/>
    <w:rsid w:val="005F4748"/>
    <w:rsid w:val="00600485"/>
    <w:rsid w:val="00624495"/>
    <w:rsid w:val="00645016"/>
    <w:rsid w:val="00647FED"/>
    <w:rsid w:val="00650906"/>
    <w:rsid w:val="00656A04"/>
    <w:rsid w:val="00664CC1"/>
    <w:rsid w:val="006941A5"/>
    <w:rsid w:val="006A3789"/>
    <w:rsid w:val="006A7917"/>
    <w:rsid w:val="006C141B"/>
    <w:rsid w:val="006C44BB"/>
    <w:rsid w:val="006C6DCD"/>
    <w:rsid w:val="006F0B50"/>
    <w:rsid w:val="006F50A7"/>
    <w:rsid w:val="00702106"/>
    <w:rsid w:val="007028F7"/>
    <w:rsid w:val="007226C2"/>
    <w:rsid w:val="007279C7"/>
    <w:rsid w:val="007416F4"/>
    <w:rsid w:val="00741D6C"/>
    <w:rsid w:val="007451C2"/>
    <w:rsid w:val="00746C3B"/>
    <w:rsid w:val="00754948"/>
    <w:rsid w:val="00770074"/>
    <w:rsid w:val="0077034E"/>
    <w:rsid w:val="007843BB"/>
    <w:rsid w:val="0078593E"/>
    <w:rsid w:val="0078602D"/>
    <w:rsid w:val="007A298F"/>
    <w:rsid w:val="007B6DA2"/>
    <w:rsid w:val="007C4FB1"/>
    <w:rsid w:val="007C53E2"/>
    <w:rsid w:val="007E1662"/>
    <w:rsid w:val="007F1A7E"/>
    <w:rsid w:val="00817477"/>
    <w:rsid w:val="00817EB6"/>
    <w:rsid w:val="00832F3B"/>
    <w:rsid w:val="00835200"/>
    <w:rsid w:val="00846E69"/>
    <w:rsid w:val="008473B0"/>
    <w:rsid w:val="00847CC0"/>
    <w:rsid w:val="00850A1F"/>
    <w:rsid w:val="0085105C"/>
    <w:rsid w:val="00856732"/>
    <w:rsid w:val="008768CD"/>
    <w:rsid w:val="008954CC"/>
    <w:rsid w:val="008A3B59"/>
    <w:rsid w:val="008B4ED3"/>
    <w:rsid w:val="008C0D98"/>
    <w:rsid w:val="008E1131"/>
    <w:rsid w:val="008E74D5"/>
    <w:rsid w:val="008F0785"/>
    <w:rsid w:val="008F64AD"/>
    <w:rsid w:val="0090493B"/>
    <w:rsid w:val="0091160B"/>
    <w:rsid w:val="0091207F"/>
    <w:rsid w:val="009265EB"/>
    <w:rsid w:val="00933F56"/>
    <w:rsid w:val="00953091"/>
    <w:rsid w:val="009549AC"/>
    <w:rsid w:val="009569B7"/>
    <w:rsid w:val="009614B7"/>
    <w:rsid w:val="009623C5"/>
    <w:rsid w:val="00965281"/>
    <w:rsid w:val="00982D7B"/>
    <w:rsid w:val="0099129C"/>
    <w:rsid w:val="009A2881"/>
    <w:rsid w:val="009A5DF7"/>
    <w:rsid w:val="009A6746"/>
    <w:rsid w:val="009C01A9"/>
    <w:rsid w:val="009E1CF1"/>
    <w:rsid w:val="009E7C6A"/>
    <w:rsid w:val="00A005FE"/>
    <w:rsid w:val="00A018EA"/>
    <w:rsid w:val="00A12343"/>
    <w:rsid w:val="00A159CF"/>
    <w:rsid w:val="00A229DC"/>
    <w:rsid w:val="00A23C92"/>
    <w:rsid w:val="00A301FC"/>
    <w:rsid w:val="00A342D7"/>
    <w:rsid w:val="00A36371"/>
    <w:rsid w:val="00A36915"/>
    <w:rsid w:val="00A37096"/>
    <w:rsid w:val="00A4063B"/>
    <w:rsid w:val="00A4424B"/>
    <w:rsid w:val="00A44F31"/>
    <w:rsid w:val="00A5379A"/>
    <w:rsid w:val="00A67FB3"/>
    <w:rsid w:val="00A74BE1"/>
    <w:rsid w:val="00A74D72"/>
    <w:rsid w:val="00A77BDE"/>
    <w:rsid w:val="00A83260"/>
    <w:rsid w:val="00A8419E"/>
    <w:rsid w:val="00A847D1"/>
    <w:rsid w:val="00A854FD"/>
    <w:rsid w:val="00A90930"/>
    <w:rsid w:val="00A96D3C"/>
    <w:rsid w:val="00AB3414"/>
    <w:rsid w:val="00AC15A2"/>
    <w:rsid w:val="00AC5C23"/>
    <w:rsid w:val="00AC6828"/>
    <w:rsid w:val="00AC7C77"/>
    <w:rsid w:val="00AD1D6F"/>
    <w:rsid w:val="00AD7F13"/>
    <w:rsid w:val="00AF1B09"/>
    <w:rsid w:val="00AF1FBD"/>
    <w:rsid w:val="00B22785"/>
    <w:rsid w:val="00B258B0"/>
    <w:rsid w:val="00B265F1"/>
    <w:rsid w:val="00B405B2"/>
    <w:rsid w:val="00B4092A"/>
    <w:rsid w:val="00B62C1C"/>
    <w:rsid w:val="00B6414C"/>
    <w:rsid w:val="00B938FA"/>
    <w:rsid w:val="00B94135"/>
    <w:rsid w:val="00B968E0"/>
    <w:rsid w:val="00BA4A26"/>
    <w:rsid w:val="00BB0E22"/>
    <w:rsid w:val="00BE6F51"/>
    <w:rsid w:val="00BF5411"/>
    <w:rsid w:val="00C04418"/>
    <w:rsid w:val="00C07AAE"/>
    <w:rsid w:val="00C3333F"/>
    <w:rsid w:val="00C36A32"/>
    <w:rsid w:val="00C41F0D"/>
    <w:rsid w:val="00C65020"/>
    <w:rsid w:val="00C71572"/>
    <w:rsid w:val="00C72BF6"/>
    <w:rsid w:val="00C75ACE"/>
    <w:rsid w:val="00C7714E"/>
    <w:rsid w:val="00C80D8C"/>
    <w:rsid w:val="00C86AE0"/>
    <w:rsid w:val="00CA0772"/>
    <w:rsid w:val="00CA56D9"/>
    <w:rsid w:val="00CB6B1A"/>
    <w:rsid w:val="00CD0AE6"/>
    <w:rsid w:val="00CD674E"/>
    <w:rsid w:val="00CF2B07"/>
    <w:rsid w:val="00D03EBA"/>
    <w:rsid w:val="00D20BE2"/>
    <w:rsid w:val="00D2208F"/>
    <w:rsid w:val="00D275F8"/>
    <w:rsid w:val="00D32397"/>
    <w:rsid w:val="00D33899"/>
    <w:rsid w:val="00D33EDC"/>
    <w:rsid w:val="00D33F1A"/>
    <w:rsid w:val="00D42212"/>
    <w:rsid w:val="00D55E30"/>
    <w:rsid w:val="00D62A90"/>
    <w:rsid w:val="00D77A44"/>
    <w:rsid w:val="00D83535"/>
    <w:rsid w:val="00D87ED1"/>
    <w:rsid w:val="00D90B43"/>
    <w:rsid w:val="00D92AA7"/>
    <w:rsid w:val="00DB7C62"/>
    <w:rsid w:val="00DD384B"/>
    <w:rsid w:val="00DD4CEE"/>
    <w:rsid w:val="00DE35EB"/>
    <w:rsid w:val="00DE6A40"/>
    <w:rsid w:val="00DF2F78"/>
    <w:rsid w:val="00DF4C5C"/>
    <w:rsid w:val="00DF7F35"/>
    <w:rsid w:val="00E100B9"/>
    <w:rsid w:val="00E24C15"/>
    <w:rsid w:val="00E3178A"/>
    <w:rsid w:val="00E357AA"/>
    <w:rsid w:val="00E42D16"/>
    <w:rsid w:val="00E4685C"/>
    <w:rsid w:val="00E56940"/>
    <w:rsid w:val="00E62897"/>
    <w:rsid w:val="00E72234"/>
    <w:rsid w:val="00E860FA"/>
    <w:rsid w:val="00E9071E"/>
    <w:rsid w:val="00E92858"/>
    <w:rsid w:val="00E97AA1"/>
    <w:rsid w:val="00EA1BE9"/>
    <w:rsid w:val="00EA3319"/>
    <w:rsid w:val="00EA4427"/>
    <w:rsid w:val="00EA58BE"/>
    <w:rsid w:val="00EA73D6"/>
    <w:rsid w:val="00EB2635"/>
    <w:rsid w:val="00EC10D9"/>
    <w:rsid w:val="00EC5763"/>
    <w:rsid w:val="00EC6322"/>
    <w:rsid w:val="00ED3D29"/>
    <w:rsid w:val="00ED68E6"/>
    <w:rsid w:val="00EF71CD"/>
    <w:rsid w:val="00F00838"/>
    <w:rsid w:val="00F01399"/>
    <w:rsid w:val="00F0263D"/>
    <w:rsid w:val="00F05008"/>
    <w:rsid w:val="00F13B9D"/>
    <w:rsid w:val="00F249C3"/>
    <w:rsid w:val="00F336AC"/>
    <w:rsid w:val="00F36D7A"/>
    <w:rsid w:val="00F43019"/>
    <w:rsid w:val="00F713E1"/>
    <w:rsid w:val="00F81E3B"/>
    <w:rsid w:val="00F861D3"/>
    <w:rsid w:val="00F915A3"/>
    <w:rsid w:val="00F971B2"/>
    <w:rsid w:val="00FB0AE2"/>
    <w:rsid w:val="00FB19B7"/>
    <w:rsid w:val="00FC02CF"/>
    <w:rsid w:val="00FC1DFF"/>
    <w:rsid w:val="00FC2A3C"/>
    <w:rsid w:val="00FC44A4"/>
    <w:rsid w:val="00FC5553"/>
    <w:rsid w:val="00FC5B14"/>
    <w:rsid w:val="00FD24DC"/>
    <w:rsid w:val="00FD57EF"/>
    <w:rsid w:val="00FE407A"/>
    <w:rsid w:val="00FE7C93"/>
    <w:rsid w:val="00FF62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9AB03"/>
  <w15:docId w15:val="{081F2D70-757A-A84B-A8E7-71BC7886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5BC"/>
    <w:rPr>
      <w:rFonts w:ascii="Times New Roman" w:eastAsia="Times New Roman" w:hAnsi="Times New Roman"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06C2"/>
    <w:rPr>
      <w:color w:val="0563C1" w:themeColor="hyperlink"/>
      <w:u w:val="single"/>
    </w:rPr>
  </w:style>
  <w:style w:type="character" w:styleId="UnresolvedMention">
    <w:name w:val="Unresolved Mention"/>
    <w:basedOn w:val="DefaultParagraphFont"/>
    <w:uiPriority w:val="99"/>
    <w:semiHidden/>
    <w:unhideWhenUsed/>
    <w:rsid w:val="004306C2"/>
    <w:rPr>
      <w:color w:val="605E5C"/>
      <w:shd w:val="clear" w:color="auto" w:fill="E1DFDD"/>
    </w:rPr>
  </w:style>
  <w:style w:type="character" w:styleId="CommentReference">
    <w:name w:val="annotation reference"/>
    <w:basedOn w:val="DefaultParagraphFont"/>
    <w:uiPriority w:val="99"/>
    <w:semiHidden/>
    <w:unhideWhenUsed/>
    <w:rsid w:val="00A8419E"/>
    <w:rPr>
      <w:sz w:val="16"/>
      <w:szCs w:val="16"/>
    </w:rPr>
  </w:style>
  <w:style w:type="paragraph" w:customStyle="1" w:styleId="EndNoteBibliographyTitle">
    <w:name w:val="EndNote Bibliography Title"/>
    <w:basedOn w:val="Normal"/>
    <w:link w:val="EndNoteBibliographyTitleChar"/>
    <w:rsid w:val="00194383"/>
    <w:pPr>
      <w:jc w:val="center"/>
    </w:pPr>
    <w:rPr>
      <w:rFonts w:ascii="Bookman Old Style" w:eastAsiaTheme="minorHAnsi" w:hAnsi="Bookman Old Style" w:cs="Calibri"/>
      <w:sz w:val="22"/>
      <w:lang w:val="en-US"/>
    </w:rPr>
  </w:style>
  <w:style w:type="character" w:customStyle="1" w:styleId="EndNoteBibliographyTitleChar">
    <w:name w:val="EndNote Bibliography Title Char"/>
    <w:basedOn w:val="DefaultParagraphFont"/>
    <w:link w:val="EndNoteBibliographyTitle"/>
    <w:rsid w:val="00194383"/>
    <w:rPr>
      <w:rFonts w:ascii="Bookman Old Style" w:hAnsi="Bookman Old Style" w:cs="Calibri"/>
      <w:kern w:val="0"/>
      <w:sz w:val="22"/>
      <w:lang w:val="en-US"/>
      <w14:ligatures w14:val="none"/>
    </w:rPr>
  </w:style>
  <w:style w:type="paragraph" w:customStyle="1" w:styleId="EndNoteBibliography">
    <w:name w:val="EndNote Bibliography"/>
    <w:basedOn w:val="Normal"/>
    <w:link w:val="EndNoteBibliographyChar"/>
    <w:rsid w:val="00194383"/>
    <w:pPr>
      <w:spacing w:line="480" w:lineRule="auto"/>
    </w:pPr>
    <w:rPr>
      <w:rFonts w:ascii="Bookman Old Style" w:eastAsiaTheme="minorHAnsi" w:hAnsi="Bookman Old Style" w:cs="Calibri"/>
      <w:sz w:val="22"/>
      <w:lang w:val="en-US"/>
    </w:rPr>
  </w:style>
  <w:style w:type="character" w:customStyle="1" w:styleId="EndNoteBibliographyChar">
    <w:name w:val="EndNote Bibliography Char"/>
    <w:basedOn w:val="DefaultParagraphFont"/>
    <w:link w:val="EndNoteBibliography"/>
    <w:rsid w:val="00194383"/>
    <w:rPr>
      <w:rFonts w:ascii="Bookman Old Style" w:hAnsi="Bookman Old Style" w:cs="Calibri"/>
      <w:kern w:val="0"/>
      <w:sz w:val="22"/>
      <w:lang w:val="en-US"/>
      <w14:ligatures w14:val="none"/>
    </w:rPr>
  </w:style>
  <w:style w:type="paragraph" w:styleId="NormalWeb">
    <w:name w:val="Normal (Web)"/>
    <w:basedOn w:val="Normal"/>
    <w:uiPriority w:val="99"/>
    <w:semiHidden/>
    <w:unhideWhenUsed/>
    <w:rsid w:val="008C0D98"/>
    <w:pPr>
      <w:spacing w:before="100" w:beforeAutospacing="1" w:after="100" w:afterAutospacing="1"/>
    </w:pPr>
  </w:style>
  <w:style w:type="character" w:customStyle="1" w:styleId="apple-converted-space">
    <w:name w:val="apple-converted-space"/>
    <w:basedOn w:val="DefaultParagraphFont"/>
    <w:rsid w:val="008C0D98"/>
  </w:style>
  <w:style w:type="character" w:styleId="FollowedHyperlink">
    <w:name w:val="FollowedHyperlink"/>
    <w:basedOn w:val="DefaultParagraphFont"/>
    <w:uiPriority w:val="99"/>
    <w:semiHidden/>
    <w:unhideWhenUsed/>
    <w:rsid w:val="008C0D98"/>
    <w:rPr>
      <w:color w:val="954F72" w:themeColor="followedHyperlink"/>
      <w:u w:val="single"/>
    </w:rPr>
  </w:style>
  <w:style w:type="table" w:styleId="TableGrid">
    <w:name w:val="Table Grid"/>
    <w:basedOn w:val="TableNormal"/>
    <w:uiPriority w:val="39"/>
    <w:rsid w:val="00D3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42D7"/>
    <w:rPr>
      <w:kern w:val="0"/>
      <w14:ligatures w14:val="none"/>
    </w:rPr>
  </w:style>
  <w:style w:type="paragraph" w:styleId="CommentText">
    <w:name w:val="annotation text"/>
    <w:basedOn w:val="Normal"/>
    <w:link w:val="CommentTextChar"/>
    <w:uiPriority w:val="99"/>
    <w:semiHidden/>
    <w:unhideWhenUsed/>
    <w:rsid w:val="005856D6"/>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856D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856D6"/>
    <w:rPr>
      <w:b/>
      <w:bCs/>
    </w:rPr>
  </w:style>
  <w:style w:type="character" w:customStyle="1" w:styleId="CommentSubjectChar">
    <w:name w:val="Comment Subject Char"/>
    <w:basedOn w:val="CommentTextChar"/>
    <w:link w:val="CommentSubject"/>
    <w:uiPriority w:val="99"/>
    <w:semiHidden/>
    <w:rsid w:val="005856D6"/>
    <w:rPr>
      <w:b/>
      <w:bCs/>
      <w:kern w:val="0"/>
      <w:sz w:val="20"/>
      <w:szCs w:val="20"/>
      <w14:ligatures w14:val="none"/>
    </w:rPr>
  </w:style>
  <w:style w:type="paragraph" w:styleId="ListParagraph">
    <w:name w:val="List Paragraph"/>
    <w:basedOn w:val="Normal"/>
    <w:uiPriority w:val="34"/>
    <w:qFormat/>
    <w:rsid w:val="00E72234"/>
    <w:pPr>
      <w:ind w:left="720"/>
      <w:contextualSpacing/>
    </w:pPr>
    <w:rPr>
      <w:rFonts w:asciiTheme="minorHAnsi" w:eastAsiaTheme="minorHAnsi" w:hAnsiTheme="minorHAnsi" w:cstheme="minorBidi"/>
      <w:lang w:val="en-US"/>
    </w:rPr>
  </w:style>
  <w:style w:type="character" w:customStyle="1" w:styleId="im">
    <w:name w:val="im"/>
    <w:basedOn w:val="DefaultParagraphFont"/>
    <w:rsid w:val="006C6DCD"/>
  </w:style>
  <w:style w:type="character" w:styleId="Strong">
    <w:name w:val="Strong"/>
    <w:basedOn w:val="DefaultParagraphFont"/>
    <w:uiPriority w:val="22"/>
    <w:qFormat/>
    <w:rsid w:val="006C6DCD"/>
    <w:rPr>
      <w:b/>
      <w:bCs/>
    </w:rPr>
  </w:style>
  <w:style w:type="paragraph" w:styleId="Footer">
    <w:name w:val="footer"/>
    <w:basedOn w:val="Normal"/>
    <w:link w:val="FooterChar"/>
    <w:uiPriority w:val="99"/>
    <w:unhideWhenUsed/>
    <w:rsid w:val="00746C3B"/>
    <w:pPr>
      <w:tabs>
        <w:tab w:val="center" w:pos="4680"/>
        <w:tab w:val="right" w:pos="9360"/>
      </w:tabs>
    </w:pPr>
  </w:style>
  <w:style w:type="character" w:customStyle="1" w:styleId="FooterChar">
    <w:name w:val="Footer Char"/>
    <w:basedOn w:val="DefaultParagraphFont"/>
    <w:link w:val="Footer"/>
    <w:uiPriority w:val="99"/>
    <w:rsid w:val="00746C3B"/>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746C3B"/>
  </w:style>
  <w:style w:type="character" w:styleId="LineNumber">
    <w:name w:val="line number"/>
    <w:basedOn w:val="DefaultParagraphFont"/>
    <w:uiPriority w:val="99"/>
    <w:semiHidden/>
    <w:unhideWhenUsed/>
    <w:rsid w:val="00746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325502">
      <w:bodyDiv w:val="1"/>
      <w:marLeft w:val="0"/>
      <w:marRight w:val="0"/>
      <w:marTop w:val="0"/>
      <w:marBottom w:val="0"/>
      <w:divBdr>
        <w:top w:val="none" w:sz="0" w:space="0" w:color="auto"/>
        <w:left w:val="none" w:sz="0" w:space="0" w:color="auto"/>
        <w:bottom w:val="none" w:sz="0" w:space="0" w:color="auto"/>
        <w:right w:val="none" w:sz="0" w:space="0" w:color="auto"/>
      </w:divBdr>
    </w:div>
    <w:div w:id="314801609">
      <w:bodyDiv w:val="1"/>
      <w:marLeft w:val="0"/>
      <w:marRight w:val="0"/>
      <w:marTop w:val="0"/>
      <w:marBottom w:val="0"/>
      <w:divBdr>
        <w:top w:val="none" w:sz="0" w:space="0" w:color="auto"/>
        <w:left w:val="none" w:sz="0" w:space="0" w:color="auto"/>
        <w:bottom w:val="none" w:sz="0" w:space="0" w:color="auto"/>
        <w:right w:val="none" w:sz="0" w:space="0" w:color="auto"/>
      </w:divBdr>
      <w:divsChild>
        <w:div w:id="290093205">
          <w:marLeft w:val="0"/>
          <w:marRight w:val="0"/>
          <w:marTop w:val="0"/>
          <w:marBottom w:val="0"/>
          <w:divBdr>
            <w:top w:val="none" w:sz="0" w:space="0" w:color="auto"/>
            <w:left w:val="none" w:sz="0" w:space="0" w:color="auto"/>
            <w:bottom w:val="none" w:sz="0" w:space="0" w:color="auto"/>
            <w:right w:val="none" w:sz="0" w:space="0" w:color="auto"/>
          </w:divBdr>
          <w:divsChild>
            <w:div w:id="14697410">
              <w:marLeft w:val="0"/>
              <w:marRight w:val="0"/>
              <w:marTop w:val="0"/>
              <w:marBottom w:val="0"/>
              <w:divBdr>
                <w:top w:val="none" w:sz="0" w:space="0" w:color="auto"/>
                <w:left w:val="none" w:sz="0" w:space="0" w:color="auto"/>
                <w:bottom w:val="none" w:sz="0" w:space="0" w:color="auto"/>
                <w:right w:val="none" w:sz="0" w:space="0" w:color="auto"/>
              </w:divBdr>
              <w:divsChild>
                <w:div w:id="626011269">
                  <w:marLeft w:val="0"/>
                  <w:marRight w:val="0"/>
                  <w:marTop w:val="0"/>
                  <w:marBottom w:val="0"/>
                  <w:divBdr>
                    <w:top w:val="none" w:sz="0" w:space="0" w:color="auto"/>
                    <w:left w:val="none" w:sz="0" w:space="0" w:color="auto"/>
                    <w:bottom w:val="none" w:sz="0" w:space="0" w:color="auto"/>
                    <w:right w:val="none" w:sz="0" w:space="0" w:color="auto"/>
                  </w:divBdr>
                  <w:divsChild>
                    <w:div w:id="1625162199">
                      <w:marLeft w:val="0"/>
                      <w:marRight w:val="0"/>
                      <w:marTop w:val="0"/>
                      <w:marBottom w:val="0"/>
                      <w:divBdr>
                        <w:top w:val="none" w:sz="0" w:space="0" w:color="auto"/>
                        <w:left w:val="none" w:sz="0" w:space="0" w:color="auto"/>
                        <w:bottom w:val="none" w:sz="0" w:space="0" w:color="auto"/>
                        <w:right w:val="none" w:sz="0" w:space="0" w:color="auto"/>
                      </w:divBdr>
                      <w:divsChild>
                        <w:div w:id="1090464066">
                          <w:marLeft w:val="0"/>
                          <w:marRight w:val="0"/>
                          <w:marTop w:val="0"/>
                          <w:marBottom w:val="0"/>
                          <w:divBdr>
                            <w:top w:val="none" w:sz="0" w:space="0" w:color="auto"/>
                            <w:left w:val="none" w:sz="0" w:space="0" w:color="auto"/>
                            <w:bottom w:val="none" w:sz="0" w:space="0" w:color="auto"/>
                            <w:right w:val="none" w:sz="0" w:space="0" w:color="auto"/>
                          </w:divBdr>
                          <w:divsChild>
                            <w:div w:id="179374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765897">
      <w:bodyDiv w:val="1"/>
      <w:marLeft w:val="0"/>
      <w:marRight w:val="0"/>
      <w:marTop w:val="0"/>
      <w:marBottom w:val="0"/>
      <w:divBdr>
        <w:top w:val="none" w:sz="0" w:space="0" w:color="auto"/>
        <w:left w:val="none" w:sz="0" w:space="0" w:color="auto"/>
        <w:bottom w:val="none" w:sz="0" w:space="0" w:color="auto"/>
        <w:right w:val="none" w:sz="0" w:space="0" w:color="auto"/>
      </w:divBdr>
    </w:div>
    <w:div w:id="485316514">
      <w:bodyDiv w:val="1"/>
      <w:marLeft w:val="0"/>
      <w:marRight w:val="0"/>
      <w:marTop w:val="0"/>
      <w:marBottom w:val="0"/>
      <w:divBdr>
        <w:top w:val="none" w:sz="0" w:space="0" w:color="auto"/>
        <w:left w:val="none" w:sz="0" w:space="0" w:color="auto"/>
        <w:bottom w:val="none" w:sz="0" w:space="0" w:color="auto"/>
        <w:right w:val="none" w:sz="0" w:space="0" w:color="auto"/>
      </w:divBdr>
      <w:divsChild>
        <w:div w:id="2031494767">
          <w:marLeft w:val="0"/>
          <w:marRight w:val="0"/>
          <w:marTop w:val="0"/>
          <w:marBottom w:val="0"/>
          <w:divBdr>
            <w:top w:val="none" w:sz="0" w:space="0" w:color="auto"/>
            <w:left w:val="none" w:sz="0" w:space="0" w:color="auto"/>
            <w:bottom w:val="none" w:sz="0" w:space="0" w:color="auto"/>
            <w:right w:val="none" w:sz="0" w:space="0" w:color="auto"/>
          </w:divBdr>
        </w:div>
        <w:div w:id="2082556834">
          <w:marLeft w:val="0"/>
          <w:marRight w:val="0"/>
          <w:marTop w:val="0"/>
          <w:marBottom w:val="0"/>
          <w:divBdr>
            <w:top w:val="none" w:sz="0" w:space="0" w:color="auto"/>
            <w:left w:val="none" w:sz="0" w:space="0" w:color="auto"/>
            <w:bottom w:val="none" w:sz="0" w:space="0" w:color="auto"/>
            <w:right w:val="none" w:sz="0" w:space="0" w:color="auto"/>
          </w:divBdr>
        </w:div>
      </w:divsChild>
    </w:div>
    <w:div w:id="507644491">
      <w:bodyDiv w:val="1"/>
      <w:marLeft w:val="0"/>
      <w:marRight w:val="0"/>
      <w:marTop w:val="0"/>
      <w:marBottom w:val="0"/>
      <w:divBdr>
        <w:top w:val="none" w:sz="0" w:space="0" w:color="auto"/>
        <w:left w:val="none" w:sz="0" w:space="0" w:color="auto"/>
        <w:bottom w:val="none" w:sz="0" w:space="0" w:color="auto"/>
        <w:right w:val="none" w:sz="0" w:space="0" w:color="auto"/>
      </w:divBdr>
    </w:div>
    <w:div w:id="709451949">
      <w:bodyDiv w:val="1"/>
      <w:marLeft w:val="0"/>
      <w:marRight w:val="0"/>
      <w:marTop w:val="0"/>
      <w:marBottom w:val="0"/>
      <w:divBdr>
        <w:top w:val="none" w:sz="0" w:space="0" w:color="auto"/>
        <w:left w:val="none" w:sz="0" w:space="0" w:color="auto"/>
        <w:bottom w:val="none" w:sz="0" w:space="0" w:color="auto"/>
        <w:right w:val="none" w:sz="0" w:space="0" w:color="auto"/>
      </w:divBdr>
    </w:div>
    <w:div w:id="773480899">
      <w:bodyDiv w:val="1"/>
      <w:marLeft w:val="0"/>
      <w:marRight w:val="0"/>
      <w:marTop w:val="0"/>
      <w:marBottom w:val="0"/>
      <w:divBdr>
        <w:top w:val="none" w:sz="0" w:space="0" w:color="auto"/>
        <w:left w:val="none" w:sz="0" w:space="0" w:color="auto"/>
        <w:bottom w:val="none" w:sz="0" w:space="0" w:color="auto"/>
        <w:right w:val="none" w:sz="0" w:space="0" w:color="auto"/>
      </w:divBdr>
    </w:div>
    <w:div w:id="782650149">
      <w:bodyDiv w:val="1"/>
      <w:marLeft w:val="0"/>
      <w:marRight w:val="0"/>
      <w:marTop w:val="0"/>
      <w:marBottom w:val="0"/>
      <w:divBdr>
        <w:top w:val="none" w:sz="0" w:space="0" w:color="auto"/>
        <w:left w:val="none" w:sz="0" w:space="0" w:color="auto"/>
        <w:bottom w:val="none" w:sz="0" w:space="0" w:color="auto"/>
        <w:right w:val="none" w:sz="0" w:space="0" w:color="auto"/>
      </w:divBdr>
    </w:div>
    <w:div w:id="800000401">
      <w:bodyDiv w:val="1"/>
      <w:marLeft w:val="0"/>
      <w:marRight w:val="0"/>
      <w:marTop w:val="0"/>
      <w:marBottom w:val="0"/>
      <w:divBdr>
        <w:top w:val="none" w:sz="0" w:space="0" w:color="auto"/>
        <w:left w:val="none" w:sz="0" w:space="0" w:color="auto"/>
        <w:bottom w:val="none" w:sz="0" w:space="0" w:color="auto"/>
        <w:right w:val="none" w:sz="0" w:space="0" w:color="auto"/>
      </w:divBdr>
    </w:div>
    <w:div w:id="882978882">
      <w:bodyDiv w:val="1"/>
      <w:marLeft w:val="0"/>
      <w:marRight w:val="0"/>
      <w:marTop w:val="0"/>
      <w:marBottom w:val="0"/>
      <w:divBdr>
        <w:top w:val="none" w:sz="0" w:space="0" w:color="auto"/>
        <w:left w:val="none" w:sz="0" w:space="0" w:color="auto"/>
        <w:bottom w:val="none" w:sz="0" w:space="0" w:color="auto"/>
        <w:right w:val="none" w:sz="0" w:space="0" w:color="auto"/>
      </w:divBdr>
    </w:div>
    <w:div w:id="949123206">
      <w:bodyDiv w:val="1"/>
      <w:marLeft w:val="0"/>
      <w:marRight w:val="0"/>
      <w:marTop w:val="0"/>
      <w:marBottom w:val="0"/>
      <w:divBdr>
        <w:top w:val="none" w:sz="0" w:space="0" w:color="auto"/>
        <w:left w:val="none" w:sz="0" w:space="0" w:color="auto"/>
        <w:bottom w:val="none" w:sz="0" w:space="0" w:color="auto"/>
        <w:right w:val="none" w:sz="0" w:space="0" w:color="auto"/>
      </w:divBdr>
    </w:div>
    <w:div w:id="1216358932">
      <w:bodyDiv w:val="1"/>
      <w:marLeft w:val="0"/>
      <w:marRight w:val="0"/>
      <w:marTop w:val="0"/>
      <w:marBottom w:val="0"/>
      <w:divBdr>
        <w:top w:val="none" w:sz="0" w:space="0" w:color="auto"/>
        <w:left w:val="none" w:sz="0" w:space="0" w:color="auto"/>
        <w:bottom w:val="none" w:sz="0" w:space="0" w:color="auto"/>
        <w:right w:val="none" w:sz="0" w:space="0" w:color="auto"/>
      </w:divBdr>
    </w:div>
    <w:div w:id="1224367869">
      <w:bodyDiv w:val="1"/>
      <w:marLeft w:val="0"/>
      <w:marRight w:val="0"/>
      <w:marTop w:val="0"/>
      <w:marBottom w:val="0"/>
      <w:divBdr>
        <w:top w:val="none" w:sz="0" w:space="0" w:color="auto"/>
        <w:left w:val="none" w:sz="0" w:space="0" w:color="auto"/>
        <w:bottom w:val="none" w:sz="0" w:space="0" w:color="auto"/>
        <w:right w:val="none" w:sz="0" w:space="0" w:color="auto"/>
      </w:divBdr>
    </w:div>
    <w:div w:id="1270233852">
      <w:bodyDiv w:val="1"/>
      <w:marLeft w:val="0"/>
      <w:marRight w:val="0"/>
      <w:marTop w:val="0"/>
      <w:marBottom w:val="0"/>
      <w:divBdr>
        <w:top w:val="none" w:sz="0" w:space="0" w:color="auto"/>
        <w:left w:val="none" w:sz="0" w:space="0" w:color="auto"/>
        <w:bottom w:val="none" w:sz="0" w:space="0" w:color="auto"/>
        <w:right w:val="none" w:sz="0" w:space="0" w:color="auto"/>
      </w:divBdr>
    </w:div>
    <w:div w:id="1349329536">
      <w:bodyDiv w:val="1"/>
      <w:marLeft w:val="0"/>
      <w:marRight w:val="0"/>
      <w:marTop w:val="0"/>
      <w:marBottom w:val="0"/>
      <w:divBdr>
        <w:top w:val="none" w:sz="0" w:space="0" w:color="auto"/>
        <w:left w:val="none" w:sz="0" w:space="0" w:color="auto"/>
        <w:bottom w:val="none" w:sz="0" w:space="0" w:color="auto"/>
        <w:right w:val="none" w:sz="0" w:space="0" w:color="auto"/>
      </w:divBdr>
    </w:div>
    <w:div w:id="1419592298">
      <w:bodyDiv w:val="1"/>
      <w:marLeft w:val="0"/>
      <w:marRight w:val="0"/>
      <w:marTop w:val="0"/>
      <w:marBottom w:val="0"/>
      <w:divBdr>
        <w:top w:val="none" w:sz="0" w:space="0" w:color="auto"/>
        <w:left w:val="none" w:sz="0" w:space="0" w:color="auto"/>
        <w:bottom w:val="none" w:sz="0" w:space="0" w:color="auto"/>
        <w:right w:val="none" w:sz="0" w:space="0" w:color="auto"/>
      </w:divBdr>
    </w:div>
    <w:div w:id="1508057155">
      <w:bodyDiv w:val="1"/>
      <w:marLeft w:val="0"/>
      <w:marRight w:val="0"/>
      <w:marTop w:val="0"/>
      <w:marBottom w:val="0"/>
      <w:divBdr>
        <w:top w:val="none" w:sz="0" w:space="0" w:color="auto"/>
        <w:left w:val="none" w:sz="0" w:space="0" w:color="auto"/>
        <w:bottom w:val="none" w:sz="0" w:space="0" w:color="auto"/>
        <w:right w:val="none" w:sz="0" w:space="0" w:color="auto"/>
      </w:divBdr>
      <w:divsChild>
        <w:div w:id="520431437">
          <w:marLeft w:val="0"/>
          <w:marRight w:val="0"/>
          <w:marTop w:val="0"/>
          <w:marBottom w:val="0"/>
          <w:divBdr>
            <w:top w:val="none" w:sz="0" w:space="0" w:color="auto"/>
            <w:left w:val="none" w:sz="0" w:space="0" w:color="auto"/>
            <w:bottom w:val="none" w:sz="0" w:space="0" w:color="auto"/>
            <w:right w:val="none" w:sz="0" w:space="0" w:color="auto"/>
          </w:divBdr>
          <w:divsChild>
            <w:div w:id="1489905224">
              <w:marLeft w:val="0"/>
              <w:marRight w:val="0"/>
              <w:marTop w:val="0"/>
              <w:marBottom w:val="0"/>
              <w:divBdr>
                <w:top w:val="none" w:sz="0" w:space="0" w:color="auto"/>
                <w:left w:val="none" w:sz="0" w:space="0" w:color="auto"/>
                <w:bottom w:val="none" w:sz="0" w:space="0" w:color="auto"/>
                <w:right w:val="none" w:sz="0" w:space="0" w:color="auto"/>
              </w:divBdr>
              <w:divsChild>
                <w:div w:id="1732540747">
                  <w:marLeft w:val="0"/>
                  <w:marRight w:val="0"/>
                  <w:marTop w:val="0"/>
                  <w:marBottom w:val="0"/>
                  <w:divBdr>
                    <w:top w:val="none" w:sz="0" w:space="0" w:color="auto"/>
                    <w:left w:val="none" w:sz="0" w:space="0" w:color="auto"/>
                    <w:bottom w:val="none" w:sz="0" w:space="0" w:color="auto"/>
                    <w:right w:val="none" w:sz="0" w:space="0" w:color="auto"/>
                  </w:divBdr>
                  <w:divsChild>
                    <w:div w:id="377053076">
                      <w:marLeft w:val="0"/>
                      <w:marRight w:val="0"/>
                      <w:marTop w:val="0"/>
                      <w:marBottom w:val="0"/>
                      <w:divBdr>
                        <w:top w:val="none" w:sz="0" w:space="0" w:color="auto"/>
                        <w:left w:val="none" w:sz="0" w:space="0" w:color="auto"/>
                        <w:bottom w:val="none" w:sz="0" w:space="0" w:color="auto"/>
                        <w:right w:val="none" w:sz="0" w:space="0" w:color="auto"/>
                      </w:divBdr>
                      <w:divsChild>
                        <w:div w:id="433674971">
                          <w:marLeft w:val="0"/>
                          <w:marRight w:val="0"/>
                          <w:marTop w:val="0"/>
                          <w:marBottom w:val="0"/>
                          <w:divBdr>
                            <w:top w:val="none" w:sz="0" w:space="0" w:color="auto"/>
                            <w:left w:val="none" w:sz="0" w:space="0" w:color="auto"/>
                            <w:bottom w:val="none" w:sz="0" w:space="0" w:color="auto"/>
                            <w:right w:val="none" w:sz="0" w:space="0" w:color="auto"/>
                          </w:divBdr>
                          <w:divsChild>
                            <w:div w:id="17247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179647">
      <w:bodyDiv w:val="1"/>
      <w:marLeft w:val="0"/>
      <w:marRight w:val="0"/>
      <w:marTop w:val="0"/>
      <w:marBottom w:val="0"/>
      <w:divBdr>
        <w:top w:val="none" w:sz="0" w:space="0" w:color="auto"/>
        <w:left w:val="none" w:sz="0" w:space="0" w:color="auto"/>
        <w:bottom w:val="none" w:sz="0" w:space="0" w:color="auto"/>
        <w:right w:val="none" w:sz="0" w:space="0" w:color="auto"/>
      </w:divBdr>
    </w:div>
    <w:div w:id="1787429336">
      <w:bodyDiv w:val="1"/>
      <w:marLeft w:val="0"/>
      <w:marRight w:val="0"/>
      <w:marTop w:val="0"/>
      <w:marBottom w:val="0"/>
      <w:divBdr>
        <w:top w:val="none" w:sz="0" w:space="0" w:color="auto"/>
        <w:left w:val="none" w:sz="0" w:space="0" w:color="auto"/>
        <w:bottom w:val="none" w:sz="0" w:space="0" w:color="auto"/>
        <w:right w:val="none" w:sz="0" w:space="0" w:color="auto"/>
      </w:divBdr>
    </w:div>
    <w:div w:id="1811049601">
      <w:bodyDiv w:val="1"/>
      <w:marLeft w:val="0"/>
      <w:marRight w:val="0"/>
      <w:marTop w:val="0"/>
      <w:marBottom w:val="0"/>
      <w:divBdr>
        <w:top w:val="none" w:sz="0" w:space="0" w:color="auto"/>
        <w:left w:val="none" w:sz="0" w:space="0" w:color="auto"/>
        <w:bottom w:val="none" w:sz="0" w:space="0" w:color="auto"/>
        <w:right w:val="none" w:sz="0" w:space="0" w:color="auto"/>
      </w:divBdr>
    </w:div>
    <w:div w:id="1816219361">
      <w:bodyDiv w:val="1"/>
      <w:marLeft w:val="0"/>
      <w:marRight w:val="0"/>
      <w:marTop w:val="0"/>
      <w:marBottom w:val="0"/>
      <w:divBdr>
        <w:top w:val="none" w:sz="0" w:space="0" w:color="auto"/>
        <w:left w:val="none" w:sz="0" w:space="0" w:color="auto"/>
        <w:bottom w:val="none" w:sz="0" w:space="0" w:color="auto"/>
        <w:right w:val="none" w:sz="0" w:space="0" w:color="auto"/>
      </w:divBdr>
    </w:div>
    <w:div w:id="1867329494">
      <w:bodyDiv w:val="1"/>
      <w:marLeft w:val="0"/>
      <w:marRight w:val="0"/>
      <w:marTop w:val="0"/>
      <w:marBottom w:val="0"/>
      <w:divBdr>
        <w:top w:val="none" w:sz="0" w:space="0" w:color="auto"/>
        <w:left w:val="none" w:sz="0" w:space="0" w:color="auto"/>
        <w:bottom w:val="none" w:sz="0" w:space="0" w:color="auto"/>
        <w:right w:val="none" w:sz="0" w:space="0" w:color="auto"/>
      </w:divBdr>
    </w:div>
    <w:div w:id="1882087814">
      <w:bodyDiv w:val="1"/>
      <w:marLeft w:val="0"/>
      <w:marRight w:val="0"/>
      <w:marTop w:val="0"/>
      <w:marBottom w:val="0"/>
      <w:divBdr>
        <w:top w:val="none" w:sz="0" w:space="0" w:color="auto"/>
        <w:left w:val="none" w:sz="0" w:space="0" w:color="auto"/>
        <w:bottom w:val="none" w:sz="0" w:space="0" w:color="auto"/>
        <w:right w:val="none" w:sz="0" w:space="0" w:color="auto"/>
      </w:divBdr>
    </w:div>
    <w:div w:id="2127119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1190</Words>
  <Characters>6785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Fisman</dc:creator>
  <cp:keywords/>
  <dc:description/>
  <cp:lastModifiedBy>David Fisman</cp:lastModifiedBy>
  <cp:revision>3</cp:revision>
  <cp:lastPrinted>2023-10-03T15:29:00Z</cp:lastPrinted>
  <dcterms:created xsi:type="dcterms:W3CDTF">2025-03-21T16:14:00Z</dcterms:created>
  <dcterms:modified xsi:type="dcterms:W3CDTF">2025-03-21T16:21:00Z</dcterms:modified>
</cp:coreProperties>
</file>