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AE8ED" w14:textId="5DF6ED41" w:rsidR="003B0EC2" w:rsidRDefault="00000000">
      <w:pPr>
        <w:rPr>
          <w:rFonts w:ascii="Times New Roman" w:hAnsi="Times New Roman" w:cs="Times New Roman"/>
          <w:b/>
          <w:bCs/>
          <w:sz w:val="30"/>
          <w:szCs w:val="30"/>
        </w:rPr>
      </w:pPr>
      <w:r>
        <w:rPr>
          <w:rFonts w:ascii="Times New Roman" w:hAnsi="Times New Roman" w:cs="Times New Roman" w:hint="eastAsia"/>
          <w:b/>
          <w:bCs/>
          <w:sz w:val="30"/>
          <w:szCs w:val="30"/>
        </w:rPr>
        <w:t>Supplementary Figure S1-S</w:t>
      </w:r>
      <w:r w:rsidR="00AB4A37">
        <w:rPr>
          <w:rFonts w:ascii="Times New Roman" w:hAnsi="Times New Roman" w:cs="Times New Roman" w:hint="eastAsia"/>
          <w:b/>
          <w:bCs/>
          <w:sz w:val="30"/>
          <w:szCs w:val="30"/>
        </w:rPr>
        <w:t>9</w:t>
      </w:r>
      <w:r>
        <w:rPr>
          <w:rFonts w:ascii="Times New Roman" w:hAnsi="Times New Roman" w:cs="Times New Roman" w:hint="eastAsia"/>
          <w:b/>
          <w:bCs/>
          <w:sz w:val="30"/>
          <w:szCs w:val="30"/>
        </w:rPr>
        <w:t xml:space="preserve"> for</w:t>
      </w:r>
    </w:p>
    <w:p w14:paraId="4A16B752" w14:textId="77777777" w:rsidR="003B0EC2" w:rsidRDefault="00000000">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Multi-omics Driven Biomarker Discovery and Pathological Insights into </w:t>
      </w:r>
      <w:r>
        <w:rPr>
          <w:rFonts w:ascii="Times New Roman" w:hAnsi="Times New Roman" w:cs="Times New Roman"/>
          <w:b/>
          <w:bCs/>
          <w:i/>
          <w:iCs/>
          <w:sz w:val="24"/>
          <w:szCs w:val="24"/>
        </w:rPr>
        <w:t>Pseudomonas aeruginosa</w:t>
      </w:r>
      <w:r>
        <w:rPr>
          <w:rFonts w:ascii="Times New Roman" w:hAnsi="Times New Roman" w:cs="Times New Roman"/>
          <w:b/>
          <w:bCs/>
          <w:sz w:val="24"/>
          <w:szCs w:val="24"/>
        </w:rPr>
        <w:t xml:space="preserve"> Pneumonia</w:t>
      </w:r>
    </w:p>
    <w:p w14:paraId="64839BEE" w14:textId="77777777" w:rsidR="003B0EC2" w:rsidRDefault="003B0EC2">
      <w:pPr>
        <w:spacing w:line="276" w:lineRule="auto"/>
        <w:rPr>
          <w:rFonts w:ascii="Times New Roman" w:hAnsi="Times New Roman" w:cs="Times New Roman"/>
          <w:b/>
          <w:bCs/>
          <w:sz w:val="24"/>
          <w:szCs w:val="24"/>
        </w:rPr>
      </w:pPr>
    </w:p>
    <w:p w14:paraId="2801DCD1" w14:textId="77777777" w:rsidR="003B0EC2" w:rsidRDefault="00000000">
      <w:pPr>
        <w:spacing w:line="276" w:lineRule="auto"/>
        <w:rPr>
          <w:rFonts w:ascii="Times New Roman" w:hAnsi="Times New Roman" w:cs="Times New Roman"/>
          <w:szCs w:val="21"/>
          <w:vertAlign w:val="superscript"/>
        </w:rPr>
      </w:pPr>
      <w:bookmarkStart w:id="0" w:name="_Hlk162341810"/>
      <w:r>
        <w:rPr>
          <w:rFonts w:ascii="Times New Roman" w:hAnsi="Times New Roman" w:cs="Times New Roman"/>
          <w:szCs w:val="21"/>
        </w:rPr>
        <w:t xml:space="preserve">Zhiwei Lin, </w:t>
      </w:r>
      <w:proofErr w:type="spellStart"/>
      <w:r>
        <w:rPr>
          <w:rFonts w:ascii="Times New Roman" w:hAnsi="Times New Roman" w:cs="Times New Roman"/>
          <w:szCs w:val="21"/>
        </w:rPr>
        <w:t>Mingshan</w:t>
      </w:r>
      <w:proofErr w:type="spellEnd"/>
      <w:r>
        <w:rPr>
          <w:rFonts w:ascii="Times New Roman" w:hAnsi="Times New Roman" w:cs="Times New Roman"/>
          <w:szCs w:val="21"/>
        </w:rPr>
        <w:t xml:space="preserve"> Xue, </w:t>
      </w:r>
      <w:proofErr w:type="spellStart"/>
      <w:r>
        <w:rPr>
          <w:rFonts w:ascii="Times New Roman" w:hAnsi="Times New Roman" w:cs="Times New Roman"/>
          <w:szCs w:val="21"/>
        </w:rPr>
        <w:t>Mingqing</w:t>
      </w:r>
      <w:proofErr w:type="spellEnd"/>
      <w:r>
        <w:rPr>
          <w:rFonts w:ascii="Times New Roman" w:hAnsi="Times New Roman" w:cs="Times New Roman"/>
          <w:szCs w:val="21"/>
        </w:rPr>
        <w:t xml:space="preserve"> Lu, </w:t>
      </w:r>
      <w:r>
        <w:rPr>
          <w:rFonts w:ascii="Times New Roman" w:hAnsi="Times New Roman" w:cs="Times New Roman" w:hint="eastAsia"/>
          <w:szCs w:val="21"/>
        </w:rPr>
        <w:t xml:space="preserve">Shuang Liu, </w:t>
      </w:r>
      <w:proofErr w:type="spellStart"/>
      <w:r>
        <w:rPr>
          <w:rFonts w:ascii="Times New Roman" w:hAnsi="Times New Roman" w:cs="Times New Roman"/>
          <w:szCs w:val="21"/>
        </w:rPr>
        <w:t>Yueting</w:t>
      </w:r>
      <w:proofErr w:type="spellEnd"/>
      <w:r>
        <w:rPr>
          <w:rFonts w:ascii="Times New Roman" w:hAnsi="Times New Roman" w:cs="Times New Roman"/>
          <w:szCs w:val="21"/>
        </w:rPr>
        <w:t xml:space="preserve"> Jiang,</w:t>
      </w:r>
      <w:r>
        <w:rPr>
          <w:rFonts w:ascii="Times New Roman" w:hAnsi="Times New Roman" w:cs="Times New Roman" w:hint="eastAsia"/>
          <w:szCs w:val="21"/>
        </w:rPr>
        <w:t xml:space="preserve"> </w:t>
      </w:r>
      <w:proofErr w:type="spellStart"/>
      <w:r>
        <w:rPr>
          <w:rFonts w:ascii="Times New Roman" w:hAnsi="Times New Roman" w:cs="Times New Roman"/>
          <w:szCs w:val="21"/>
        </w:rPr>
        <w:t>Qianyue</w:t>
      </w:r>
      <w:proofErr w:type="spellEnd"/>
      <w:r>
        <w:rPr>
          <w:rFonts w:ascii="Times New Roman" w:hAnsi="Times New Roman" w:cs="Times New Roman"/>
          <w:szCs w:val="21"/>
        </w:rPr>
        <w:t xml:space="preserve"> Yang, Honghui Cui, Xia Huang, </w:t>
      </w:r>
      <w:proofErr w:type="spellStart"/>
      <w:r>
        <w:rPr>
          <w:rFonts w:ascii="Times New Roman" w:hAnsi="Times New Roman" w:cs="Times New Roman" w:hint="eastAsia"/>
          <w:szCs w:val="21"/>
        </w:rPr>
        <w:t>Zeguang</w:t>
      </w:r>
      <w:proofErr w:type="spellEnd"/>
      <w:r>
        <w:rPr>
          <w:rFonts w:ascii="Times New Roman" w:hAnsi="Times New Roman" w:cs="Times New Roman" w:hint="eastAsia"/>
          <w:szCs w:val="21"/>
        </w:rPr>
        <w:t xml:space="preserve"> Zheng</w:t>
      </w:r>
      <w:r>
        <w:rPr>
          <w:rFonts w:ascii="Times New Roman" w:hAnsi="Times New Roman" w:cs="Times New Roman"/>
          <w:szCs w:val="21"/>
        </w:rPr>
        <w:t xml:space="preserve">, </w:t>
      </w:r>
      <w:proofErr w:type="spellStart"/>
      <w:r>
        <w:rPr>
          <w:rFonts w:ascii="Times New Roman" w:hAnsi="Times New Roman" w:cs="Times New Roman"/>
          <w:szCs w:val="21"/>
        </w:rPr>
        <w:t>Baoqing</w:t>
      </w:r>
      <w:proofErr w:type="spellEnd"/>
      <w:r>
        <w:rPr>
          <w:rFonts w:ascii="Times New Roman" w:hAnsi="Times New Roman" w:cs="Times New Roman"/>
          <w:szCs w:val="21"/>
        </w:rPr>
        <w:t xml:space="preserve"> Sun</w:t>
      </w:r>
    </w:p>
    <w:bookmarkEnd w:id="0"/>
    <w:p w14:paraId="6A811238" w14:textId="77777777" w:rsidR="003B0EC2" w:rsidRDefault="003B0EC2">
      <w:pPr>
        <w:rPr>
          <w:rFonts w:ascii="Times New Roman" w:hAnsi="Times New Roman" w:cs="Times New Roman"/>
          <w:b/>
          <w:bCs/>
          <w:szCs w:val="21"/>
        </w:rPr>
      </w:pPr>
    </w:p>
    <w:p w14:paraId="74A4D571" w14:textId="77777777" w:rsidR="003B0EC2" w:rsidRDefault="00000000">
      <w:pPr>
        <w:pStyle w:val="a7"/>
        <w:numPr>
          <w:ilvl w:val="0"/>
          <w:numId w:val="1"/>
        </w:numPr>
        <w:ind w:firstLineChars="0"/>
        <w:rPr>
          <w:rFonts w:ascii="Times New Roman" w:hAnsi="Times New Roman" w:cs="Times New Roman"/>
          <w:szCs w:val="21"/>
        </w:rPr>
      </w:pPr>
      <w:r>
        <w:rPr>
          <w:rFonts w:ascii="Times New Roman" w:hAnsi="Times New Roman" w:cs="Times New Roman" w:hint="eastAsia"/>
          <w:szCs w:val="21"/>
        </w:rPr>
        <w:t>Figure S1. Proteomic Stratification and Co-expression Module Analysis.</w:t>
      </w:r>
    </w:p>
    <w:p w14:paraId="729D4DDA" w14:textId="77777777" w:rsidR="003B0EC2" w:rsidRDefault="00000000">
      <w:pPr>
        <w:pStyle w:val="a7"/>
        <w:numPr>
          <w:ilvl w:val="0"/>
          <w:numId w:val="1"/>
        </w:numPr>
        <w:ind w:firstLineChars="0"/>
        <w:rPr>
          <w:rFonts w:ascii="Times New Roman" w:hAnsi="Times New Roman" w:cs="Times New Roman"/>
          <w:szCs w:val="21"/>
        </w:rPr>
      </w:pPr>
      <w:r>
        <w:rPr>
          <w:rFonts w:ascii="Times New Roman" w:hAnsi="Times New Roman" w:cs="Times New Roman" w:hint="eastAsia"/>
          <w:szCs w:val="21"/>
        </w:rPr>
        <w:t>Figure S2. Functional and Pathway Enrichment Analysis of 16 Differentially Expressed Proteins.</w:t>
      </w:r>
    </w:p>
    <w:p w14:paraId="17C0A380" w14:textId="77777777" w:rsidR="003B0EC2" w:rsidRDefault="00000000">
      <w:pPr>
        <w:pStyle w:val="a7"/>
        <w:numPr>
          <w:ilvl w:val="0"/>
          <w:numId w:val="1"/>
        </w:numPr>
        <w:ind w:firstLineChars="0"/>
        <w:rPr>
          <w:rFonts w:ascii="Times New Roman" w:hAnsi="Times New Roman" w:cs="Times New Roman"/>
          <w:szCs w:val="21"/>
        </w:rPr>
      </w:pPr>
      <w:r>
        <w:rPr>
          <w:rFonts w:ascii="Times New Roman" w:hAnsi="Times New Roman" w:cs="Times New Roman" w:hint="eastAsia"/>
          <w:szCs w:val="21"/>
        </w:rPr>
        <w:t xml:space="preserve">Figure S3. GO terms and KEGG pathways of </w:t>
      </w:r>
      <w:r>
        <w:rPr>
          <w:rFonts w:ascii="Times New Roman" w:hAnsi="Times New Roman" w:cs="Times New Roman" w:hint="eastAsia"/>
          <w:i/>
          <w:iCs/>
          <w:szCs w:val="21"/>
        </w:rPr>
        <w:t>P. aeruginosa</w:t>
      </w:r>
      <w:r>
        <w:rPr>
          <w:rFonts w:ascii="Times New Roman" w:hAnsi="Times New Roman" w:cs="Times New Roman" w:hint="eastAsia"/>
          <w:szCs w:val="21"/>
        </w:rPr>
        <w:t>-associated differentially expressed proteins and Spearman correlation analysis between P. aeruginosa-associated differentially expressed proteins and immune cells.</w:t>
      </w:r>
    </w:p>
    <w:p w14:paraId="544D305A" w14:textId="77777777" w:rsidR="003B0EC2" w:rsidRDefault="00000000">
      <w:pPr>
        <w:pStyle w:val="a7"/>
        <w:numPr>
          <w:ilvl w:val="0"/>
          <w:numId w:val="1"/>
        </w:numPr>
        <w:ind w:firstLineChars="0"/>
        <w:rPr>
          <w:rFonts w:ascii="Times New Roman" w:hAnsi="Times New Roman" w:cs="Times New Roman"/>
          <w:szCs w:val="21"/>
        </w:rPr>
      </w:pPr>
      <w:r>
        <w:rPr>
          <w:rFonts w:ascii="Times New Roman" w:hAnsi="Times New Roman" w:cs="Times New Roman" w:hint="eastAsia"/>
          <w:szCs w:val="21"/>
        </w:rPr>
        <w:t xml:space="preserve">Figure S4. Random Forest Analysis Identifies Key Biomarkers in </w:t>
      </w:r>
      <w:r>
        <w:rPr>
          <w:rFonts w:ascii="Times New Roman" w:hAnsi="Times New Roman" w:cs="Times New Roman" w:hint="eastAsia"/>
          <w:i/>
          <w:iCs/>
          <w:szCs w:val="21"/>
        </w:rPr>
        <w:t>P. aeruginosa</w:t>
      </w:r>
      <w:r>
        <w:rPr>
          <w:rFonts w:ascii="Times New Roman" w:hAnsi="Times New Roman" w:cs="Times New Roman" w:hint="eastAsia"/>
          <w:szCs w:val="21"/>
        </w:rPr>
        <w:t xml:space="preserve"> Infection.</w:t>
      </w:r>
    </w:p>
    <w:p w14:paraId="3044D825" w14:textId="77777777" w:rsidR="003B0EC2" w:rsidRDefault="00000000">
      <w:pPr>
        <w:pStyle w:val="a7"/>
        <w:numPr>
          <w:ilvl w:val="0"/>
          <w:numId w:val="1"/>
        </w:numPr>
        <w:ind w:firstLineChars="0"/>
        <w:rPr>
          <w:rFonts w:ascii="Times New Roman" w:hAnsi="Times New Roman" w:cs="Times New Roman"/>
          <w:szCs w:val="21"/>
        </w:rPr>
      </w:pPr>
      <w:r>
        <w:rPr>
          <w:rFonts w:ascii="Times New Roman" w:hAnsi="Times New Roman" w:cs="Times New Roman" w:hint="eastAsia"/>
          <w:szCs w:val="21"/>
        </w:rPr>
        <w:t>Figure S5. ROC Curve Analysis of Protein Biomarkers in the Discovery Cohort (BALF) as a Training Set.</w:t>
      </w:r>
    </w:p>
    <w:p w14:paraId="5C24C90C" w14:textId="77777777" w:rsidR="003B0EC2" w:rsidRDefault="00000000">
      <w:pPr>
        <w:pStyle w:val="a7"/>
        <w:numPr>
          <w:ilvl w:val="0"/>
          <w:numId w:val="1"/>
        </w:numPr>
        <w:ind w:firstLineChars="0"/>
        <w:rPr>
          <w:rFonts w:ascii="Times New Roman" w:hAnsi="Times New Roman" w:cs="Times New Roman"/>
          <w:szCs w:val="21"/>
        </w:rPr>
      </w:pPr>
      <w:r>
        <w:rPr>
          <w:rFonts w:ascii="Times New Roman" w:hAnsi="Times New Roman" w:cs="Times New Roman" w:hint="eastAsia"/>
          <w:szCs w:val="21"/>
        </w:rPr>
        <w:t>Figure S6. Evaluation of Model Robustness and Discriminative Capacity in the Discovery Cohort (BALF) and ROC Curve Analysis of Metabolite Biomarkers in the Discovery Cohort (BALF) as a Training Set.</w:t>
      </w:r>
    </w:p>
    <w:p w14:paraId="0A41C7C0" w14:textId="77777777" w:rsidR="003B0EC2" w:rsidRDefault="00000000">
      <w:pPr>
        <w:pStyle w:val="a7"/>
        <w:numPr>
          <w:ilvl w:val="0"/>
          <w:numId w:val="1"/>
        </w:numPr>
        <w:ind w:firstLineChars="0"/>
        <w:rPr>
          <w:rFonts w:ascii="Times New Roman" w:hAnsi="Times New Roman" w:cs="Times New Roman"/>
          <w:szCs w:val="21"/>
        </w:rPr>
      </w:pPr>
      <w:r>
        <w:rPr>
          <w:rFonts w:ascii="Times New Roman" w:hAnsi="Times New Roman" w:cs="Times New Roman" w:hint="eastAsia"/>
          <w:szCs w:val="21"/>
        </w:rPr>
        <w:t>Figure S7. Evaluation of Model Robustness and Discriminative Capacity in the Validation Cohort (BALF).</w:t>
      </w:r>
    </w:p>
    <w:p w14:paraId="1898C3EE" w14:textId="77777777" w:rsidR="003B0EC2" w:rsidRDefault="00000000">
      <w:pPr>
        <w:pStyle w:val="a7"/>
        <w:numPr>
          <w:ilvl w:val="0"/>
          <w:numId w:val="1"/>
        </w:numPr>
        <w:ind w:firstLineChars="0"/>
        <w:rPr>
          <w:rFonts w:ascii="Times New Roman" w:hAnsi="Times New Roman" w:cs="Times New Roman"/>
          <w:szCs w:val="21"/>
        </w:rPr>
      </w:pPr>
      <w:r>
        <w:rPr>
          <w:rFonts w:ascii="Times New Roman" w:hAnsi="Times New Roman" w:cs="Times New Roman" w:hint="eastAsia"/>
          <w:szCs w:val="21"/>
        </w:rPr>
        <w:t>Figure S8. Evaluation of Model Robustness and Discriminative Capacity in the Discovery Cohort (Serum) and ROC Curve Analysis of Metabolite Biomarkers in the Discovery Cohort (Serum) as a Training Set.</w:t>
      </w:r>
    </w:p>
    <w:p w14:paraId="37A13743" w14:textId="77777777" w:rsidR="003B0EC2" w:rsidRDefault="00000000">
      <w:pPr>
        <w:pStyle w:val="a7"/>
        <w:numPr>
          <w:ilvl w:val="0"/>
          <w:numId w:val="1"/>
        </w:numPr>
        <w:ind w:firstLineChars="0"/>
        <w:rPr>
          <w:rFonts w:ascii="Times New Roman" w:hAnsi="Times New Roman" w:cs="Times New Roman"/>
          <w:szCs w:val="21"/>
        </w:rPr>
      </w:pPr>
      <w:r>
        <w:rPr>
          <w:rFonts w:ascii="Times New Roman" w:hAnsi="Times New Roman" w:cs="Times New Roman" w:hint="eastAsia"/>
          <w:szCs w:val="21"/>
        </w:rPr>
        <w:t>Figure S9. Evaluation of Model Robustness and Discriminative Capacity in the Validation Cohort (Serum).</w:t>
      </w:r>
    </w:p>
    <w:p w14:paraId="3ED1C8DA" w14:textId="77777777" w:rsidR="003B0EC2" w:rsidRDefault="00000000">
      <w:pPr>
        <w:widowControl/>
        <w:jc w:val="left"/>
        <w:rPr>
          <w:rFonts w:ascii="Times New Roman" w:hAnsi="Times New Roman" w:cs="Times New Roman"/>
          <w:b/>
          <w:bCs/>
          <w:szCs w:val="21"/>
        </w:rPr>
      </w:pPr>
      <w:r>
        <w:rPr>
          <w:rFonts w:ascii="Times New Roman" w:hAnsi="Times New Roman" w:cs="Times New Roman"/>
          <w:b/>
          <w:bCs/>
          <w:szCs w:val="21"/>
        </w:rPr>
        <w:br w:type="page"/>
      </w:r>
    </w:p>
    <w:p w14:paraId="11131FED"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lastRenderedPageBreak/>
        <w:t xml:space="preserve">1. </w:t>
      </w:r>
      <w:r>
        <w:rPr>
          <w:rFonts w:ascii="Times New Roman" w:hAnsi="Times New Roman" w:cs="Times New Roman"/>
          <w:b/>
          <w:bCs/>
          <w:szCs w:val="21"/>
        </w:rPr>
        <w:t xml:space="preserve">Figure </w:t>
      </w:r>
      <w:r>
        <w:rPr>
          <w:rFonts w:ascii="Times New Roman" w:hAnsi="Times New Roman" w:cs="Times New Roman" w:hint="eastAsia"/>
          <w:b/>
          <w:bCs/>
          <w:szCs w:val="21"/>
        </w:rPr>
        <w:t>S1</w:t>
      </w:r>
      <w:r>
        <w:rPr>
          <w:rFonts w:ascii="Times New Roman" w:hAnsi="Times New Roman" w:cs="Times New Roman"/>
          <w:b/>
          <w:bCs/>
          <w:szCs w:val="21"/>
        </w:rPr>
        <w:t>.</w:t>
      </w:r>
      <w:r>
        <w:rPr>
          <w:rFonts w:ascii="Times New Roman" w:hAnsi="Times New Roman" w:cs="Times New Roman"/>
          <w:szCs w:val="21"/>
        </w:rPr>
        <w:t xml:space="preserve"> </w:t>
      </w:r>
      <w:r>
        <w:rPr>
          <w:rFonts w:ascii="Times New Roman" w:hAnsi="Times New Roman" w:cs="Times New Roman" w:hint="eastAsia"/>
          <w:szCs w:val="21"/>
        </w:rPr>
        <w:t>Proteomic Stratification and Co-expression Module Analysis.</w:t>
      </w:r>
    </w:p>
    <w:p w14:paraId="25BC7A93" w14:textId="77777777" w:rsidR="003B0EC2" w:rsidRDefault="00000000">
      <w:pPr>
        <w:jc w:val="center"/>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0967EFE0" wp14:editId="736A270F">
            <wp:extent cx="5264150" cy="5251450"/>
            <wp:effectExtent l="0" t="0" r="0" b="0"/>
            <wp:docPr id="1399164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64209"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64150" cy="5251450"/>
                    </a:xfrm>
                    <a:prstGeom prst="rect">
                      <a:avLst/>
                    </a:prstGeom>
                    <a:noFill/>
                    <a:ln>
                      <a:noFill/>
                    </a:ln>
                  </pic:spPr>
                </pic:pic>
              </a:graphicData>
            </a:graphic>
          </wp:inline>
        </w:drawing>
      </w:r>
    </w:p>
    <w:p w14:paraId="4AB72B13" w14:textId="77777777" w:rsidR="003B0EC2" w:rsidRDefault="00000000">
      <w:pPr>
        <w:rPr>
          <w:rFonts w:ascii="Times New Roman" w:hAnsi="Times New Roman" w:cs="Times New Roman"/>
          <w:szCs w:val="21"/>
        </w:rPr>
      </w:pPr>
      <w:r>
        <w:rPr>
          <w:rFonts w:ascii="Times New Roman" w:hAnsi="Times New Roman" w:cs="Times New Roman"/>
          <w:b/>
          <w:bCs/>
          <w:szCs w:val="21"/>
        </w:rPr>
        <w:t>(</w:t>
      </w:r>
      <w:r>
        <w:rPr>
          <w:rFonts w:ascii="Times New Roman" w:hAnsi="Times New Roman" w:cs="Times New Roman" w:hint="eastAsia"/>
          <w:b/>
          <w:bCs/>
          <w:szCs w:val="21"/>
        </w:rPr>
        <w:t>A</w:t>
      </w:r>
      <w:r>
        <w:rPr>
          <w:rFonts w:ascii="Times New Roman" w:hAnsi="Times New Roman" w:cs="Times New Roman"/>
          <w:b/>
          <w:bCs/>
          <w:szCs w:val="21"/>
        </w:rPr>
        <w:t>)</w:t>
      </w:r>
      <w:r>
        <w:rPr>
          <w:rFonts w:ascii="Times New Roman" w:hAnsi="Times New Roman" w:cs="Times New Roman"/>
          <w:szCs w:val="21"/>
        </w:rPr>
        <w:t xml:space="preserve"> A clustering dendrogram of 50 samples elucidates the stratification based on proteomic profiles. </w:t>
      </w:r>
      <w:r>
        <w:rPr>
          <w:rFonts w:ascii="Times New Roman" w:hAnsi="Times New Roman" w:cs="Times New Roman"/>
          <w:b/>
          <w:bCs/>
          <w:szCs w:val="21"/>
        </w:rPr>
        <w:t>(</w:t>
      </w:r>
      <w:r>
        <w:rPr>
          <w:rFonts w:ascii="Times New Roman" w:hAnsi="Times New Roman" w:cs="Times New Roman" w:hint="eastAsia"/>
          <w:b/>
          <w:bCs/>
          <w:szCs w:val="21"/>
        </w:rPr>
        <w:t>B</w:t>
      </w:r>
      <w:r>
        <w:rPr>
          <w:rFonts w:ascii="Times New Roman" w:hAnsi="Times New Roman" w:cs="Times New Roman"/>
          <w:b/>
          <w:bCs/>
          <w:szCs w:val="21"/>
        </w:rPr>
        <w:t xml:space="preserve">, </w:t>
      </w:r>
      <w:r>
        <w:rPr>
          <w:rFonts w:ascii="Times New Roman" w:hAnsi="Times New Roman" w:cs="Times New Roman" w:hint="eastAsia"/>
          <w:b/>
          <w:bCs/>
          <w:szCs w:val="21"/>
        </w:rPr>
        <w:t>C</w:t>
      </w:r>
      <w:r>
        <w:rPr>
          <w:rFonts w:ascii="Times New Roman" w:hAnsi="Times New Roman" w:cs="Times New Roman"/>
          <w:b/>
          <w:bCs/>
          <w:szCs w:val="21"/>
        </w:rPr>
        <w:t>)</w:t>
      </w:r>
      <w:r>
        <w:rPr>
          <w:rFonts w:ascii="Times New Roman" w:hAnsi="Times New Roman" w:cs="Times New Roman"/>
          <w:szCs w:val="21"/>
        </w:rPr>
        <w:t xml:space="preserve"> Evaluation of scale independence and mean connectivity reinforces the robustness of network construction in our analysis. </w:t>
      </w:r>
      <w:r>
        <w:rPr>
          <w:rFonts w:ascii="Times New Roman" w:hAnsi="Times New Roman" w:cs="Times New Roman"/>
          <w:b/>
          <w:bCs/>
          <w:szCs w:val="21"/>
        </w:rPr>
        <w:t>(</w:t>
      </w:r>
      <w:r>
        <w:rPr>
          <w:rFonts w:ascii="Times New Roman" w:hAnsi="Times New Roman" w:cs="Times New Roman" w:hint="eastAsia"/>
          <w:b/>
          <w:bCs/>
          <w:szCs w:val="21"/>
        </w:rPr>
        <w:t>D</w:t>
      </w:r>
      <w:r>
        <w:rPr>
          <w:rFonts w:ascii="Times New Roman" w:hAnsi="Times New Roman" w:cs="Times New Roman"/>
          <w:b/>
          <w:bCs/>
          <w:szCs w:val="21"/>
        </w:rPr>
        <w:t>)</w:t>
      </w:r>
      <w:r>
        <w:rPr>
          <w:rFonts w:ascii="Times New Roman" w:hAnsi="Times New Roman" w:cs="Times New Roman"/>
          <w:szCs w:val="21"/>
        </w:rPr>
        <w:t xml:space="preserve"> Weighted Gene Co-expression Network Analysis (WGCNA) identifies 5 distinct modules of co-expressed proteins. </w:t>
      </w:r>
      <w:r>
        <w:rPr>
          <w:rFonts w:ascii="Times New Roman" w:hAnsi="Times New Roman" w:cs="Times New Roman"/>
          <w:b/>
          <w:bCs/>
          <w:szCs w:val="21"/>
        </w:rPr>
        <w:t>(</w:t>
      </w:r>
      <w:r>
        <w:rPr>
          <w:rFonts w:ascii="Times New Roman" w:hAnsi="Times New Roman" w:cs="Times New Roman" w:hint="eastAsia"/>
          <w:b/>
          <w:bCs/>
          <w:szCs w:val="21"/>
        </w:rPr>
        <w:t>E</w:t>
      </w:r>
      <w:r>
        <w:rPr>
          <w:rFonts w:ascii="Times New Roman" w:hAnsi="Times New Roman" w:cs="Times New Roman"/>
          <w:b/>
          <w:bCs/>
          <w:szCs w:val="21"/>
        </w:rPr>
        <w:t>)</w:t>
      </w:r>
      <w:r>
        <w:rPr>
          <w:rFonts w:ascii="Times New Roman" w:hAnsi="Times New Roman" w:cs="Times New Roman"/>
          <w:szCs w:val="21"/>
        </w:rPr>
        <w:t xml:space="preserve"> Correlation analyses among the identified modules reveal significant relationships and potential functional synergies.</w:t>
      </w:r>
    </w:p>
    <w:p w14:paraId="6FFC514A" w14:textId="77777777" w:rsidR="003B0EC2" w:rsidRDefault="003B0EC2">
      <w:pPr>
        <w:rPr>
          <w:rFonts w:hint="eastAsia"/>
        </w:rPr>
      </w:pPr>
    </w:p>
    <w:p w14:paraId="3DC77879"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t xml:space="preserve">2. </w:t>
      </w:r>
      <w:r>
        <w:rPr>
          <w:rFonts w:ascii="Times New Roman" w:hAnsi="Times New Roman" w:cs="Times New Roman"/>
          <w:b/>
          <w:bCs/>
          <w:szCs w:val="21"/>
        </w:rPr>
        <w:t xml:space="preserve">Figure </w:t>
      </w:r>
      <w:r>
        <w:rPr>
          <w:rFonts w:ascii="Times New Roman" w:hAnsi="Times New Roman" w:cs="Times New Roman" w:hint="eastAsia"/>
          <w:b/>
          <w:bCs/>
          <w:szCs w:val="21"/>
        </w:rPr>
        <w:t>S2</w:t>
      </w:r>
      <w:r>
        <w:rPr>
          <w:rFonts w:ascii="Times New Roman" w:hAnsi="Times New Roman" w:cs="Times New Roman"/>
          <w:b/>
          <w:bCs/>
          <w:szCs w:val="21"/>
        </w:rPr>
        <w:t>.</w:t>
      </w:r>
      <w:r>
        <w:rPr>
          <w:rFonts w:ascii="Times New Roman" w:hAnsi="Times New Roman" w:cs="Times New Roman"/>
          <w:szCs w:val="21"/>
        </w:rPr>
        <w:t xml:space="preserve"> </w:t>
      </w:r>
      <w:r>
        <w:rPr>
          <w:rFonts w:ascii="Times New Roman" w:hAnsi="Times New Roman" w:cs="Times New Roman" w:hint="eastAsia"/>
          <w:szCs w:val="21"/>
        </w:rPr>
        <w:t>Functional and Pathway Enrichment Analysis of 16 Differentially Expressed Proteins</w:t>
      </w:r>
      <w:r>
        <w:rPr>
          <w:rFonts w:ascii="Times New Roman" w:hAnsi="Times New Roman" w:cs="Times New Roman"/>
          <w:szCs w:val="21"/>
        </w:rPr>
        <w:t>.</w:t>
      </w:r>
    </w:p>
    <w:p w14:paraId="286585B6" w14:textId="77777777" w:rsidR="003B0EC2" w:rsidRDefault="003B0EC2">
      <w:pPr>
        <w:rPr>
          <w:rFonts w:hint="eastAsia"/>
        </w:rPr>
      </w:pPr>
    </w:p>
    <w:p w14:paraId="59C76318" w14:textId="77777777" w:rsidR="003B0EC2" w:rsidRDefault="00000000">
      <w:pPr>
        <w:jc w:val="center"/>
        <w:rPr>
          <w:rFonts w:hint="eastAsia"/>
        </w:rPr>
      </w:pPr>
      <w:r>
        <w:rPr>
          <w:noProof/>
        </w:rPr>
        <w:lastRenderedPageBreak/>
        <w:drawing>
          <wp:inline distT="0" distB="0" distL="0" distR="0" wp14:anchorId="4A695D9D" wp14:editId="473930EB">
            <wp:extent cx="5271770" cy="2105660"/>
            <wp:effectExtent l="0" t="0" r="0" b="0"/>
            <wp:docPr id="14083293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29367"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1770" cy="2105660"/>
                    </a:xfrm>
                    <a:prstGeom prst="rect">
                      <a:avLst/>
                    </a:prstGeom>
                    <a:noFill/>
                    <a:ln>
                      <a:noFill/>
                    </a:ln>
                  </pic:spPr>
                </pic:pic>
              </a:graphicData>
            </a:graphic>
          </wp:inline>
        </w:drawing>
      </w:r>
    </w:p>
    <w:p w14:paraId="5131709A" w14:textId="77777777" w:rsidR="003B0EC2" w:rsidRDefault="00000000">
      <w:pPr>
        <w:rPr>
          <w:rFonts w:ascii="Times New Roman" w:hAnsi="Times New Roman" w:cs="Times New Roman"/>
          <w:szCs w:val="21"/>
        </w:rPr>
      </w:pPr>
      <w:r>
        <w:rPr>
          <w:rFonts w:ascii="Times New Roman" w:hAnsi="Times New Roman" w:cs="Times New Roman"/>
          <w:b/>
          <w:bCs/>
          <w:szCs w:val="21"/>
        </w:rPr>
        <w:t>(</w:t>
      </w:r>
      <w:r>
        <w:rPr>
          <w:rFonts w:ascii="Times New Roman" w:hAnsi="Times New Roman" w:cs="Times New Roman" w:hint="eastAsia"/>
          <w:b/>
          <w:bCs/>
          <w:szCs w:val="21"/>
        </w:rPr>
        <w:t>A</w:t>
      </w:r>
      <w:r>
        <w:rPr>
          <w:rFonts w:ascii="Times New Roman" w:hAnsi="Times New Roman" w:cs="Times New Roman"/>
          <w:b/>
          <w:bCs/>
          <w:szCs w:val="21"/>
        </w:rPr>
        <w:t>-</w:t>
      </w:r>
      <w:r>
        <w:rPr>
          <w:rFonts w:ascii="Times New Roman" w:hAnsi="Times New Roman" w:cs="Times New Roman" w:hint="eastAsia"/>
          <w:b/>
          <w:bCs/>
          <w:szCs w:val="21"/>
        </w:rPr>
        <w:t>C</w:t>
      </w:r>
      <w:r>
        <w:rPr>
          <w:rFonts w:ascii="Times New Roman" w:hAnsi="Times New Roman" w:cs="Times New Roman"/>
          <w:b/>
          <w:bCs/>
          <w:szCs w:val="21"/>
        </w:rPr>
        <w:t>)</w:t>
      </w:r>
      <w:r>
        <w:rPr>
          <w:rFonts w:ascii="Times New Roman" w:hAnsi="Times New Roman" w:cs="Times New Roman"/>
          <w:szCs w:val="21"/>
        </w:rPr>
        <w:t xml:space="preserve"> Gene Ontology (GO) and Kyoto Encyclopedia of Genes and Genomes (KEGG) analyses facilitate the functional categorization and pathway enrichment of the 16 PDEPs. GO analysis </w:t>
      </w:r>
      <w:proofErr w:type="gramStart"/>
      <w:r>
        <w:rPr>
          <w:rFonts w:ascii="Times New Roman" w:hAnsi="Times New Roman" w:cs="Times New Roman"/>
          <w:szCs w:val="21"/>
        </w:rPr>
        <w:t>illuminates</w:t>
      </w:r>
      <w:proofErr w:type="gramEnd"/>
      <w:r>
        <w:rPr>
          <w:rFonts w:ascii="Times New Roman" w:hAnsi="Times New Roman" w:cs="Times New Roman"/>
          <w:szCs w:val="21"/>
        </w:rPr>
        <w:t xml:space="preserve"> pathways related to leukocyte migration, defense response to bacterium, Gram-negative bacterial response, neutrophil activation, vesicle lumen, peptidase inhibitor activity, and iron ion binding. KEGG analysis focuses on pathways integral to neutrophil extracellular trap formation, underscoring the biochemical pathways activated in response to the infection.</w:t>
      </w:r>
    </w:p>
    <w:p w14:paraId="70B99876" w14:textId="77777777" w:rsidR="003B0EC2" w:rsidRDefault="003B0EC2">
      <w:pPr>
        <w:rPr>
          <w:rFonts w:hint="eastAsia"/>
        </w:rPr>
      </w:pPr>
    </w:p>
    <w:p w14:paraId="1B1AE2E0" w14:textId="77777777" w:rsidR="003B0EC2" w:rsidRDefault="00000000">
      <w:pPr>
        <w:widowControl/>
        <w:jc w:val="left"/>
        <w:rPr>
          <w:rFonts w:ascii="Times New Roman" w:hAnsi="Times New Roman" w:cs="Times New Roman"/>
          <w:b/>
          <w:bCs/>
          <w:szCs w:val="21"/>
        </w:rPr>
      </w:pPr>
      <w:r>
        <w:rPr>
          <w:rFonts w:ascii="Times New Roman" w:hAnsi="Times New Roman" w:cs="Times New Roman"/>
          <w:b/>
          <w:bCs/>
          <w:szCs w:val="21"/>
        </w:rPr>
        <w:br w:type="page"/>
      </w:r>
    </w:p>
    <w:p w14:paraId="717E7686" w14:textId="77777777" w:rsidR="003B0EC2" w:rsidRDefault="00000000">
      <w:pPr>
        <w:rPr>
          <w:rFonts w:hint="eastAsia"/>
        </w:rPr>
      </w:pPr>
      <w:r>
        <w:rPr>
          <w:rFonts w:ascii="Times New Roman" w:hAnsi="Times New Roman" w:cs="Times New Roman" w:hint="eastAsia"/>
          <w:b/>
          <w:bCs/>
          <w:szCs w:val="21"/>
        </w:rPr>
        <w:lastRenderedPageBreak/>
        <w:t xml:space="preserve">3. </w:t>
      </w:r>
      <w:r>
        <w:rPr>
          <w:rFonts w:ascii="Times New Roman" w:hAnsi="Times New Roman" w:cs="Times New Roman"/>
          <w:b/>
          <w:bCs/>
          <w:szCs w:val="21"/>
        </w:rPr>
        <w:t xml:space="preserve">Figure </w:t>
      </w:r>
      <w:r>
        <w:rPr>
          <w:rFonts w:ascii="Times New Roman" w:hAnsi="Times New Roman" w:cs="Times New Roman" w:hint="eastAsia"/>
          <w:b/>
          <w:bCs/>
          <w:szCs w:val="21"/>
        </w:rPr>
        <w:t>S3</w:t>
      </w:r>
      <w:r>
        <w:rPr>
          <w:rFonts w:ascii="Times New Roman" w:hAnsi="Times New Roman" w:cs="Times New Roman"/>
          <w:b/>
          <w:bCs/>
          <w:szCs w:val="21"/>
        </w:rPr>
        <w:t>.</w:t>
      </w:r>
      <w:r>
        <w:rPr>
          <w:rFonts w:hint="eastAsia"/>
        </w:rPr>
        <w:t xml:space="preserve"> </w:t>
      </w:r>
      <w:r>
        <w:rPr>
          <w:rFonts w:ascii="Times New Roman" w:hAnsi="Times New Roman" w:cs="Times New Roman" w:hint="eastAsia"/>
          <w:szCs w:val="21"/>
        </w:rPr>
        <w:t>GO terms and KEGG pathways</w:t>
      </w:r>
      <w:r>
        <w:rPr>
          <w:rFonts w:ascii="Times New Roman" w:hAnsi="Times New Roman" w:cs="Times New Roman"/>
          <w:szCs w:val="21"/>
        </w:rPr>
        <w:t xml:space="preserve"> </w:t>
      </w:r>
      <w:r>
        <w:rPr>
          <w:rFonts w:ascii="Times New Roman" w:hAnsi="Times New Roman" w:cs="Times New Roman" w:hint="eastAsia"/>
          <w:szCs w:val="21"/>
        </w:rPr>
        <w:t xml:space="preserve">of P. aeruginosa-associated differentially expressed proteins and Spearman correlation analysis between </w:t>
      </w:r>
      <w:r>
        <w:rPr>
          <w:rFonts w:ascii="Times New Roman" w:hAnsi="Times New Roman" w:cs="Times New Roman" w:hint="eastAsia"/>
          <w:i/>
          <w:iCs/>
          <w:szCs w:val="21"/>
        </w:rPr>
        <w:t>P. aeruginosa</w:t>
      </w:r>
      <w:r>
        <w:rPr>
          <w:rFonts w:ascii="Times New Roman" w:hAnsi="Times New Roman" w:cs="Times New Roman" w:hint="eastAsia"/>
          <w:szCs w:val="21"/>
        </w:rPr>
        <w:t>-associated differentially expressed proteins and immune cells</w:t>
      </w:r>
      <w:r>
        <w:rPr>
          <w:rFonts w:ascii="Times New Roman" w:hAnsi="Times New Roman" w:cs="Times New Roman"/>
          <w:szCs w:val="21"/>
        </w:rPr>
        <w:t>.</w:t>
      </w:r>
    </w:p>
    <w:p w14:paraId="1B95FA01" w14:textId="77777777" w:rsidR="003B0EC2" w:rsidRDefault="00000000">
      <w:pPr>
        <w:rPr>
          <w:rFonts w:hint="eastAsia"/>
        </w:rPr>
      </w:pPr>
      <w:r>
        <w:rPr>
          <w:rFonts w:hint="eastAsia"/>
          <w:noProof/>
        </w:rPr>
        <w:drawing>
          <wp:inline distT="0" distB="0" distL="0" distR="0" wp14:anchorId="78167BE3" wp14:editId="119BAF79">
            <wp:extent cx="5273040" cy="5783580"/>
            <wp:effectExtent l="0" t="0" r="0" b="0"/>
            <wp:docPr id="17719624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62475"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3040" cy="5783580"/>
                    </a:xfrm>
                    <a:prstGeom prst="rect">
                      <a:avLst/>
                    </a:prstGeom>
                    <a:noFill/>
                    <a:ln>
                      <a:noFill/>
                    </a:ln>
                  </pic:spPr>
                </pic:pic>
              </a:graphicData>
            </a:graphic>
          </wp:inline>
        </w:drawing>
      </w:r>
    </w:p>
    <w:p w14:paraId="63A4ADA3" w14:textId="77777777" w:rsidR="003B0EC2" w:rsidRDefault="003B0EC2">
      <w:pPr>
        <w:rPr>
          <w:rFonts w:hint="eastAsia"/>
        </w:rPr>
      </w:pPr>
    </w:p>
    <w:p w14:paraId="3FA625AD"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t xml:space="preserve">(A-C) </w:t>
      </w:r>
      <w:r>
        <w:rPr>
          <w:rFonts w:ascii="Times New Roman" w:hAnsi="Times New Roman" w:cs="Times New Roman" w:hint="eastAsia"/>
          <w:szCs w:val="21"/>
        </w:rPr>
        <w:t xml:space="preserve">Chord diagrams illustrate the intricate relationships among identified GO terms and KEGG pathways, elucidating the comprehensive roles </w:t>
      </w:r>
      <w:r>
        <w:rPr>
          <w:rFonts w:ascii="Times New Roman" w:hAnsi="Times New Roman" w:cs="Times New Roman" w:hint="eastAsia"/>
          <w:i/>
          <w:iCs/>
          <w:szCs w:val="21"/>
        </w:rPr>
        <w:t>P. aeruginosa</w:t>
      </w:r>
      <w:r>
        <w:rPr>
          <w:rFonts w:ascii="Times New Roman" w:hAnsi="Times New Roman" w:cs="Times New Roman" w:hint="eastAsia"/>
          <w:szCs w:val="21"/>
        </w:rPr>
        <w:t xml:space="preserve">-associated differentially expressed proteins (PDEPs) play in the host's response to P. aeruginosa infection. </w:t>
      </w:r>
      <w:r>
        <w:rPr>
          <w:rFonts w:ascii="Times New Roman" w:hAnsi="Times New Roman" w:cs="Times New Roman" w:hint="eastAsia"/>
          <w:b/>
          <w:bCs/>
          <w:szCs w:val="21"/>
        </w:rPr>
        <w:t>(D)</w:t>
      </w:r>
      <w:r>
        <w:rPr>
          <w:rFonts w:ascii="Times New Roman" w:hAnsi="Times New Roman" w:cs="Times New Roman" w:hint="eastAsia"/>
          <w:szCs w:val="21"/>
        </w:rPr>
        <w:t xml:space="preserve"> </w:t>
      </w:r>
      <w:r>
        <w:rPr>
          <w:rFonts w:ascii="Times New Roman" w:hAnsi="Times New Roman" w:cs="Times New Roman"/>
          <w:szCs w:val="21"/>
        </w:rPr>
        <w:t>Correlation analysis investigates the relationships between P. aeruginosa-associated differentially expressed proteins (PDEPs) and different immune cells, aiming to identify specific immune responses elicited by the infection and potential mechanisms of host defense or pathogen evasion.</w:t>
      </w:r>
      <w:r>
        <w:rPr>
          <w:rFonts w:ascii="Times New Roman" w:hAnsi="Times New Roman" w:cs="Times New Roman" w:hint="eastAsia"/>
          <w:szCs w:val="21"/>
        </w:rPr>
        <w:t xml:space="preserve"> </w:t>
      </w:r>
    </w:p>
    <w:p w14:paraId="6400210E" w14:textId="77777777" w:rsidR="003B0EC2" w:rsidRDefault="003B0EC2">
      <w:pPr>
        <w:rPr>
          <w:rFonts w:hint="eastAsia"/>
        </w:rPr>
      </w:pPr>
    </w:p>
    <w:p w14:paraId="740113AA" w14:textId="77777777" w:rsidR="003B0EC2" w:rsidRDefault="003B0EC2">
      <w:pPr>
        <w:rPr>
          <w:rFonts w:hint="eastAsia"/>
        </w:rPr>
      </w:pPr>
    </w:p>
    <w:p w14:paraId="685C4B14"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t xml:space="preserve">4. </w:t>
      </w:r>
      <w:r>
        <w:rPr>
          <w:rFonts w:ascii="Times New Roman" w:hAnsi="Times New Roman" w:cs="Times New Roman"/>
          <w:b/>
          <w:bCs/>
          <w:szCs w:val="21"/>
        </w:rPr>
        <w:t xml:space="preserve">Figure </w:t>
      </w:r>
      <w:r>
        <w:rPr>
          <w:rFonts w:ascii="Times New Roman" w:hAnsi="Times New Roman" w:cs="Times New Roman" w:hint="eastAsia"/>
          <w:b/>
          <w:bCs/>
          <w:szCs w:val="21"/>
        </w:rPr>
        <w:t>S4</w:t>
      </w:r>
      <w:r>
        <w:rPr>
          <w:rFonts w:ascii="Times New Roman" w:hAnsi="Times New Roman" w:cs="Times New Roman"/>
          <w:b/>
          <w:bCs/>
          <w:szCs w:val="21"/>
        </w:rPr>
        <w:t>.</w:t>
      </w:r>
      <w:r>
        <w:rPr>
          <w:rFonts w:ascii="Times New Roman" w:hAnsi="Times New Roman" w:cs="Times New Roman"/>
          <w:szCs w:val="21"/>
        </w:rPr>
        <w:t xml:space="preserve"> </w:t>
      </w:r>
      <w:r>
        <w:rPr>
          <w:rFonts w:ascii="Times New Roman" w:hAnsi="Times New Roman" w:cs="Times New Roman" w:hint="eastAsia"/>
          <w:szCs w:val="21"/>
        </w:rPr>
        <w:t xml:space="preserve">Random Forest Analysis Identifies Key Biomarkers in </w:t>
      </w:r>
      <w:r>
        <w:rPr>
          <w:rFonts w:ascii="Times New Roman" w:hAnsi="Times New Roman" w:cs="Times New Roman" w:hint="eastAsia"/>
          <w:i/>
          <w:iCs/>
          <w:szCs w:val="21"/>
        </w:rPr>
        <w:t>P. aeruginosa</w:t>
      </w:r>
      <w:r>
        <w:rPr>
          <w:rFonts w:ascii="Times New Roman" w:hAnsi="Times New Roman" w:cs="Times New Roman" w:hint="eastAsia"/>
          <w:szCs w:val="21"/>
        </w:rPr>
        <w:t xml:space="preserve"> Infection</w:t>
      </w:r>
      <w:r>
        <w:rPr>
          <w:rFonts w:ascii="Times New Roman" w:hAnsi="Times New Roman" w:cs="Times New Roman"/>
          <w:szCs w:val="21"/>
        </w:rPr>
        <w:t>.</w:t>
      </w:r>
    </w:p>
    <w:p w14:paraId="37B934E1" w14:textId="77777777" w:rsidR="003B0EC2" w:rsidRDefault="00000000">
      <w:pPr>
        <w:jc w:val="center"/>
        <w:rPr>
          <w:rFonts w:ascii="Times New Roman" w:hAnsi="Times New Roman" w:cs="Times New Roman"/>
          <w:b/>
          <w:bCs/>
          <w:szCs w:val="21"/>
        </w:rPr>
      </w:pPr>
      <w:r>
        <w:rPr>
          <w:rFonts w:ascii="Times New Roman" w:hAnsi="Times New Roman" w:cs="Times New Roman"/>
          <w:b/>
          <w:bCs/>
          <w:noProof/>
          <w:szCs w:val="21"/>
        </w:rPr>
        <w:lastRenderedPageBreak/>
        <w:drawing>
          <wp:inline distT="0" distB="0" distL="0" distR="0" wp14:anchorId="1CA7801D" wp14:editId="60EA9321">
            <wp:extent cx="5269230" cy="2403475"/>
            <wp:effectExtent l="0" t="0" r="0" b="0"/>
            <wp:docPr id="5442362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36286"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69230" cy="2403475"/>
                    </a:xfrm>
                    <a:prstGeom prst="rect">
                      <a:avLst/>
                    </a:prstGeom>
                    <a:noFill/>
                    <a:ln>
                      <a:noFill/>
                    </a:ln>
                  </pic:spPr>
                </pic:pic>
              </a:graphicData>
            </a:graphic>
          </wp:inline>
        </w:drawing>
      </w:r>
    </w:p>
    <w:p w14:paraId="572E63D1" w14:textId="77777777" w:rsidR="003B0EC2" w:rsidRDefault="00000000">
      <w:pPr>
        <w:rPr>
          <w:rFonts w:ascii="Times New Roman" w:hAnsi="Times New Roman" w:cs="Times New Roman"/>
          <w:szCs w:val="21"/>
        </w:rPr>
      </w:pPr>
      <w:r>
        <w:rPr>
          <w:rFonts w:ascii="Times New Roman" w:hAnsi="Times New Roman" w:cs="Times New Roman"/>
          <w:b/>
          <w:bCs/>
          <w:szCs w:val="21"/>
        </w:rPr>
        <w:t>(</w:t>
      </w:r>
      <w:r>
        <w:rPr>
          <w:rFonts w:ascii="Times New Roman" w:hAnsi="Times New Roman" w:cs="Times New Roman" w:hint="eastAsia"/>
          <w:b/>
          <w:bCs/>
          <w:szCs w:val="21"/>
        </w:rPr>
        <w:t>A</w:t>
      </w:r>
      <w:r>
        <w:rPr>
          <w:rFonts w:ascii="Times New Roman" w:hAnsi="Times New Roman" w:cs="Times New Roman"/>
          <w:b/>
          <w:bCs/>
          <w:szCs w:val="21"/>
        </w:rPr>
        <w:t xml:space="preserve">, </w:t>
      </w:r>
      <w:r>
        <w:rPr>
          <w:rFonts w:ascii="Times New Roman" w:hAnsi="Times New Roman" w:cs="Times New Roman" w:hint="eastAsia"/>
          <w:b/>
          <w:bCs/>
          <w:szCs w:val="21"/>
        </w:rPr>
        <w:t>B</w:t>
      </w:r>
      <w:r>
        <w:rPr>
          <w:rFonts w:ascii="Times New Roman" w:hAnsi="Times New Roman" w:cs="Times New Roman"/>
          <w:b/>
          <w:bCs/>
          <w:szCs w:val="21"/>
        </w:rPr>
        <w:t xml:space="preserve">) </w:t>
      </w:r>
      <w:r>
        <w:rPr>
          <w:rFonts w:ascii="Times New Roman" w:hAnsi="Times New Roman" w:cs="Times New Roman"/>
          <w:szCs w:val="21"/>
        </w:rPr>
        <w:t xml:space="preserve">Random Forest analysis evaluates the differential expression of proteins in </w:t>
      </w:r>
      <w:r>
        <w:rPr>
          <w:rFonts w:ascii="Times New Roman" w:hAnsi="Times New Roman" w:cs="Times New Roman"/>
          <w:i/>
          <w:iCs/>
          <w:szCs w:val="21"/>
        </w:rPr>
        <w:t>P. aeruginosa</w:t>
      </w:r>
      <w:r>
        <w:rPr>
          <w:rFonts w:ascii="Times New Roman" w:hAnsi="Times New Roman" w:cs="Times New Roman"/>
          <w:szCs w:val="21"/>
        </w:rPr>
        <w:t xml:space="preserve"> infection versus healthy control. Notable proteins linked to </w:t>
      </w:r>
      <w:r>
        <w:rPr>
          <w:rFonts w:ascii="Times New Roman" w:hAnsi="Times New Roman" w:cs="Times New Roman"/>
          <w:i/>
          <w:iCs/>
          <w:szCs w:val="21"/>
        </w:rPr>
        <w:t>P. aeruginosa</w:t>
      </w:r>
      <w:r>
        <w:rPr>
          <w:rFonts w:ascii="Times New Roman" w:hAnsi="Times New Roman" w:cs="Times New Roman"/>
          <w:szCs w:val="21"/>
        </w:rPr>
        <w:t xml:space="preserve"> infection were pinpointed based on mean decrease in accuracy and mean decrease in Gini, identifying them as potential biomarkers.</w:t>
      </w:r>
    </w:p>
    <w:p w14:paraId="29B83F17" w14:textId="77777777" w:rsidR="003B0EC2" w:rsidRDefault="003B0EC2">
      <w:pPr>
        <w:rPr>
          <w:rFonts w:ascii="Times New Roman" w:hAnsi="Times New Roman" w:cs="Times New Roman"/>
          <w:szCs w:val="21"/>
        </w:rPr>
      </w:pPr>
    </w:p>
    <w:p w14:paraId="1C5919FE"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t>5. Figure S5.</w:t>
      </w:r>
      <w:r>
        <w:rPr>
          <w:rFonts w:ascii="Times New Roman" w:hAnsi="Times New Roman" w:cs="Times New Roman" w:hint="eastAsia"/>
          <w:szCs w:val="21"/>
        </w:rPr>
        <w:t xml:space="preserve"> ROC Curve Analysis of Protein Biomarkers in the Discovery Cohort (BALF) as a Training Set.</w:t>
      </w:r>
    </w:p>
    <w:p w14:paraId="2146E770" w14:textId="77777777" w:rsidR="003B0EC2" w:rsidRDefault="00000000">
      <w:pPr>
        <w:jc w:val="center"/>
        <w:rPr>
          <w:rFonts w:ascii="Times New Roman" w:hAnsi="Times New Roman" w:cs="Times New Roman"/>
          <w:szCs w:val="21"/>
        </w:rPr>
      </w:pPr>
      <w:r>
        <w:rPr>
          <w:rFonts w:ascii="Times New Roman" w:hAnsi="Times New Roman" w:cs="Times New Roman" w:hint="eastAsia"/>
          <w:noProof/>
          <w:szCs w:val="21"/>
        </w:rPr>
        <w:drawing>
          <wp:inline distT="0" distB="0" distL="114300" distR="114300" wp14:anchorId="221B347A" wp14:editId="08B8FDD9">
            <wp:extent cx="5266055" cy="1171575"/>
            <wp:effectExtent l="0" t="0" r="4445" b="9525"/>
            <wp:docPr id="1" name="图片 1" descr="Figure S5-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5-revised"/>
                    <pic:cNvPicPr>
                      <a:picLocks noChangeAspect="1"/>
                    </pic:cNvPicPr>
                  </pic:nvPicPr>
                  <pic:blipFill>
                    <a:blip r:embed="rId11"/>
                    <a:stretch>
                      <a:fillRect/>
                    </a:stretch>
                  </pic:blipFill>
                  <pic:spPr>
                    <a:xfrm>
                      <a:off x="0" y="0"/>
                      <a:ext cx="5266055" cy="1171575"/>
                    </a:xfrm>
                    <a:prstGeom prst="rect">
                      <a:avLst/>
                    </a:prstGeom>
                  </pic:spPr>
                </pic:pic>
              </a:graphicData>
            </a:graphic>
          </wp:inline>
        </w:drawing>
      </w:r>
    </w:p>
    <w:p w14:paraId="38297613" w14:textId="77777777" w:rsidR="003B0EC2" w:rsidRDefault="00000000">
      <w:pPr>
        <w:rPr>
          <w:rFonts w:ascii="Times New Roman" w:hAnsi="Times New Roman" w:cs="Times New Roman"/>
          <w:szCs w:val="21"/>
        </w:rPr>
      </w:pPr>
      <w:r>
        <w:rPr>
          <w:rFonts w:ascii="Times New Roman" w:hAnsi="Times New Roman" w:cs="Times New Roman" w:hint="eastAsia"/>
          <w:szCs w:val="21"/>
        </w:rPr>
        <w:t>Receiver Operating Characteristic (ROC) curves illustrate the diagnostic performance of protein biomarkers identified in the discovery cohort (BALF) used as the training set. Each curve corresponds to a specific biomarker, with the area under the curve (AUC) values exceeding 0.8, demonstrating high sensitivity and specificity for distinguishing infected from non-infected samples.</w:t>
      </w:r>
    </w:p>
    <w:p w14:paraId="29A38E32" w14:textId="77777777" w:rsidR="003B0EC2" w:rsidRDefault="003B0EC2">
      <w:pPr>
        <w:rPr>
          <w:rFonts w:ascii="Times New Roman" w:hAnsi="Times New Roman" w:cs="Times New Roman"/>
          <w:szCs w:val="21"/>
        </w:rPr>
      </w:pPr>
    </w:p>
    <w:p w14:paraId="0292DF19"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t>6. Figure S6.</w:t>
      </w:r>
      <w:r>
        <w:rPr>
          <w:rFonts w:ascii="Times New Roman" w:hAnsi="Times New Roman" w:cs="Times New Roman" w:hint="eastAsia"/>
          <w:szCs w:val="21"/>
        </w:rPr>
        <w:t xml:space="preserve"> Evaluation of Model Robustness and Discriminative Capacity in the Discovery Cohort (BALF) and ROC Curve Analysis of </w:t>
      </w:r>
      <w:r>
        <w:rPr>
          <w:rFonts w:ascii="Times New Roman" w:hAnsi="Times New Roman" w:cs="Times New Roman"/>
          <w:szCs w:val="21"/>
        </w:rPr>
        <w:t>Metabolite</w:t>
      </w:r>
      <w:r>
        <w:rPr>
          <w:rFonts w:ascii="Times New Roman" w:hAnsi="Times New Roman" w:cs="Times New Roman" w:hint="eastAsia"/>
          <w:szCs w:val="21"/>
        </w:rPr>
        <w:t xml:space="preserve"> Biomarkers in the Discovery Cohort (BALF) as a Training Set.</w:t>
      </w:r>
    </w:p>
    <w:p w14:paraId="578567C5" w14:textId="77777777" w:rsidR="003B0EC2" w:rsidRDefault="003B0EC2">
      <w:pPr>
        <w:jc w:val="center"/>
        <w:rPr>
          <w:rFonts w:ascii="Times New Roman" w:hAnsi="Times New Roman" w:cs="Times New Roman"/>
          <w:b/>
          <w:bCs/>
          <w:szCs w:val="21"/>
        </w:rPr>
      </w:pPr>
    </w:p>
    <w:p w14:paraId="33EAD86C" w14:textId="77777777" w:rsidR="003B0EC2" w:rsidRDefault="00000000">
      <w:pPr>
        <w:jc w:val="center"/>
        <w:rPr>
          <w:rFonts w:ascii="Times New Roman" w:hAnsi="Times New Roman" w:cs="Times New Roman"/>
          <w:b/>
          <w:bCs/>
          <w:szCs w:val="21"/>
        </w:rPr>
      </w:pPr>
      <w:r>
        <w:rPr>
          <w:rFonts w:ascii="Times New Roman" w:hAnsi="Times New Roman" w:cs="Times New Roman" w:hint="eastAsia"/>
          <w:noProof/>
          <w:szCs w:val="21"/>
        </w:rPr>
        <w:lastRenderedPageBreak/>
        <w:drawing>
          <wp:inline distT="0" distB="0" distL="114300" distR="114300" wp14:anchorId="3BEF12EC" wp14:editId="5DB5BE33">
            <wp:extent cx="5256530" cy="3480435"/>
            <wp:effectExtent l="0" t="0" r="1270" b="12065"/>
            <wp:docPr id="2" name="图片 2" descr="Figure S7-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7-revised"/>
                    <pic:cNvPicPr>
                      <a:picLocks noChangeAspect="1"/>
                    </pic:cNvPicPr>
                  </pic:nvPicPr>
                  <pic:blipFill>
                    <a:blip r:embed="rId12"/>
                    <a:stretch>
                      <a:fillRect/>
                    </a:stretch>
                  </pic:blipFill>
                  <pic:spPr>
                    <a:xfrm>
                      <a:off x="0" y="0"/>
                      <a:ext cx="5256530" cy="3480435"/>
                    </a:xfrm>
                    <a:prstGeom prst="rect">
                      <a:avLst/>
                    </a:prstGeom>
                  </pic:spPr>
                </pic:pic>
              </a:graphicData>
            </a:graphic>
          </wp:inline>
        </w:drawing>
      </w:r>
    </w:p>
    <w:p w14:paraId="537D6845"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t>(A, B)</w:t>
      </w:r>
      <w:r>
        <w:rPr>
          <w:rFonts w:ascii="Times New Roman" w:hAnsi="Times New Roman" w:cs="Times New Roman" w:hint="eastAsia"/>
          <w:szCs w:val="21"/>
        </w:rPr>
        <w:t xml:space="preserve"> Scatter plots evaluate the models' robustness by comparing R2Y and Q2Y values of actual versus simulated models, with models demonstrating R2Y and Q2Y values exceeding the threshold (horizontal line) indicative of overfitting. </w:t>
      </w:r>
      <w:r>
        <w:rPr>
          <w:rFonts w:ascii="Times New Roman" w:hAnsi="Times New Roman" w:cs="Times New Roman" w:hint="eastAsia"/>
          <w:b/>
          <w:bCs/>
          <w:szCs w:val="21"/>
        </w:rPr>
        <w:t>(C)</w:t>
      </w:r>
      <w:r>
        <w:rPr>
          <w:rFonts w:ascii="Times New Roman" w:hAnsi="Times New Roman" w:cs="Times New Roman" w:hint="eastAsia"/>
          <w:szCs w:val="21"/>
        </w:rPr>
        <w:t xml:space="preserve"> An OPLS-DA plot delineates the distribution of samples along the discriminant axis, effectively differentiating between the groups. </w:t>
      </w:r>
      <w:r>
        <w:rPr>
          <w:rFonts w:ascii="Times New Roman" w:hAnsi="Times New Roman" w:cs="Times New Roman" w:hint="eastAsia"/>
          <w:b/>
          <w:bCs/>
          <w:szCs w:val="21"/>
        </w:rPr>
        <w:t>(D)</w:t>
      </w:r>
      <w:r>
        <w:rPr>
          <w:rFonts w:ascii="Times New Roman" w:hAnsi="Times New Roman" w:cs="Times New Roman" w:hint="eastAsia"/>
          <w:szCs w:val="21"/>
        </w:rPr>
        <w:t xml:space="preserve"> Volcano plots facilitate the identification of bronchoalveolar lavage fluid (BALF) differentially expressed metabolites (DEMs) within the discovery cohort, pinpointing metabolites with significant fold changes and statistical relevance. </w:t>
      </w:r>
      <w:r>
        <w:rPr>
          <w:rFonts w:ascii="Times New Roman" w:hAnsi="Times New Roman" w:cs="Times New Roman" w:hint="eastAsia"/>
          <w:b/>
          <w:bCs/>
          <w:szCs w:val="21"/>
        </w:rPr>
        <w:t>(E)</w:t>
      </w:r>
      <w:r>
        <w:rPr>
          <w:rFonts w:ascii="Times New Roman" w:hAnsi="Times New Roman" w:cs="Times New Roman" w:hint="eastAsia"/>
          <w:szCs w:val="21"/>
        </w:rPr>
        <w:t xml:space="preserve"> Receiver Operating Characteristic (ROC) curves depict the diagnostic accuracy of metabolite biomarkers identified in the discovery cohort (BALF) as the training set. Each curve represents a metabolite biomarker, with area under the curve (AUC) values exceeding 0.8, indicating strong sensitivity and specificity in differentiating infected from non-infected samples.</w:t>
      </w:r>
    </w:p>
    <w:p w14:paraId="0D161262" w14:textId="77777777" w:rsidR="003B0EC2" w:rsidRDefault="003B0EC2">
      <w:pPr>
        <w:rPr>
          <w:rFonts w:ascii="Times New Roman" w:hAnsi="Times New Roman" w:cs="Times New Roman"/>
          <w:b/>
          <w:bCs/>
          <w:szCs w:val="21"/>
        </w:rPr>
      </w:pPr>
    </w:p>
    <w:p w14:paraId="22CC01FC"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t>7. Figure S7.</w:t>
      </w:r>
      <w:r>
        <w:rPr>
          <w:rFonts w:ascii="Times New Roman" w:hAnsi="Times New Roman" w:cs="Times New Roman" w:hint="eastAsia"/>
          <w:szCs w:val="21"/>
        </w:rPr>
        <w:t xml:space="preserve"> Evaluation of Model Robustness and Discriminative Capacity in the Validation Cohort (BALF).</w:t>
      </w:r>
    </w:p>
    <w:p w14:paraId="0774E5DC" w14:textId="77777777" w:rsidR="003B0EC2" w:rsidRDefault="00000000">
      <w:pPr>
        <w:rPr>
          <w:rFonts w:ascii="Times New Roman" w:hAnsi="Times New Roman" w:cs="Times New Roman"/>
          <w:szCs w:val="21"/>
        </w:rPr>
      </w:pPr>
      <w:r>
        <w:rPr>
          <w:rFonts w:ascii="Times New Roman" w:hAnsi="Times New Roman" w:cs="Times New Roman"/>
          <w:noProof/>
          <w:szCs w:val="21"/>
        </w:rPr>
        <w:drawing>
          <wp:inline distT="0" distB="0" distL="0" distR="0" wp14:anchorId="204E9BE5" wp14:editId="02BF7337">
            <wp:extent cx="5270500" cy="1714500"/>
            <wp:effectExtent l="0" t="0" r="0" b="0"/>
            <wp:docPr id="10597998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99836"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0500" cy="1714500"/>
                    </a:xfrm>
                    <a:prstGeom prst="rect">
                      <a:avLst/>
                    </a:prstGeom>
                    <a:noFill/>
                    <a:ln>
                      <a:noFill/>
                    </a:ln>
                  </pic:spPr>
                </pic:pic>
              </a:graphicData>
            </a:graphic>
          </wp:inline>
        </w:drawing>
      </w:r>
    </w:p>
    <w:p w14:paraId="2AA2DD13" w14:textId="77777777" w:rsidR="003B0EC2" w:rsidRDefault="00000000">
      <w:pPr>
        <w:rPr>
          <w:rFonts w:ascii="Times New Roman" w:hAnsi="Times New Roman" w:cs="Times New Roman"/>
          <w:szCs w:val="21"/>
        </w:rPr>
      </w:pPr>
      <w:r>
        <w:rPr>
          <w:rFonts w:ascii="Times New Roman" w:hAnsi="Times New Roman" w:cs="Times New Roman"/>
          <w:b/>
          <w:bCs/>
          <w:szCs w:val="21"/>
        </w:rPr>
        <w:t xml:space="preserve">(A, B) </w:t>
      </w:r>
      <w:r>
        <w:rPr>
          <w:rFonts w:ascii="Times New Roman" w:hAnsi="Times New Roman" w:cs="Times New Roman"/>
          <w:szCs w:val="21"/>
        </w:rPr>
        <w:t>Scatter plots evaluate the models' robustness by comparing R2Y and Q2Y values of actual versus simulated models, with models demonstrating R2Y and Q2Y values exceeding the threshold (horizontal line) indicative of overfitting.</w:t>
      </w:r>
      <w:r>
        <w:rPr>
          <w:rFonts w:ascii="Times New Roman" w:hAnsi="Times New Roman" w:cs="Times New Roman"/>
          <w:b/>
          <w:bCs/>
          <w:szCs w:val="21"/>
        </w:rPr>
        <w:t xml:space="preserve"> (C) </w:t>
      </w:r>
      <w:r>
        <w:rPr>
          <w:rFonts w:ascii="Times New Roman" w:hAnsi="Times New Roman" w:cs="Times New Roman"/>
          <w:szCs w:val="21"/>
        </w:rPr>
        <w:t xml:space="preserve">An OPLS-DA score plot effectively </w:t>
      </w:r>
      <w:r>
        <w:rPr>
          <w:rFonts w:ascii="Times New Roman" w:hAnsi="Times New Roman" w:cs="Times New Roman"/>
          <w:szCs w:val="21"/>
        </w:rPr>
        <w:lastRenderedPageBreak/>
        <w:t>segregates infected from non-infected samples, demonstrating distinct clustering and affirming the model's discriminative capacity.</w:t>
      </w:r>
    </w:p>
    <w:p w14:paraId="4507E590" w14:textId="77777777" w:rsidR="003B0EC2" w:rsidRDefault="003B0EC2">
      <w:pPr>
        <w:rPr>
          <w:rFonts w:ascii="Times New Roman" w:hAnsi="Times New Roman" w:cs="Times New Roman"/>
          <w:szCs w:val="21"/>
        </w:rPr>
      </w:pPr>
    </w:p>
    <w:p w14:paraId="5AFE9FF9" w14:textId="77777777" w:rsidR="003B0EC2" w:rsidRDefault="00000000">
      <w:pPr>
        <w:widowControl/>
        <w:jc w:val="left"/>
        <w:rPr>
          <w:rFonts w:ascii="Times New Roman" w:hAnsi="Times New Roman" w:cs="Times New Roman"/>
          <w:szCs w:val="21"/>
        </w:rPr>
      </w:pPr>
      <w:r>
        <w:rPr>
          <w:rFonts w:ascii="Times New Roman" w:hAnsi="Times New Roman" w:cs="Times New Roman" w:hint="eastAsia"/>
          <w:b/>
          <w:bCs/>
          <w:szCs w:val="21"/>
        </w:rPr>
        <w:t xml:space="preserve">8. Figure S8. </w:t>
      </w:r>
      <w:r>
        <w:rPr>
          <w:rFonts w:ascii="Times New Roman" w:hAnsi="Times New Roman" w:cs="Times New Roman" w:hint="eastAsia"/>
          <w:szCs w:val="21"/>
        </w:rPr>
        <w:t xml:space="preserve">Evaluation of Model Robustness and Discriminative Capacity in the Discovery Cohort (Serum) and ROC Curve Analysis of </w:t>
      </w:r>
      <w:r>
        <w:rPr>
          <w:rFonts w:ascii="Times New Roman" w:hAnsi="Times New Roman" w:cs="Times New Roman"/>
          <w:szCs w:val="21"/>
        </w:rPr>
        <w:t>Metabolite</w:t>
      </w:r>
      <w:r>
        <w:rPr>
          <w:rFonts w:ascii="Times New Roman" w:hAnsi="Times New Roman" w:cs="Times New Roman" w:hint="eastAsia"/>
          <w:szCs w:val="21"/>
        </w:rPr>
        <w:t xml:space="preserve"> Biomarkers in the Discovery Cohort (Serum) as a Training Set.</w:t>
      </w:r>
    </w:p>
    <w:p w14:paraId="754C0B6A" w14:textId="77777777" w:rsidR="003B0EC2" w:rsidRDefault="003B0EC2">
      <w:pPr>
        <w:rPr>
          <w:rFonts w:ascii="Times New Roman" w:hAnsi="Times New Roman" w:cs="Times New Roman"/>
          <w:szCs w:val="21"/>
        </w:rPr>
      </w:pPr>
    </w:p>
    <w:p w14:paraId="015EDA4C" w14:textId="77777777" w:rsidR="003B0EC2" w:rsidRDefault="00000000">
      <w:pPr>
        <w:rPr>
          <w:rFonts w:ascii="Times New Roman" w:hAnsi="Times New Roman" w:cs="Times New Roman"/>
          <w:szCs w:val="21"/>
        </w:rPr>
      </w:pPr>
      <w:r>
        <w:rPr>
          <w:rFonts w:ascii="Times New Roman" w:hAnsi="Times New Roman" w:cs="Times New Roman" w:hint="eastAsia"/>
          <w:noProof/>
          <w:szCs w:val="21"/>
        </w:rPr>
        <w:drawing>
          <wp:inline distT="0" distB="0" distL="114300" distR="114300" wp14:anchorId="05B3C25A" wp14:editId="5C33A11B">
            <wp:extent cx="5273675" cy="3035935"/>
            <wp:effectExtent l="0" t="0" r="9525" b="12065"/>
            <wp:docPr id="3" name="图片 3" descr="Figure S8-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8-revised"/>
                    <pic:cNvPicPr>
                      <a:picLocks noChangeAspect="1"/>
                    </pic:cNvPicPr>
                  </pic:nvPicPr>
                  <pic:blipFill>
                    <a:blip r:embed="rId14"/>
                    <a:stretch>
                      <a:fillRect/>
                    </a:stretch>
                  </pic:blipFill>
                  <pic:spPr>
                    <a:xfrm>
                      <a:off x="0" y="0"/>
                      <a:ext cx="5273675" cy="3035935"/>
                    </a:xfrm>
                    <a:prstGeom prst="rect">
                      <a:avLst/>
                    </a:prstGeom>
                  </pic:spPr>
                </pic:pic>
              </a:graphicData>
            </a:graphic>
          </wp:inline>
        </w:drawing>
      </w:r>
    </w:p>
    <w:p w14:paraId="2EE94198"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t>(A, B)</w:t>
      </w:r>
      <w:r>
        <w:rPr>
          <w:rFonts w:ascii="Times New Roman" w:hAnsi="Times New Roman" w:cs="Times New Roman" w:hint="eastAsia"/>
          <w:szCs w:val="21"/>
        </w:rPr>
        <w:t xml:space="preserve"> Scatter plots evaluate the models' robustness by comparing R2Y and Q2Y values of actual versus simulated models, with models demonstrating R2Y and Q2Y values exceeding the threshold (horizontal line) indicative of overfitting. </w:t>
      </w:r>
      <w:r>
        <w:rPr>
          <w:rFonts w:ascii="Times New Roman" w:hAnsi="Times New Roman" w:cs="Times New Roman" w:hint="eastAsia"/>
          <w:b/>
          <w:bCs/>
          <w:szCs w:val="21"/>
        </w:rPr>
        <w:t>(C)</w:t>
      </w:r>
      <w:r>
        <w:rPr>
          <w:rFonts w:ascii="Times New Roman" w:hAnsi="Times New Roman" w:cs="Times New Roman" w:hint="eastAsia"/>
          <w:szCs w:val="21"/>
        </w:rPr>
        <w:t xml:space="preserve"> An OPLS-DA score plot effectively segregates infected from non-infected samples, demonstrating distinct clustering and affirming the model's discriminative capacity. </w:t>
      </w:r>
      <w:r>
        <w:rPr>
          <w:rFonts w:ascii="Times New Roman" w:hAnsi="Times New Roman" w:cs="Times New Roman" w:hint="eastAsia"/>
          <w:b/>
          <w:bCs/>
          <w:szCs w:val="21"/>
        </w:rPr>
        <w:t>(D)</w:t>
      </w:r>
      <w:r>
        <w:rPr>
          <w:rFonts w:ascii="Times New Roman" w:hAnsi="Times New Roman" w:cs="Times New Roman" w:hint="eastAsia"/>
          <w:szCs w:val="21"/>
        </w:rPr>
        <w:t xml:space="preserve"> A volcano plot delineates serum differentially expressed metabolites (SDEMs), showcasing marked up- and down-regulations as indicators of a substantial response to P. aeruginosa infection. </w:t>
      </w:r>
      <w:r>
        <w:rPr>
          <w:rFonts w:ascii="Times New Roman" w:hAnsi="Times New Roman" w:cs="Times New Roman" w:hint="eastAsia"/>
          <w:b/>
          <w:bCs/>
          <w:szCs w:val="21"/>
        </w:rPr>
        <w:t>(E)</w:t>
      </w:r>
      <w:r>
        <w:rPr>
          <w:rFonts w:ascii="Times New Roman" w:hAnsi="Times New Roman" w:cs="Times New Roman" w:hint="eastAsia"/>
          <w:szCs w:val="21"/>
        </w:rPr>
        <w:t xml:space="preserve"> Receiver Operating Characteristic (ROC) curves depict the diagnostic accuracy of metabolite biomarkers identified in the discovery cohort (Serum) as the training set. Each curve represents a metabolite biomarker, with area under the curve (AUC) values exceeding 0.8, indicating strong sensitivity and specificity in differentiating infected from non-infected samples.</w:t>
      </w:r>
    </w:p>
    <w:p w14:paraId="45862F99" w14:textId="77777777" w:rsidR="003B0EC2" w:rsidRDefault="003B0EC2">
      <w:pPr>
        <w:rPr>
          <w:rFonts w:ascii="Times New Roman" w:hAnsi="Times New Roman" w:cs="Times New Roman"/>
          <w:szCs w:val="21"/>
        </w:rPr>
      </w:pPr>
    </w:p>
    <w:p w14:paraId="47DCDB95" w14:textId="77777777" w:rsidR="003B0EC2" w:rsidRDefault="00000000">
      <w:pPr>
        <w:rPr>
          <w:rFonts w:ascii="Times New Roman" w:hAnsi="Times New Roman" w:cs="Times New Roman"/>
          <w:szCs w:val="21"/>
        </w:rPr>
      </w:pPr>
      <w:r>
        <w:rPr>
          <w:rFonts w:ascii="Times New Roman" w:hAnsi="Times New Roman" w:cs="Times New Roman" w:hint="eastAsia"/>
          <w:b/>
          <w:bCs/>
          <w:szCs w:val="21"/>
        </w:rPr>
        <w:t>9. Figure S9.</w:t>
      </w:r>
      <w:r>
        <w:rPr>
          <w:rFonts w:ascii="Times New Roman" w:hAnsi="Times New Roman" w:cs="Times New Roman" w:hint="eastAsia"/>
          <w:szCs w:val="21"/>
        </w:rPr>
        <w:t xml:space="preserve"> Evaluation of Model Robustness and Discriminative Capacity in the Validation Cohort (Serum).</w:t>
      </w:r>
    </w:p>
    <w:p w14:paraId="7EE0C0F0" w14:textId="77777777" w:rsidR="003B0EC2" w:rsidRDefault="00000000">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43B8724C" wp14:editId="1605B4F0">
            <wp:extent cx="5264150" cy="1676400"/>
            <wp:effectExtent l="0" t="0" r="0" b="0"/>
            <wp:docPr id="3018167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16715" name="图片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64150" cy="1676400"/>
                    </a:xfrm>
                    <a:prstGeom prst="rect">
                      <a:avLst/>
                    </a:prstGeom>
                    <a:noFill/>
                    <a:ln>
                      <a:noFill/>
                    </a:ln>
                  </pic:spPr>
                </pic:pic>
              </a:graphicData>
            </a:graphic>
          </wp:inline>
        </w:drawing>
      </w:r>
    </w:p>
    <w:p w14:paraId="0F56A0EA" w14:textId="77777777" w:rsidR="003B0EC2" w:rsidRDefault="00000000">
      <w:pPr>
        <w:rPr>
          <w:rFonts w:ascii="Times New Roman" w:hAnsi="Times New Roman" w:cs="Times New Roman"/>
          <w:szCs w:val="21"/>
        </w:rPr>
      </w:pPr>
      <w:r>
        <w:rPr>
          <w:rFonts w:ascii="Times New Roman" w:hAnsi="Times New Roman" w:cs="Times New Roman"/>
          <w:b/>
          <w:bCs/>
          <w:szCs w:val="21"/>
        </w:rPr>
        <w:t xml:space="preserve">(A, B) </w:t>
      </w:r>
      <w:r>
        <w:rPr>
          <w:rFonts w:ascii="Times New Roman" w:hAnsi="Times New Roman" w:cs="Times New Roman"/>
          <w:szCs w:val="21"/>
        </w:rPr>
        <w:t>Scatter plots evaluate the models' robustness by comparing R2Y and Q2Y values of actual versus simulated models, with models demonstrating R2Y and Q2Y values exceeding the threshold (horizontal line) indicative of overfitting.</w:t>
      </w:r>
      <w:r>
        <w:rPr>
          <w:rFonts w:ascii="Times New Roman" w:hAnsi="Times New Roman" w:cs="Times New Roman"/>
          <w:b/>
          <w:bCs/>
          <w:szCs w:val="21"/>
        </w:rPr>
        <w:t xml:space="preserve"> (C) </w:t>
      </w:r>
      <w:r>
        <w:rPr>
          <w:rFonts w:ascii="Times New Roman" w:hAnsi="Times New Roman" w:cs="Times New Roman"/>
          <w:szCs w:val="21"/>
        </w:rPr>
        <w:t>An OPLS-DA score plot effectively segregates infected from non-infected samples, demonstrating distinct clustering and affirming the model's discriminative capacity.</w:t>
      </w:r>
    </w:p>
    <w:sectPr w:rsidR="003B0E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B4169" w14:textId="77777777" w:rsidR="00EC3CD5" w:rsidRDefault="00EC3CD5" w:rsidP="00F354D4">
      <w:pPr>
        <w:rPr>
          <w:rFonts w:hint="eastAsia"/>
        </w:rPr>
      </w:pPr>
      <w:r>
        <w:separator/>
      </w:r>
    </w:p>
  </w:endnote>
  <w:endnote w:type="continuationSeparator" w:id="0">
    <w:p w14:paraId="22D3FFAA" w14:textId="77777777" w:rsidR="00EC3CD5" w:rsidRDefault="00EC3CD5" w:rsidP="00F354D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AC498" w14:textId="77777777" w:rsidR="00EC3CD5" w:rsidRDefault="00EC3CD5" w:rsidP="00F354D4">
      <w:pPr>
        <w:rPr>
          <w:rFonts w:hint="eastAsia"/>
        </w:rPr>
      </w:pPr>
      <w:r>
        <w:separator/>
      </w:r>
    </w:p>
  </w:footnote>
  <w:footnote w:type="continuationSeparator" w:id="0">
    <w:p w14:paraId="2736F0A1" w14:textId="77777777" w:rsidR="00EC3CD5" w:rsidRDefault="00EC3CD5" w:rsidP="00F354D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417AB"/>
    <w:multiLevelType w:val="multilevel"/>
    <w:tmpl w:val="5E9417AB"/>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76680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balanceSingleByteDoubleByteWidth/>
    <w:ulTrailSpace/>
    <w:doNotExpandShiftReturn/>
    <w:adjustLineHeightInTable/>
    <w:useFELayout/>
    <w:doNotUseIndentAsNumberingTabStop/>
    <w:compatSetting w:name="compatibilityMode" w:uri="http://schemas.microsoft.com/office/word" w:val="12"/>
    <w:compatSetting w:name="useWord2013TrackBottomHyphenation" w:uri="http://schemas.microsoft.com/office/word" w:val="1"/>
  </w:compat>
  <w:rsids>
    <w:rsidRoot w:val="00EA0A54"/>
    <w:rsid w:val="00005ADD"/>
    <w:rsid w:val="00033C98"/>
    <w:rsid w:val="00070CC5"/>
    <w:rsid w:val="000C33EE"/>
    <w:rsid w:val="000E2934"/>
    <w:rsid w:val="000F6EDA"/>
    <w:rsid w:val="00142E70"/>
    <w:rsid w:val="0015017B"/>
    <w:rsid w:val="001568EB"/>
    <w:rsid w:val="001A38CF"/>
    <w:rsid w:val="001A7B71"/>
    <w:rsid w:val="001E2F06"/>
    <w:rsid w:val="001F1751"/>
    <w:rsid w:val="002D4D14"/>
    <w:rsid w:val="002F2E4B"/>
    <w:rsid w:val="002F6C2C"/>
    <w:rsid w:val="002F7D0A"/>
    <w:rsid w:val="003240A1"/>
    <w:rsid w:val="00374479"/>
    <w:rsid w:val="00381F71"/>
    <w:rsid w:val="003A740B"/>
    <w:rsid w:val="003A7646"/>
    <w:rsid w:val="003B0EC2"/>
    <w:rsid w:val="00446E2F"/>
    <w:rsid w:val="004540C9"/>
    <w:rsid w:val="00492846"/>
    <w:rsid w:val="004942D2"/>
    <w:rsid w:val="004B2ABF"/>
    <w:rsid w:val="004B76C0"/>
    <w:rsid w:val="004D323D"/>
    <w:rsid w:val="00523B95"/>
    <w:rsid w:val="00543F4A"/>
    <w:rsid w:val="00563278"/>
    <w:rsid w:val="005671C9"/>
    <w:rsid w:val="00593D59"/>
    <w:rsid w:val="005A39BE"/>
    <w:rsid w:val="005B00A2"/>
    <w:rsid w:val="005C0255"/>
    <w:rsid w:val="005F1D6B"/>
    <w:rsid w:val="00665418"/>
    <w:rsid w:val="006908C7"/>
    <w:rsid w:val="006F2789"/>
    <w:rsid w:val="006F7D49"/>
    <w:rsid w:val="00714F09"/>
    <w:rsid w:val="007255CB"/>
    <w:rsid w:val="00741B81"/>
    <w:rsid w:val="00752276"/>
    <w:rsid w:val="00755BFD"/>
    <w:rsid w:val="007B72A3"/>
    <w:rsid w:val="007F2CFD"/>
    <w:rsid w:val="00835544"/>
    <w:rsid w:val="00844DFA"/>
    <w:rsid w:val="0085140A"/>
    <w:rsid w:val="00853E45"/>
    <w:rsid w:val="008679DE"/>
    <w:rsid w:val="00867FFD"/>
    <w:rsid w:val="008A4737"/>
    <w:rsid w:val="008A674D"/>
    <w:rsid w:val="008F09A8"/>
    <w:rsid w:val="008F6C0F"/>
    <w:rsid w:val="009010A2"/>
    <w:rsid w:val="00923645"/>
    <w:rsid w:val="009302B9"/>
    <w:rsid w:val="009314FE"/>
    <w:rsid w:val="009372B6"/>
    <w:rsid w:val="00983156"/>
    <w:rsid w:val="009C36BE"/>
    <w:rsid w:val="009D4E4D"/>
    <w:rsid w:val="009D61C9"/>
    <w:rsid w:val="00A068F2"/>
    <w:rsid w:val="00A25453"/>
    <w:rsid w:val="00A31D70"/>
    <w:rsid w:val="00A35A6C"/>
    <w:rsid w:val="00A87EE3"/>
    <w:rsid w:val="00AA4205"/>
    <w:rsid w:val="00AB4A37"/>
    <w:rsid w:val="00AD60CE"/>
    <w:rsid w:val="00B0637F"/>
    <w:rsid w:val="00B513A4"/>
    <w:rsid w:val="00B631D9"/>
    <w:rsid w:val="00B75F6E"/>
    <w:rsid w:val="00BA3C2B"/>
    <w:rsid w:val="00BB1A49"/>
    <w:rsid w:val="00BB66A7"/>
    <w:rsid w:val="00C15156"/>
    <w:rsid w:val="00C34A7A"/>
    <w:rsid w:val="00C40BA5"/>
    <w:rsid w:val="00CB47A0"/>
    <w:rsid w:val="00CF4DF0"/>
    <w:rsid w:val="00D5797E"/>
    <w:rsid w:val="00D8520E"/>
    <w:rsid w:val="00D93920"/>
    <w:rsid w:val="00DA7946"/>
    <w:rsid w:val="00DD1F7A"/>
    <w:rsid w:val="00DF698E"/>
    <w:rsid w:val="00E248BF"/>
    <w:rsid w:val="00E5695B"/>
    <w:rsid w:val="00EA0A54"/>
    <w:rsid w:val="00EB1D6D"/>
    <w:rsid w:val="00EC3CD5"/>
    <w:rsid w:val="00ED1CC0"/>
    <w:rsid w:val="00ED6FC5"/>
    <w:rsid w:val="00EE37F7"/>
    <w:rsid w:val="00F06D36"/>
    <w:rsid w:val="00F354D4"/>
    <w:rsid w:val="00F63514"/>
    <w:rsid w:val="00F67EA9"/>
    <w:rsid w:val="00F82F97"/>
    <w:rsid w:val="00F8589B"/>
    <w:rsid w:val="00F91B5C"/>
    <w:rsid w:val="00FA21C9"/>
    <w:rsid w:val="00FA6A96"/>
    <w:rsid w:val="00FD01C5"/>
    <w:rsid w:val="00FD1BC2"/>
    <w:rsid w:val="00FD4853"/>
    <w:rsid w:val="12092FED"/>
    <w:rsid w:val="143C4803"/>
    <w:rsid w:val="246B4C91"/>
    <w:rsid w:val="25493224"/>
    <w:rsid w:val="387104B1"/>
    <w:rsid w:val="40F9727B"/>
    <w:rsid w:val="473F5DDD"/>
    <w:rsid w:val="522B681E"/>
    <w:rsid w:val="59EB018B"/>
    <w:rsid w:val="70136802"/>
    <w:rsid w:val="72BB45AB"/>
    <w:rsid w:val="7B4810FC"/>
    <w:rsid w:val="7F67737B"/>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D0E33"/>
  <w15:docId w15:val="{1E721530-BCB5-4D70-A059-D46236B5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1103</Words>
  <Characters>6608</Characters>
  <Application>Microsoft Office Word</Application>
  <DocSecurity>0</DocSecurity>
  <Lines>137</Lines>
  <Paragraphs>46</Paragraphs>
  <ScaleCrop>false</ScaleCrop>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ZHIWEI LIN</dc:creator>
  <cp:lastModifiedBy>ZHIWEI LIN</cp:lastModifiedBy>
  <cp:revision>80</cp:revision>
  <dcterms:created xsi:type="dcterms:W3CDTF">2024-10-26T07:09:00Z</dcterms:created>
  <dcterms:modified xsi:type="dcterms:W3CDTF">2025-05-12T16:01:00Z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eyJoZGlkIjoiNGEyNGE4ZDc3YmRiZDc1ZWY0ZjBjMGQzMDI3MzUzOGYiLCJ1c2VySWQiOiIxOTQ2ODExNDEifQ==</vt:lpwstr>
  </property>
  <property fmtid="{D5CDD505-2E9C-101B-9397-08002B2CF9AE}" pid="3" name="KSOProductBuildVer">
    <vt:lpwstr>2052-12.1.0.20784</vt:lpwstr>
  </property>
  <property fmtid="{D5CDD505-2E9C-101B-9397-08002B2CF9AE}" pid="4" name="ICV">
    <vt:lpwstr>3E587A697BFB450EA8B2B937FCB041B2_12</vt:lpwstr>
  </property>
</Properties>
</file>