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  <w:t xml:space="preserve">Figure 4 product and site key: </w:t>
      </w:r>
    </w:p>
    <w:tbl>
      <w:tblPr/>
      <w:tblGrid>
        <w:gridCol w:w="9629"/>
      </w:tblGrid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Specific products and site descriptions of chemical acaracide study classifications: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Stafford 1991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Carbaryl (1-naphthyl-N-methycarbamate) was mixed at a rate of 1.20 g (AI)/liter of spray [single site estimate]</w:t>
            </w:r>
          </w:p>
        </w:tc>
      </w:tr>
      <w:tr>
        <w:trPr>
          <w:trHeight w:val="52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Bron 2020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Synthetic pyrethroid (granular formulation spectracide triazicide insect killer for lawns) containing 0.05% gamma-cyhalothrin [Two peri-urban/ suburban sites; site 1- ‘EC’ agricultural and woodland, site 2- ‘SC’ woodland] </w:t>
            </w:r>
          </w:p>
        </w:tc>
      </w:tr>
      <w:tr>
        <w:trPr>
          <w:trHeight w:val="52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Schulze 2001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Granular deltamethrin (DeltaGard G Insecticide Granule, 0.1% [AI], Aventis Environmental Science USA LP, Montvale, NJ) was applied at a rate of 0.15 kg/ha) [single site estimate]</w:t>
            </w:r>
          </w:p>
        </w:tc>
      </w:tr>
      <w:tr>
        <w:trPr>
          <w:trHeight w:val="78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Curran 1993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 Carbaryl emulsifiable concentrate (EC) at 1.1 kg (#1) or 0.6 (#2) Al/ha, Granular (GR) carbaryl (7.15%) at 4.5 kg (#3) Al/ha, chlorpyri-fos wettable powder (WP) at 1.1 kg (#4) or 0.6 (#5) Al/ha, granular chlorpyrifos (2.3%) at 1.1 kg (#6) Al/ha, and cyfluthrin EC at 0.1 kg (#7) Al/ha. [Seven products, products and formulations assigned to balance treatment types between two neighborhoods]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Schulze 2020: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Talstar P (bifethrin)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Schulze 2021: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Talstar P (bifethrin)</w:t>
            </w:r>
          </w:p>
        </w:tc>
      </w:tr>
      <w:tr>
        <w:trPr>
          <w:trHeight w:val="52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Jordan 2017: product 1: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Bayer Advanced (imidacloprid;beta-cyfluthrin) (0.72%;0.36%); product 2- Spectracide (lambda-cyhalothrin) (0.5%); product 3- Ortho Bug-B-Gon (bifenthrin/zeta-cypermethrin) (0.3%) [3 products reported, multiple formulations of prduct 1].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Schulze 2005: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granular deltamethrin [single site estimate, single product reported].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Specific products and site descriptions of natural and botanical acaracide study classifications: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Patrican 1995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Drione, 40% amorphous silica gel (24.4 kg [AI]/ha),10% piperonyl butoxide (6.10 kg [AI]/ha), and 1% pyrethrins (0.60 kg [AI]/ha) [single site estimate]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Hornbostel 2005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Metarhizium anisopliae (Deuteromycetes) 109 spores/ml Bio-Blast + DI water suspension [Two rural sites (site 1- SR 44A) (site 2- ST Farm)]</w:t>
            </w:r>
          </w:p>
        </w:tc>
      </w:tr>
      <w:tr>
        <w:trPr>
          <w:trHeight w:val="130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Bharadwaj 2012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 (product 1- [EC] 4.4 liters of 89.6% synthetic nootkatone, 1.9 liters of 93% d-limonene, a solvent extracted from orange peels, and 1.9 liters of E-Z-Mulse, at a ratio of 2:1:1) (product 2- EC + Fungus 0.4 liters of the nootkatone oil with 0.2 liters each of d-limonene and E-Z-Mulse at the same 2:1:1 ratio in combination with an oil-based formulation of M.brunneum). The following are all encapsulated formulations of nootkatone prepared by the National Center for Agricultural Utilization Research, Agricultural Research Service, USDA (product 4-[Lingin processing method 2009] 17.9% nootkatone wt:wt) (product 5- [Lingin processing method 2010] 20.7% nootkatone wt:wt]) (product 6- [Maillard processing method] 22.5% nootkatone wt:wt) </w:t>
            </w:r>
          </w:p>
        </w:tc>
      </w:tr>
      <w:tr>
        <w:trPr>
          <w:trHeight w:val="78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Jordan 2011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(product 1- [Nootkatone] 98.5% nootkatone crystals in 93% d-limonene, added to spray tank 95% EZ-Mulse, and 11.4 liters (3 gal) of water) (product 2- [Eco Trol T&amp;O] carvacrol-EcoTrol: 95% carvacrol and 92% Calamide C, The EcoTrol T&amp;O formulations, consisting of 10% rosemary oil, 2% peppermint oil, and 0.5% sodium lauryl sulfate, with wintergreen oil, vanillin, lecithin, and butyl lactate)</w:t>
            </w:r>
          </w:p>
        </w:tc>
      </w:tr>
      <w:tr>
        <w:trPr>
          <w:trHeight w:val="157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Dolan 2009: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 (product 1- Nootkatone 2006 formulation-98.5% nootkatone crystals dissolved in 93% d-limonene added to the spray tank con-taining water and 95% EZ-Mulse ) (product 2- Nootkatone 2007 formulation-98.5% nootkatone crystals dissolved in 93% d-limonene added to the spray tank con-taining water and 95% EZ-Mulse) (product 3- Carvacrol applied 95% carvacrol and 92% Calamide C, prepared from highly refined coconut oil), (product 4 Nootkatone 2008 formulation- core specific location- an emulsified formulation containing nootkatone and food grade corn oil using a 1:1ratio of the surfactants transcutol and cremephor EL (Polyoxyl 35 Castor Oil ([USP/NF]) mixed in a 1:5 (cornoil/cosurfactant) ratio), (product 5 Nootkatone 2008 formulation- border specific location- an emulsified formulation containing nootkatone and food grade corn oil using a 1:1ratio of the surfactants transcutol and cremephor EL (Polyoxyl 35 Castor Oil ([USP/NF]) mixed in a 1:5 (corn oil/cosurfactant) ratio)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Schulze 2021: product 1- Met52 EC; product 2-Essentria IC3</w:t>
            </w:r>
          </w:p>
        </w:tc>
      </w:tr>
      <w:tr>
        <w:trPr>
          <w:trHeight w:val="52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Schulze 2023: product 1- Essentria IC3 high pressure application; product 2 Essentria IC3 low pressure application; product 3- Entomopathogenic fungal acaricide BotaniGard ES high pressure application; product 4 Entomopathogenic fungal acaricide BotaniGard ES low pressure application. [multiple products and application effect estimates reported]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Bharadwaj 2015:product 5- Botanical acaricide garlic concentrate Mosquito Barrier. [single product/single site effect estimates reported]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Allan 1995: product 1-Safer's insecticidal soap (3.9%); product 2- Drione amorphous silica gel, piperonyl butoxide, pyrethrins. [multiple product effect estimates reported]</w:t>
            </w:r>
          </w:p>
        </w:tc>
      </w:tr>
      <w:tr>
        <w:trPr>
          <w:trHeight w:val="52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Bharadwaj 2010: product 1- Entomopathogenic fungi M.anisopliae F52 application rate 1: 3.2x10^5 spores/cm^2; product 2- Entomopathogenic fungi M.anisopliae F52 application rate 2: 1.3X10^6 spores/cm^2. [multiple product effect estimates reported]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Specific products and site descriptions of deer fencing study classifications: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Stafford 1993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[single site estimate reported]</w:t>
            </w:r>
          </w:p>
        </w:tc>
      </w:tr>
      <w:tr>
        <w:trPr>
          <w:trHeight w:val="30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Daniels 1993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[site 1- Hudson Pines, site 2- Near Archives, site 3- Cemetery, Site 4- Far Archives, site 5- Park Estate]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Specific products and site descriptions of deer targeted 4-Poster study classifications:</w:t>
            </w:r>
          </w:p>
        </w:tc>
      </w:tr>
      <w:tr>
        <w:trPr>
          <w:trHeight w:val="52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Daniels 2009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2% pour-on formulation of Amitraz. Initial application of 20 mL of Point-Guard to each roller once per week; increased to 40 mL Point-Guard per roller three times per week by end of study [single overall site estimate reported]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Stafford 2009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Point-Guard (2%amitraz) initially applied at 25mL per roller per week, increased to 40mL/roller in the later years of the study. [single site estimate reported]</w:t>
            </w:r>
          </w:p>
        </w:tc>
      </w:tr>
      <w:tr>
        <w:trPr>
          <w:trHeight w:val="78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Carroll 2009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2% amitraz applied weekly from March to mid-December. Each roller received 2.5 mL acaricide for 9.2 kg corn consumed, increasing by 2.5 mL=roller for each additional 4.5 kg increment of corn consumed up to 70.5 kg. For every additional 11.4 kg corn consumed above 70.5 kg, an additional 5 mL of acaricide per roller was applied. [single site estimate reported]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Specific products and site descriptions of rodent targeted tick tube study classifications: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Stafford 1991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tubes containing cotton treated with 7.4% wt/wt permethrin [single site estimate reported]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Daniels 1991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: tubes containing permethrin treated cotton [ site 1= woodland, site 2= recreational, site 3= residential]</w:t>
            </w:r>
          </w:p>
        </w:tc>
      </w:tr>
      <w:tr>
        <w:trPr>
          <w:trHeight w:val="290" w:hRule="auto"/>
          <w:jc w:val="left"/>
        </w:trPr>
        <w:tc>
          <w:tcPr>
            <w:tcW w:w="9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u w:val="single"/>
                <w:shd w:fill="auto" w:val="clear"/>
              </w:rPr>
              <w:t xml:space="preserve">Jordan 2019: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tubes containing cotton treated with 7.4% wt/wt permethrin [single site estimate reported]</w:t>
            </w:r>
          </w:p>
        </w:tc>
      </w:tr>
    </w:tbl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