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E3DE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Methodological limitations of included studies</w:t>
      </w:r>
    </w:p>
    <w:p w14:paraId="54F59C9D">
      <w:pPr>
        <w:rPr>
          <w:rFonts w:hint="default"/>
          <w:b/>
          <w:bCs/>
          <w:lang w:val="en-US"/>
        </w:rPr>
      </w:pPr>
    </w:p>
    <w:tbl>
      <w:tblPr>
        <w:tblStyle w:val="4"/>
        <w:tblW w:w="8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33"/>
        <w:gridCol w:w="1431"/>
        <w:gridCol w:w="819"/>
        <w:gridCol w:w="3840"/>
      </w:tblGrid>
      <w:tr w14:paraId="0C76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7" w:type="dxa"/>
          </w:tcPr>
          <w:p w14:paraId="26FFCFA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1933" w:type="dxa"/>
          </w:tcPr>
          <w:p w14:paraId="3ECE809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Author(s), Year</w:t>
            </w:r>
          </w:p>
        </w:tc>
        <w:tc>
          <w:tcPr>
            <w:tcW w:w="1431" w:type="dxa"/>
          </w:tcPr>
          <w:p w14:paraId="128118C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819" w:type="dxa"/>
          </w:tcPr>
          <w:p w14:paraId="7D9F545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3840" w:type="dxa"/>
          </w:tcPr>
          <w:p w14:paraId="3C0D826B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Limitations</w:t>
            </w:r>
          </w:p>
        </w:tc>
      </w:tr>
      <w:tr w14:paraId="0BF4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F40319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1727B698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Samuel C. Ficenec et al.,2020 [12]</w:t>
            </w:r>
          </w:p>
        </w:tc>
        <w:tc>
          <w:tcPr>
            <w:tcW w:w="1431" w:type="dxa"/>
          </w:tcPr>
          <w:p w14:paraId="07E031BE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Georgia"/>
                <w:color w:val="1F1F1F"/>
                <w:sz w:val="24"/>
                <w:szCs w:val="24"/>
              </w:rPr>
              <w:t>case-control study </w:t>
            </w:r>
          </w:p>
        </w:tc>
        <w:tc>
          <w:tcPr>
            <w:tcW w:w="819" w:type="dxa"/>
          </w:tcPr>
          <w:p w14:paraId="3EE0E9B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3840" w:type="dxa"/>
          </w:tcPr>
          <w:p w14:paraId="5CA67FFF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No baseline health data</w:t>
            </w:r>
          </w:p>
        </w:tc>
      </w:tr>
      <w:tr w14:paraId="3365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E9053B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17A7E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Alexa L. Li et al., 2020 [17]</w:t>
            </w:r>
          </w:p>
        </w:tc>
        <w:tc>
          <w:tcPr>
            <w:tcW w:w="1431" w:type="dxa"/>
          </w:tcPr>
          <w:p w14:paraId="43BEF01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Helvetica"/>
                <w:color w:val="202020"/>
                <w:sz w:val="24"/>
                <w:szCs w:val="24"/>
                <w:shd w:val="clear" w:color="auto" w:fill="FFFFFF"/>
              </w:rPr>
              <w:t>cross-sectional study</w:t>
            </w:r>
          </w:p>
        </w:tc>
        <w:tc>
          <w:tcPr>
            <w:tcW w:w="819" w:type="dxa"/>
          </w:tcPr>
          <w:p w14:paraId="0F0C9B6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40" w:type="dxa"/>
          </w:tcPr>
          <w:p w14:paraId="1657F054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Small sample; no control group; ophthalmic focus limits generalizability</w:t>
            </w:r>
          </w:p>
        </w:tc>
      </w:tr>
      <w:tr w14:paraId="505D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6DB3DB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449981C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J.B McCormick et al., 1987 [18]</w:t>
            </w:r>
          </w:p>
        </w:tc>
        <w:tc>
          <w:tcPr>
            <w:tcW w:w="1431" w:type="dxa"/>
          </w:tcPr>
          <w:p w14:paraId="32CE79EC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Case-control</w:t>
            </w:r>
          </w:p>
        </w:tc>
        <w:tc>
          <w:tcPr>
            <w:tcW w:w="819" w:type="dxa"/>
          </w:tcPr>
          <w:p w14:paraId="362813FF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3840" w:type="dxa"/>
          </w:tcPr>
          <w:p w14:paraId="265F44CD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Old dataset; unclear long-term follow up</w:t>
            </w:r>
          </w:p>
        </w:tc>
      </w:tr>
      <w:tr w14:paraId="59DB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D2D73C8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33BF9FF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Duvignaud et al.,  2020 [19]</w:t>
            </w:r>
          </w:p>
        </w:tc>
        <w:tc>
          <w:tcPr>
            <w:tcW w:w="1431" w:type="dxa"/>
          </w:tcPr>
          <w:p w14:paraId="77FF672F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Case report</w:t>
            </w:r>
          </w:p>
        </w:tc>
        <w:tc>
          <w:tcPr>
            <w:tcW w:w="819" w:type="dxa"/>
          </w:tcPr>
          <w:p w14:paraId="1C26648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Single case</w:t>
            </w:r>
          </w:p>
        </w:tc>
        <w:tc>
          <w:tcPr>
            <w:tcW w:w="3840" w:type="dxa"/>
          </w:tcPr>
          <w:p w14:paraId="64EFC938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Single case; cannot generalize findings</w:t>
            </w:r>
          </w:p>
        </w:tc>
      </w:tr>
      <w:tr w14:paraId="109D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5B6093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C94B37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Segoe UI"/>
                <w:color w:val="212121"/>
                <w:sz w:val="24"/>
                <w:szCs w:val="24"/>
                <w:shd w:val="clear" w:color="auto" w:fill="FFFFFF"/>
              </w:rPr>
              <w:t>Best, K. C. et al., 2024 [11]</w:t>
            </w:r>
          </w:p>
        </w:tc>
        <w:tc>
          <w:tcPr>
            <w:tcW w:w="1431" w:type="dxa"/>
          </w:tcPr>
          <w:p w14:paraId="29F0F0AC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Cross-sectional study</w:t>
            </w:r>
          </w:p>
        </w:tc>
        <w:tc>
          <w:tcPr>
            <w:tcW w:w="819" w:type="dxa"/>
          </w:tcPr>
          <w:p w14:paraId="1B4DCC8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0" w:type="dxa"/>
          </w:tcPr>
          <w:p w14:paraId="5B8375E9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Small sample; focused only on hearing loss</w:t>
            </w:r>
          </w:p>
        </w:tc>
      </w:tr>
      <w:tr w14:paraId="506C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6D719F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9AC8879">
            <w:pPr>
              <w:widowControl w:val="0"/>
              <w:spacing w:line="360" w:lineRule="auto"/>
              <w:jc w:val="both"/>
              <w:rPr>
                <w:rFonts w:ascii="Times New Roman" w:hAnsi="Times New Roman" w:eastAsia="Segoe UI"/>
                <w:color w:val="21212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Okogbenin EO et al., 2020 [20]</w:t>
            </w:r>
          </w:p>
        </w:tc>
        <w:tc>
          <w:tcPr>
            <w:tcW w:w="1431" w:type="dxa"/>
          </w:tcPr>
          <w:p w14:paraId="611A08EF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Retrospective cohort study</w:t>
            </w:r>
          </w:p>
        </w:tc>
        <w:tc>
          <w:tcPr>
            <w:tcW w:w="819" w:type="dxa"/>
          </w:tcPr>
          <w:p w14:paraId="3ED598F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0" w:type="dxa"/>
          </w:tcPr>
          <w:p w14:paraId="6998D8E5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Psychiatric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 xml:space="preserve"> diagnosis not standardized; no follow up data</w:t>
            </w:r>
          </w:p>
        </w:tc>
      </w:tr>
      <w:tr w14:paraId="60D6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E38886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62F987D2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Cummins D et al., 1989 [21]</w:t>
            </w:r>
          </w:p>
        </w:tc>
        <w:tc>
          <w:tcPr>
            <w:tcW w:w="1431" w:type="dxa"/>
          </w:tcPr>
          <w:p w14:paraId="37B3B8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Cross-sectional study</w:t>
            </w:r>
          </w:p>
        </w:tc>
        <w:tc>
          <w:tcPr>
            <w:tcW w:w="819" w:type="dxa"/>
          </w:tcPr>
          <w:p w14:paraId="04AF6383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40" w:type="dxa"/>
          </w:tcPr>
          <w:p w14:paraId="15DB8E0A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ECG abnormalities may reflect acute phase; no follow-up data</w:t>
            </w:r>
          </w:p>
        </w:tc>
      </w:tr>
      <w:tr w14:paraId="3D1A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EDBA0A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906E21C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Okokhere P et al, 2018 [22]</w:t>
            </w:r>
          </w:p>
        </w:tc>
        <w:tc>
          <w:tcPr>
            <w:tcW w:w="1431" w:type="dxa"/>
          </w:tcPr>
          <w:p w14:paraId="3C010F8C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Retrospective, observational cohort study </w:t>
            </w:r>
          </w:p>
        </w:tc>
        <w:tc>
          <w:tcPr>
            <w:tcW w:w="819" w:type="dxa"/>
          </w:tcPr>
          <w:p w14:paraId="0FBE339F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3840" w:type="dxa"/>
          </w:tcPr>
          <w:p w14:paraId="629AD562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CNS symptoms not stratified by severity or age; retrospective bias</w:t>
            </w:r>
          </w:p>
        </w:tc>
      </w:tr>
      <w:tr w14:paraId="6AA2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C7BECC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9EF4F5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Günther S et al., 2021 [23]</w:t>
            </w:r>
          </w:p>
        </w:tc>
        <w:tc>
          <w:tcPr>
            <w:tcW w:w="1431" w:type="dxa"/>
          </w:tcPr>
          <w:p w14:paraId="7A2F522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Case study</w:t>
            </w:r>
          </w:p>
        </w:tc>
        <w:tc>
          <w:tcPr>
            <w:tcW w:w="819" w:type="dxa"/>
          </w:tcPr>
          <w:p w14:paraId="04708FAC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Single case</w:t>
            </w:r>
          </w:p>
        </w:tc>
        <w:tc>
          <w:tcPr>
            <w:tcW w:w="3840" w:type="dxa"/>
          </w:tcPr>
          <w:p w14:paraId="165B16CC">
            <w:pPr>
              <w:widowControl w:val="0"/>
              <w:spacing w:line="36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Single case; lacks comparative data</w:t>
            </w:r>
          </w:p>
        </w:tc>
      </w:tr>
    </w:tbl>
    <w:p w14:paraId="06A8758B">
      <w:pPr>
        <w:rPr>
          <w:rFonts w:hint="default"/>
          <w:b/>
          <w:bCs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DB7993"/>
    <w:multiLevelType w:val="singleLevel"/>
    <w:tmpl w:val="CDDB799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508A5"/>
    <w:rsid w:val="19F508A5"/>
    <w:rsid w:val="2D3D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2025-05-23T21:24:00Z</dcterms:created>
  <dc:creator>Saka Sulymon</dc:creator>
  <cp:lastModifiedBy>Saka Sulymon</cp:lastModifiedBy>
  <dcterms:modified xsi:type="dcterms:W3CDTF">2025-05-24T21:10:32Z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682CD225AB3D4DF9AF0FB140075F0643_11</vt:lpwstr>
  </property>
</Properties>
</file>