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b/>
          <w:bCs/>
          <w:lang w:val="en-GB"/>
        </w:rPr>
      </w:pPr>
      <w:r w:rsidRPr="00A32254">
        <w:rPr>
          <w:rFonts w:ascii="Times New Roman" w:eastAsia="Calibri" w:hAnsi="Times New Roman" w:cs="Times New Roman"/>
          <w:b/>
          <w:bCs/>
          <w:lang w:val="en-GB"/>
        </w:rPr>
        <w:t xml:space="preserve">Supplementary Table 1. Symptoms at first consultation for post-COVID symptoms at IHU Mediterranean Infection </w:t>
      </w:r>
    </w:p>
    <w:tbl>
      <w:tblPr>
        <w:tblStyle w:val="TableGrid1"/>
        <w:tblW w:w="102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1"/>
      </w:tblGrid>
      <w:tr w:rsidR="00A32254" w:rsidRPr="00A32254" w:rsidTr="00A02E17">
        <w:tc>
          <w:tcPr>
            <w:tcW w:w="5670" w:type="dxa"/>
            <w:shd w:val="clear" w:color="auto" w:fill="auto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N = 319 (%)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Neurological (≥ one following symptoms)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270 (84.6)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Memory problems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226 (70.9)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Concentration or attention problems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221 (69.3)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Headaches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114 (35.7)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9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Insomnia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113 (35.4)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 xml:space="preserve">Dysarthria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51 (16.0)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Paraesthesia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23 (7.2)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Hypersomnia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5 (1.6)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Tremors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Electrical discharge sensations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Balance problems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ENT (≥ one following symptoms)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155 (48.6)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Smell disorders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124 (38.9)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Taste disorders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101 (31.7)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Hearing problems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(8.8)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450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Odynophagia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Cardiological – Pulmonary (≥ one following symptoms)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215 (67.4)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Dyspnoea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175 (54.9)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Chest pain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107 (33.5)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Palpitation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84 (26.3)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Cough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30 (9.4)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Sputum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Pericarditis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 (1.6)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Osteo-articular pain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81 (25.4)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Others: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Asthenia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258 (80.9)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Psychological problems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116 (36.4)</w:t>
            </w:r>
          </w:p>
        </w:tc>
      </w:tr>
      <w:tr w:rsidR="00A32254" w:rsidRPr="00A32254" w:rsidTr="00A02E17">
        <w:tc>
          <w:tcPr>
            <w:tcW w:w="5670" w:type="dxa"/>
            <w:vAlign w:val="center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Vertigo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84 (26.3)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Muscular pain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71 (22.3)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Digestives problems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51 (16.0)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Skin symptoms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(8.8)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Pruritus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Cs w:val="22"/>
                <w:lang w:val="en-GB"/>
              </w:rPr>
              <w:t>7 (2.2)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Erythema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(1.3)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Rash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(1.3)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Urticaria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Subcutaneous node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(0.6)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Eczema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(0.6)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Red plated skin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(0.6)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Oedema of the malar region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Annular granuloma (papule and nodule)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Petechial rash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601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Desquamation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Hair loss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(8.5)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Malaise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(8.5)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Blurred vision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 (5.3)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Temperature problems (cold or hot sensation)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(3.8)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Weight loss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 (4.1)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Weight gain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 (1.9)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Eye dryness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Other diseases (likely unrelated)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Asthma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(0.9)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Diabetes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(0.6)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Embolism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Stroke 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  <w:tr w:rsidR="00A32254" w:rsidRPr="00A32254" w:rsidTr="00A02E17">
        <w:tc>
          <w:tcPr>
            <w:tcW w:w="5670" w:type="dxa"/>
          </w:tcPr>
          <w:p w:rsidR="00A32254" w:rsidRPr="00A32254" w:rsidRDefault="00A32254" w:rsidP="00A32254">
            <w:pPr>
              <w:ind w:left="318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Shingles</w:t>
            </w:r>
          </w:p>
        </w:tc>
        <w:tc>
          <w:tcPr>
            <w:tcW w:w="4531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(0.3)</w:t>
            </w:r>
          </w:p>
        </w:tc>
      </w:tr>
    </w:tbl>
    <w:p w:rsidR="00A32254" w:rsidRPr="00A32254" w:rsidRDefault="00A32254" w:rsidP="00A32254">
      <w:pPr>
        <w:rPr>
          <w:rFonts w:ascii="Calibri" w:eastAsia="Calibri" w:hAnsi="Calibri" w:cs="Times New Roman"/>
          <w:lang w:val="en-GB"/>
        </w:rPr>
      </w:pPr>
    </w:p>
    <w:p w:rsidR="00A32254" w:rsidRPr="00A32254" w:rsidRDefault="00A32254" w:rsidP="00A32254">
      <w:pPr>
        <w:rPr>
          <w:rFonts w:ascii="Calibri" w:eastAsia="Calibri" w:hAnsi="Calibri" w:cs="Times New Roman"/>
          <w:lang w:val="en-GB"/>
        </w:rPr>
      </w:pPr>
      <w:r w:rsidRPr="00A32254">
        <w:rPr>
          <w:rFonts w:ascii="Calibri" w:eastAsia="Calibri" w:hAnsi="Calibri" w:cs="Times New Roman"/>
          <w:lang w:val="en-GB"/>
        </w:rPr>
        <w:br w:type="page"/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b/>
          <w:lang w:val="en-GB"/>
        </w:rPr>
      </w:pPr>
      <w:r w:rsidRPr="00A32254">
        <w:rPr>
          <w:rFonts w:ascii="Times New Roman" w:eastAsia="Calibri" w:hAnsi="Times New Roman" w:cs="Times New Roman"/>
          <w:b/>
          <w:bCs/>
          <w:lang w:val="en-GB"/>
        </w:rPr>
        <w:lastRenderedPageBreak/>
        <w:t>Supplementary Table 2</w:t>
      </w:r>
      <w:r w:rsidRPr="00A32254">
        <w:rPr>
          <w:rFonts w:ascii="Times New Roman" w:eastAsia="Calibri" w:hAnsi="Times New Roman" w:cs="Times New Roman"/>
          <w:b/>
          <w:lang w:val="en-GB"/>
        </w:rPr>
        <w:t>. Factors associated with the persistence of symptoms at least nine months of follow-up in 207 patients</w:t>
      </w:r>
    </w:p>
    <w:p w:rsidR="00A32254" w:rsidRPr="00A32254" w:rsidRDefault="00A32254" w:rsidP="00A32254">
      <w:pPr>
        <w:rPr>
          <w:rFonts w:ascii="Calibri" w:eastAsia="Calibri" w:hAnsi="Calibri" w:cs="Times New Roman"/>
          <w:lang w:val="en-GB"/>
        </w:rPr>
      </w:pPr>
    </w:p>
    <w:tbl>
      <w:tblPr>
        <w:tblStyle w:val="TableGrid1"/>
        <w:tblW w:w="9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473"/>
        <w:gridCol w:w="1496"/>
        <w:gridCol w:w="1393"/>
        <w:gridCol w:w="1496"/>
      </w:tblGrid>
      <w:tr w:rsidR="00A32254" w:rsidRPr="00A32254" w:rsidTr="00A02E17">
        <w:trPr>
          <w:trHeight w:val="628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Univariate analysis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Multivariate analysis *</w:t>
            </w:r>
          </w:p>
        </w:tc>
      </w:tr>
      <w:tr w:rsidR="00A32254" w:rsidRPr="00A32254" w:rsidTr="00A02E17">
        <w:trPr>
          <w:trHeight w:val="581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ind w:right="-52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Improvement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(n=166)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improvement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(n=41)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OR [95%CI]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OR [95%CI]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-value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Demographics and comorbidities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Age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Mean ± SD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Range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ind w:left="-107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 48.53 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± 10.85</w:t>
            </w:r>
          </w:p>
          <w:p w:rsidR="00A32254" w:rsidRPr="00A32254" w:rsidRDefault="00A32254" w:rsidP="00A32254">
            <w:pPr>
              <w:ind w:left="-107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17-75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45.93 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± 12.14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 xml:space="preserve">23-81 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15-50 years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(n=122)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96 (57.8)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26 (63.4)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51-60 years (n=58)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47 (28.3)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 (26.8)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[0.39-1.9]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0.72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&gt; 60 years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(n=27)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23 (13.9)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(9.8)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[0.20-2.0]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Gender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Female (n=145)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120 (72.3)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25 (61.0)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Male (n=62)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46 (27.7)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(39.0)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bCs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1.67</w:t>
            </w:r>
          </w:p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[0.82-3.41]</w:t>
            </w:r>
          </w:p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bCs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US"/>
              </w:rPr>
              <w:t>0.16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2.39</w:t>
            </w:r>
          </w:p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[0.97-5.84]</w:t>
            </w:r>
          </w:p>
          <w:p w:rsidR="00A32254" w:rsidRPr="00A32254" w:rsidRDefault="00A32254" w:rsidP="00A32254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0.06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At least one comorbidity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(n=105)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82 (49.4)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23 (56.1)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(n=102)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84 (50.6)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(43.9)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[0.38-1.52]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Hypertension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(n=178 )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142 (85.5)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36 (87.8)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24 (14.5)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 (12.2)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[0.29-2.30]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Chronic heart disease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(n=188)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150 (90.4)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38 (92.7)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(9.6)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(7.3)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[0.21-2.67]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Chronic respiratory disease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(n=187)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151 (91.0)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36 (87.8)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(9.0)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 (12.2)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1.39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[0.48-4.09]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Obesity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(n=192)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154 (92.8)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38 (92.7)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(7.2)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(7.3)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[0.27-3.77]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0.98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Diabetes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(n=194)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156 (94.0)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38 (92.7)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(n=13)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(6.0)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(7.3)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1.23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[0.32-4.69]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0.76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lastRenderedPageBreak/>
              <w:t>Period of the acute phase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Episode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February-June 2020 (n=63)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48 (28.9)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(36.6)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Mid-June 2020 to February 2021(n=89)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77 (46.4)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(29.2)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[0.22-1.16]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[0.19-1.39]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0.19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March to June 2021 (n=36)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(16.3)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(22.0)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[0.41-2.76]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0.89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[0.32-3.32]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0.97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July to November 2021 (n=13)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(5.4)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(9.8)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1.42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[0.38-5.29]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[0.1-2.69]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0.44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Since December 2021 (n=)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 (3.0)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(2.4)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[0.06-5.92]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0.69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[0.02-3.58]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0.34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Symptoms and treatment during the acute phase and vaccination status (**)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Fever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N=164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(n=64)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56 (42.8)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(24.2)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(n=100)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75 (57.2)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25 (75.8)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2.33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[0.98-5.56]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2.76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[1.09-6.99]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0.03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Smell disorders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(n=64)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56 (42.8)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(24.2)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(n=100)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75 (57.2)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25 (75.8)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1.36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[0.61-3.03]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Asthenia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(n=71)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55 (42.0)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(48.5)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(n=93)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76 (58.0)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 (51.5)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[0.36-1.65]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Headache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(n=66)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53 (40.5)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 (39.4)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(n=98)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78 (59.5)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20 (60.6)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[0.48-2.28]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Cough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(n=69)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52 (39.7)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 (51.5)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(n=95)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79 (60.3)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(48.5)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[0.29-1.33]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0.22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Taste disorders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(n=71)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62 (47.3)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(27.3)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(n=93)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69 (52.7)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24 (72.7)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[1.04-5.55]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[1.18-7.64]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0.02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Dyspnoea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(n=76)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59 (45.0)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 (51.5)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(n=88)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72 (55.0)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(48.5)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[0.36-1.66]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Myalgia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(n=88)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70 (53.4)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(54.6)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61 (46.6)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(45.4)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[0.44-2.06]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0.91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 xml:space="preserve">Chest pain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(n=113)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91 (69.5)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 (66.7)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(n=51)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40 (30.5)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 (33.3)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1.14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[0.5-2.57]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Diarrhoea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N=164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(n=124)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99 (75.6)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25 (75.8)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(n=40)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32 (24.4)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(24.2)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[0.41-2.41]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0.98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Sore throat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N=164 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(n=146)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116 (88.5)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30 (90.9)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(11.5)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(9.1)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[0.21-2.85]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Hospitalisation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(n=181)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143 (86.1)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38 (92.7)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23 (13.9)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(7.3)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[0.14-1.72]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Treatment during acute phase (***)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Steroids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N=201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(n=172)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136 (83.4)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36 (94.7)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(16.6)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(5.3)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0.28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[0.06-1.23]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0.09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[0.07-1.57]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0.16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Azithromycin (AZ) alone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N=201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(n=161)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135 (82.8)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26 (68.4)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(n=40)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(17.2)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(31.6)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2.23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[1.0-4.93]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0.049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2.05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[0.77-5.43]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0.15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Hydroxychloroquine  and AZ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N=201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(n=158)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130 (80.0)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(73.7)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(n=43)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33 (20.0)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(26.3)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1.41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[0.62-3.18]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Zinc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N=201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(n=150)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122 (74.9)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(73.7)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(n=51)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41 (25.1)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(26.3)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[0.48-2.37]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0.88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Paracetamol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(n=162)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131 (80.4)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31 (81.6)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32 (19.6)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 (18.4)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[0.37-2.29]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219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Vaccination before acute phase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N=197 </w:t>
            </w: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(****)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(n=181)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146 (90.7)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35 (97.2)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(n=16)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(9.3)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(2.3)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0.28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[0.04-2.18]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0.22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</w:tbl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 xml:space="preserve">(*) Only variables with a p-value less than 0.2 were included in the multivariate analysis. 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>(**) In 43 patients information about symptoms during the acute phase was not documented in medical files.</w:t>
      </w:r>
    </w:p>
    <w:p w:rsidR="00A32254" w:rsidRPr="00A32254" w:rsidRDefault="00A32254" w:rsidP="00A32254">
      <w:pPr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>(***) In 6 patients information about treatment proposed during the acute phase was not documented in medical files.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lastRenderedPageBreak/>
        <w:t xml:space="preserve">(****) In 10 patients, the information about vaccination status was not documented in medical files. 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 xml:space="preserve">(-) These variables were not included in the multivariate analysis. </w:t>
      </w:r>
    </w:p>
    <w:p w:rsidR="00A32254" w:rsidRPr="00A32254" w:rsidRDefault="00A32254" w:rsidP="00A32254">
      <w:pPr>
        <w:rPr>
          <w:rFonts w:ascii="Times New Roman" w:eastAsia="Calibri" w:hAnsi="Times New Roman" w:cs="Times New Roman"/>
          <w:b/>
          <w:bCs/>
          <w:lang w:val="vi-VN"/>
        </w:rPr>
      </w:pPr>
      <w:r w:rsidRPr="00A32254">
        <w:rPr>
          <w:rFonts w:ascii="Times New Roman" w:eastAsia="Calibri" w:hAnsi="Times New Roman" w:cs="Times New Roman"/>
          <w:b/>
          <w:bCs/>
          <w:lang w:val="vi-VN"/>
        </w:rPr>
        <w:br w:type="page"/>
      </w:r>
    </w:p>
    <w:p w:rsidR="00A32254" w:rsidRPr="00A32254" w:rsidRDefault="00A32254" w:rsidP="00A32254">
      <w:pPr>
        <w:rPr>
          <w:rFonts w:ascii="Times New Roman" w:eastAsia="Calibri" w:hAnsi="Times New Roman" w:cs="Times New Roman"/>
          <w:b/>
          <w:lang w:val="en-GB"/>
        </w:rPr>
      </w:pPr>
      <w:r w:rsidRPr="00A32254">
        <w:rPr>
          <w:rFonts w:ascii="Times New Roman" w:eastAsia="Calibri" w:hAnsi="Times New Roman" w:cs="Times New Roman"/>
          <w:b/>
          <w:bCs/>
          <w:lang w:val="en-GB"/>
        </w:rPr>
        <w:lastRenderedPageBreak/>
        <w:t>Supplementary Table 3</w:t>
      </w:r>
      <w:r w:rsidRPr="00A32254">
        <w:rPr>
          <w:rFonts w:ascii="Times New Roman" w:eastAsia="Calibri" w:hAnsi="Times New Roman" w:cs="Times New Roman"/>
          <w:b/>
          <w:lang w:val="en-GB"/>
        </w:rPr>
        <w:t>. Factors associated with the persistence of symptoms at no less than 12 months of follow-up in 162 patients</w:t>
      </w:r>
    </w:p>
    <w:p w:rsidR="00A32254" w:rsidRPr="00A32254" w:rsidRDefault="00A32254" w:rsidP="00A32254">
      <w:pPr>
        <w:rPr>
          <w:rFonts w:ascii="Calibri" w:eastAsia="Calibri" w:hAnsi="Calibri" w:cs="Times New Roman"/>
          <w:lang w:val="en-GB"/>
        </w:rPr>
      </w:pPr>
    </w:p>
    <w:tbl>
      <w:tblPr>
        <w:tblStyle w:val="TableGrid1"/>
        <w:tblW w:w="9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473"/>
        <w:gridCol w:w="1496"/>
        <w:gridCol w:w="1393"/>
        <w:gridCol w:w="1496"/>
      </w:tblGrid>
      <w:tr w:rsidR="00A32254" w:rsidRPr="00A32254" w:rsidTr="00A02E17">
        <w:trPr>
          <w:trHeight w:val="628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Univariate analysis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Multivariate analysis (*)</w:t>
            </w:r>
          </w:p>
        </w:tc>
      </w:tr>
      <w:tr w:rsidR="00A32254" w:rsidRPr="00A32254" w:rsidTr="00A02E17">
        <w:trPr>
          <w:trHeight w:val="581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ind w:right="-52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Improvement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(n=132)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improvement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(n=30)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OR [95%CI]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OR [95%CI]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-value</w:t>
            </w:r>
          </w:p>
        </w:tc>
      </w:tr>
      <w:tr w:rsidR="00A32254" w:rsidRPr="00A32254" w:rsidTr="00A02E17">
        <w:trPr>
          <w:trHeight w:val="581"/>
        </w:trPr>
        <w:tc>
          <w:tcPr>
            <w:tcW w:w="96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Demographics and comorbidities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Age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Mean ± SD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Range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ind w:left="-107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47.8 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± 10.75</w:t>
            </w:r>
          </w:p>
          <w:p w:rsidR="00A32254" w:rsidRPr="00A32254" w:rsidRDefault="00A32254" w:rsidP="00A32254">
            <w:pPr>
              <w:ind w:left="-107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17-74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47.33 </w:t>
            </w: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± 12.67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 xml:space="preserve">23-81 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15-50 years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(n=100)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82 (62.1)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(60.0)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51-60 years (n=39)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31 (23.5)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(26.7)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1.76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[0.46-2.98]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.73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&gt; 60 years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GB"/>
              </w:rPr>
              <w:t>(n=23)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19 (14.4)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(13.3)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[0.29-3.16]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Gender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Female (n=115)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97 (73.5)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(60.0)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Male (n=47)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35 (26.5)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(40.0)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1.85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[0.81-4.22]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0.15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4.26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[1.36-13.38]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0.01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At least one comorbidity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(n=83)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65 (49.2)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(60.0)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67 (50.8)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(40.0)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[0.29-1.45]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0.29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Hypertension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 139)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113 (85.6)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26 (86.7)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19 (14.4)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(13.3)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[0.29-2.92]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0.88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Chronic heart disease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(n=148)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120 (90.9)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(93.3)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(9.1)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[0.15-3.37]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Chronic respiratory disease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(n=148)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120 (90.9)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28 (93.3)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(9.1)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[0.15-3.37]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Obesity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(n=151)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124 (93.9)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(90.0)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(6.1)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(10.0)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1.72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[0.43-6.92]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Diabetes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(n=150)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123 (93.2)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(90.0)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(6.8)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(10.0)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1.52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[0.39-5.98]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0.55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lastRenderedPageBreak/>
              <w:t>Period of the acute phase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Episode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February-June 2020 (n=63)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48 (36.3)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(50.0)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Mid-June 2020 to February 2021(n=71)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62 (47.0)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(30.0)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[0.19-1.15]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[0.08-0.98]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0.048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March to June 2021 (n=15)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(9.1)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(10.0)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[0.2-3.22]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[0.16-5.59]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0.96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July to November 2021 (n=9)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 (4.6)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(10.0)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[0.36-7.19]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0.38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[0.05-3.06]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0.37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Since December 2021 (n=4)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(3.0)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 (0.0)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Symptoms and treatment during the acute phase and vaccination status (**)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Fever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(n=47)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42 (41.2)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 (20.8)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(n=79)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60 (58.8)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19 (79.2)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2.66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[0.92-7.69]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0.07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4.26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[1.27-14.29]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0.02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Smell disorders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(n=49)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41 (40.2)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8 (33.3)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61 (59.8)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16 (66.7)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1.34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[0.53-3.43]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Asthenia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(n=57)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45 (44.1)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(50.0)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(n=69)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57 (55.9)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(50.0)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[0.32-1.92]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0.60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Headache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(n=49)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39 (38.2)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(41.7)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63 (61.8)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14 (58.3)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[0.35-2.14]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Cough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(n=52)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39 (38.2)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13 (54.2)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63 (61.8)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 (45.8)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[0.21-1.28]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[0.13-1.31]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0.13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Taste disorders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(n=53)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47 (46.1)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 (25.0)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55 (53.9)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(75.0)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2.56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[0.94-6.99]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3.11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[0.96-10.08]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0.06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Dyspnoea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(n=49)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39 (38.2)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(41.7)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(n=77)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63 (61.8)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14 (58.3)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0.87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[0.35-2.14]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0.76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Myalgia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(n=71)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56 (54.9)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(62.5)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(n=55)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46 (45.1)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(37.5)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[0.29-1.82]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0.5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lastRenderedPageBreak/>
              <w:t xml:space="preserve">Chest pain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No (n=82) 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67 (65.7)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15 (62.5)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(n=44)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35 (34.3)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 (37.5)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1.15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[0.46-2.89]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0.77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Diarrhoea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(n=90)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73 (71.6)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17 (70.8)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29 (28.4)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7 (29.2)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[0.39-2.76]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Sore throat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N=126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(n=113)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91 (89.2)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 (91.7)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 (10.8)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 (8.3)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0.75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[0.16-3.64]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0.72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Hospitalisation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(n=138)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111 (84.1)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(90.0)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21 (15.9)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3 (10.0)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0.59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[0.16-2.11]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0.42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9681" w:type="dxa"/>
            <w:gridSpan w:val="6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/>
                <w:bCs/>
                <w:szCs w:val="22"/>
                <w:lang w:val="en-GB"/>
              </w:rPr>
              <w:t>Treatment during acute phase (***)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 xml:space="preserve">Steroids 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>N=157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(n=136)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109 (84.5)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(96.4)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ind w:left="12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(n=21)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20 (15.5)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(3.6)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[0.03-1.57]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0.13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0.24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[0.03-2.21]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0.21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Azithromycine (AZ)  alone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N=157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(n=126)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108 (83.7)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18 (64.3)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(n=31)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21 (16.3)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 (35.7)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2.86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[1.16-7.05]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0.02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2.53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[0.73-8.76]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0.14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Hydroxychloroquine and AZ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N=157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(n=125)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103 (79.8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 (78.6)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(n=32)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26 (20.2)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 (21.4)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1.03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[0.4-2.79]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0.95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Zinc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N=157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(n=124)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102 (79.1)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22 (78.6)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(n=33)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(20.9)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6 (21.4)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0.9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[0.33-2.42]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0.84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Paracetamol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(n=126)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102 (79.1)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24 (85.7)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(n=31)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27 (20.9)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4 (14.3)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0.63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[0.2-1.97]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0.43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  <w:tr w:rsidR="00A32254" w:rsidRPr="00A32254" w:rsidTr="00A02E17">
        <w:trPr>
          <w:trHeight w:val="219"/>
        </w:trPr>
        <w:tc>
          <w:tcPr>
            <w:tcW w:w="1838" w:type="dxa"/>
            <w:vMerge w:val="restart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Vaccination before acute phase</w:t>
            </w:r>
            <w:r w:rsidRPr="00A32254">
              <w:rPr>
                <w:rFonts w:ascii="Times New Roman" w:eastAsia="Calibri" w:hAnsi="Times New Roman" w:cs="Times New Roman"/>
                <w:szCs w:val="22"/>
                <w:vertAlign w:val="superscript"/>
                <w:lang w:val="en-GB"/>
              </w:rPr>
              <w:t xml:space="preserve"> N=157</w:t>
            </w:r>
          </w:p>
        </w:tc>
        <w:tc>
          <w:tcPr>
            <w:tcW w:w="1985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No (n=144)</w:t>
            </w:r>
          </w:p>
        </w:tc>
        <w:tc>
          <w:tcPr>
            <w:tcW w:w="1473" w:type="dxa"/>
            <w:vAlign w:val="center"/>
          </w:tcPr>
          <w:p w:rsidR="00A32254" w:rsidRPr="00A32254" w:rsidRDefault="00A32254" w:rsidP="00A32254">
            <w:pPr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118 (90.8)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26 (96.3)</w:t>
            </w:r>
          </w:p>
        </w:tc>
        <w:tc>
          <w:tcPr>
            <w:tcW w:w="1393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ref</w:t>
            </w:r>
          </w:p>
        </w:tc>
        <w:tc>
          <w:tcPr>
            <w:tcW w:w="1496" w:type="dxa"/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</w:tr>
      <w:tr w:rsidR="00A32254" w:rsidRPr="00A32254" w:rsidTr="00A02E17">
        <w:trPr>
          <w:trHeight w:val="31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Yes (n=13)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12 (9.2)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1 (3.7)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  <w:t>0.38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[0.47-3.04]</w:t>
            </w:r>
          </w:p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bCs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0.36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A32254" w:rsidRPr="00A32254" w:rsidRDefault="00A32254" w:rsidP="00A32254">
            <w:pPr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A32254">
              <w:rPr>
                <w:rFonts w:ascii="Times New Roman" w:eastAsia="Calibri" w:hAnsi="Times New Roman" w:cs="Times New Roman"/>
                <w:szCs w:val="22"/>
                <w:lang w:val="en-GB"/>
              </w:rPr>
              <w:t>-</w:t>
            </w:r>
          </w:p>
        </w:tc>
      </w:tr>
    </w:tbl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 xml:space="preserve">(*) Only variables with a p-value less than 0.2 were included in the multivariate analysis. 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>(**) In 36 patients information about symptoms during the acute phase was not documented in medical files.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t>(***) In 5 patients information about treatment proposed during the acute phase was not documented in medical files.</w:t>
      </w:r>
    </w:p>
    <w:p w:rsidR="00A32254" w:rsidRPr="00A32254" w:rsidRDefault="00A32254" w:rsidP="00A32254">
      <w:pPr>
        <w:jc w:val="both"/>
        <w:rPr>
          <w:rFonts w:ascii="Times New Roman" w:eastAsia="Calibri" w:hAnsi="Times New Roman" w:cs="Times New Roman"/>
          <w:lang w:val="en-GB"/>
        </w:rPr>
      </w:pPr>
      <w:r w:rsidRPr="00A32254">
        <w:rPr>
          <w:rFonts w:ascii="Times New Roman" w:eastAsia="Calibri" w:hAnsi="Times New Roman" w:cs="Times New Roman"/>
          <w:lang w:val="en-GB"/>
        </w:rPr>
        <w:lastRenderedPageBreak/>
        <w:t xml:space="preserve">(****) In 5 patients, the information about vaccination status was not documented in medical files. </w:t>
      </w:r>
    </w:p>
    <w:p w:rsidR="009E2A38" w:rsidRPr="00A32254" w:rsidRDefault="00A32254" w:rsidP="00A32254">
      <w:r w:rsidRPr="00A32254">
        <w:rPr>
          <w:rFonts w:ascii="Times New Roman" w:eastAsia="Calibri" w:hAnsi="Times New Roman" w:cs="Times New Roman"/>
          <w:lang w:val="en-GB"/>
        </w:rPr>
        <w:t>(-) These variables were not included in the multivariate analysis.</w:t>
      </w:r>
      <w:bookmarkStart w:id="0" w:name="_GoBack"/>
      <w:bookmarkEnd w:id="0"/>
    </w:p>
    <w:sectPr w:rsidR="009E2A38" w:rsidRPr="00A32254" w:rsidSect="00BA3869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D5A0C"/>
    <w:multiLevelType w:val="hybridMultilevel"/>
    <w:tmpl w:val="5F906D10"/>
    <w:lvl w:ilvl="0" w:tplc="9906F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28E7"/>
    <w:multiLevelType w:val="hybridMultilevel"/>
    <w:tmpl w:val="C486D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06438"/>
    <w:multiLevelType w:val="hybridMultilevel"/>
    <w:tmpl w:val="50A8C0B0"/>
    <w:lvl w:ilvl="0" w:tplc="C74AFA6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16AAF"/>
    <w:multiLevelType w:val="multilevel"/>
    <w:tmpl w:val="FA4E271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570134D"/>
    <w:multiLevelType w:val="hybridMultilevel"/>
    <w:tmpl w:val="8F7C138E"/>
    <w:lvl w:ilvl="0" w:tplc="AAF63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1A"/>
    <w:rsid w:val="0031731A"/>
    <w:rsid w:val="009E2A38"/>
    <w:rsid w:val="00A32254"/>
    <w:rsid w:val="00B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98A2F-01DC-4019-9437-B608A370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31A"/>
    <w:pPr>
      <w:spacing w:after="0" w:line="240" w:lineRule="auto"/>
    </w:pPr>
    <w:rPr>
      <w:rFonts w:asciiTheme="minorHAnsi" w:hAnsiTheme="minorHAnsi"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1731A"/>
    <w:pPr>
      <w:keepNext/>
      <w:keepLines/>
      <w:numPr>
        <w:numId w:val="2"/>
      </w:numPr>
      <w:spacing w:before="40" w:line="259" w:lineRule="auto"/>
      <w:ind w:hanging="360"/>
      <w:outlineLvl w:val="1"/>
    </w:pPr>
    <w:rPr>
      <w:rFonts w:ascii="Times New Roman" w:eastAsiaTheme="majorEastAsia" w:hAnsi="Times New Roman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731A"/>
    <w:rPr>
      <w:rFonts w:eastAsiaTheme="majorEastAsia"/>
      <w:b/>
      <w:color w:val="000000" w:themeColor="text1"/>
      <w:sz w:val="24"/>
      <w:szCs w:val="26"/>
      <w:lang w:val="fr-FR"/>
    </w:rPr>
  </w:style>
  <w:style w:type="character" w:styleId="Hyperlink">
    <w:name w:val="Hyperlink"/>
    <w:basedOn w:val="DefaultParagraphFont"/>
    <w:uiPriority w:val="99"/>
    <w:unhideWhenUsed/>
    <w:rsid w:val="0031731A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7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3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31A"/>
    <w:rPr>
      <w:rFonts w:asciiTheme="minorHAnsi" w:hAnsiTheme="minorHAnsi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31A"/>
    <w:rPr>
      <w:rFonts w:asciiTheme="minorHAnsi" w:hAnsiTheme="minorHAnsi"/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3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1A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3173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31A"/>
    <w:rPr>
      <w:rFonts w:asciiTheme="minorHAnsi" w:hAnsiTheme="minorHAnsi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317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31A"/>
    <w:rPr>
      <w:rFonts w:asciiTheme="minorHAnsi" w:hAnsiTheme="minorHAnsi"/>
      <w:sz w:val="24"/>
      <w:szCs w:val="24"/>
      <w:lang w:val="fr-FR"/>
    </w:rPr>
  </w:style>
  <w:style w:type="paragraph" w:styleId="Revision">
    <w:name w:val="Revision"/>
    <w:hidden/>
    <w:uiPriority w:val="99"/>
    <w:semiHidden/>
    <w:rsid w:val="0031731A"/>
    <w:pPr>
      <w:spacing w:after="0" w:line="240" w:lineRule="auto"/>
    </w:pPr>
    <w:rPr>
      <w:rFonts w:asciiTheme="minorHAnsi" w:hAnsiTheme="minorHAnsi"/>
      <w:sz w:val="24"/>
      <w:szCs w:val="24"/>
      <w:lang w:val="fr-FR"/>
    </w:rPr>
  </w:style>
  <w:style w:type="character" w:customStyle="1" w:styleId="author-sup-separator">
    <w:name w:val="author-sup-separator"/>
    <w:basedOn w:val="DefaultParagraphFont"/>
    <w:rsid w:val="0031731A"/>
  </w:style>
  <w:style w:type="character" w:styleId="FollowedHyperlink">
    <w:name w:val="FollowedHyperlink"/>
    <w:basedOn w:val="DefaultParagraphFont"/>
    <w:uiPriority w:val="99"/>
    <w:semiHidden/>
    <w:unhideWhenUsed/>
    <w:rsid w:val="0031731A"/>
    <w:rPr>
      <w:color w:val="954F72" w:themeColor="followedHyperlink"/>
      <w:u w:val="single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731A"/>
    <w:pPr>
      <w:ind w:left="720"/>
      <w:contextualSpacing/>
    </w:pPr>
  </w:style>
  <w:style w:type="table" w:styleId="TableGrid">
    <w:name w:val="Table Grid"/>
    <w:basedOn w:val="TableNormal"/>
    <w:uiPriority w:val="39"/>
    <w:rsid w:val="0031731A"/>
    <w:pPr>
      <w:spacing w:after="0" w:line="240" w:lineRule="auto"/>
    </w:pPr>
    <w:rPr>
      <w:sz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5">
    <w:name w:val="Mention non résolue5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31731A"/>
  </w:style>
  <w:style w:type="character" w:customStyle="1" w:styleId="docsum-journal-citation">
    <w:name w:val="docsum-journal-citation"/>
    <w:basedOn w:val="DefaultParagraphFont"/>
    <w:rsid w:val="0031731A"/>
  </w:style>
  <w:style w:type="character" w:customStyle="1" w:styleId="citation-part">
    <w:name w:val="citation-part"/>
    <w:basedOn w:val="DefaultParagraphFont"/>
    <w:rsid w:val="0031731A"/>
  </w:style>
  <w:style w:type="character" w:customStyle="1" w:styleId="docsum-pmid">
    <w:name w:val="docsum-pmid"/>
    <w:basedOn w:val="DefaultParagraphFont"/>
    <w:rsid w:val="0031731A"/>
  </w:style>
  <w:style w:type="paragraph" w:customStyle="1" w:styleId="EndNoteBibliographyTitle">
    <w:name w:val="EndNote Bibliography Title"/>
    <w:basedOn w:val="Normal"/>
    <w:link w:val="EndNoteBibliographyTitleCar"/>
    <w:rsid w:val="0031731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31731A"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Car"/>
    <w:rsid w:val="0031731A"/>
    <w:pPr>
      <w:jc w:val="center"/>
    </w:pPr>
    <w:rPr>
      <w:rFonts w:ascii="Calibri" w:hAnsi="Calibri" w:cs="Calibri"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31731A"/>
    <w:rPr>
      <w:rFonts w:ascii="Calibri" w:hAnsi="Calibri" w:cs="Calibr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1731A"/>
    <w:rPr>
      <w:color w:val="666666"/>
    </w:rPr>
  </w:style>
  <w:style w:type="character" w:customStyle="1" w:styleId="Mentionnonrsolue6">
    <w:name w:val="Mention non résolue6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customStyle="1" w:styleId="Mentionnonrsolue7">
    <w:name w:val="Mention non résolue7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1731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1731A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173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1731A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A32254"/>
  </w:style>
  <w:style w:type="table" w:customStyle="1" w:styleId="TableGrid1">
    <w:name w:val="Table Grid1"/>
    <w:basedOn w:val="TableNormal"/>
    <w:next w:val="TableGrid"/>
    <w:uiPriority w:val="39"/>
    <w:rsid w:val="00A32254"/>
    <w:pPr>
      <w:spacing w:after="0" w:line="240" w:lineRule="auto"/>
    </w:pPr>
    <w:rPr>
      <w:sz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1567</Words>
  <Characters>8935</Characters>
  <Application>Microsoft Office Word</Application>
  <DocSecurity>0</DocSecurity>
  <Lines>74</Lines>
  <Paragraphs>20</Paragraphs>
  <ScaleCrop>false</ScaleCrop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2025-07-03T07:37:00Z</dcterms:created>
  <dcterms:modified xsi:type="dcterms:W3CDTF">2025-07-03T07:39:00Z</dcterms:modified>
</cp:coreProperties>
</file>