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D43AF" w14:textId="5F573211" w:rsidR="00EF51D9" w:rsidRPr="00CF6419" w:rsidRDefault="00B31B5A" w:rsidP="00EF51D9">
      <w:pPr>
        <w:spacing w:after="240"/>
        <w:jc w:val="center"/>
        <w:rPr>
          <w:rFonts w:ascii="Times New Roman" w:eastAsia="Calibri" w:hAnsi="Times New Roman" w:cs="Times New Roman"/>
          <w:b/>
          <w:bCs/>
          <w:sz w:val="32"/>
          <w:szCs w:val="32"/>
        </w:rPr>
      </w:pPr>
      <w:r w:rsidRPr="00B31B5A">
        <w:rPr>
          <w:rFonts w:ascii="Times New Roman" w:eastAsia="Calibri" w:hAnsi="Times New Roman" w:cs="Times New Roman"/>
          <w:b/>
          <w:bCs/>
          <w:sz w:val="32"/>
          <w:szCs w:val="32"/>
        </w:rPr>
        <w:t>Supplementary material</w:t>
      </w:r>
      <w:bookmarkStart w:id="0" w:name="_GoBack"/>
      <w:bookmarkEnd w:id="0"/>
      <w:r w:rsidR="00EF51D9" w:rsidRPr="00CF6419">
        <w:rPr>
          <w:rFonts w:ascii="Times New Roman" w:eastAsia="Calibri" w:hAnsi="Times New Roman" w:cs="Times New Roman"/>
          <w:b/>
          <w:bCs/>
          <w:sz w:val="32"/>
          <w:szCs w:val="32"/>
        </w:rPr>
        <w:t xml:space="preserve"> </w:t>
      </w:r>
      <w:r w:rsidR="0057015A">
        <w:rPr>
          <w:rFonts w:ascii="Times New Roman" w:eastAsia="Calibri" w:hAnsi="Times New Roman" w:cs="Times New Roman"/>
          <w:b/>
          <w:bCs/>
          <w:sz w:val="32"/>
          <w:szCs w:val="32"/>
        </w:rPr>
        <w:t>2</w:t>
      </w:r>
      <w:r w:rsidR="00BD3B2C" w:rsidRPr="008B6CAA">
        <w:rPr>
          <w:rFonts w:ascii="Times New Roman" w:eastAsia="Calibri" w:hAnsi="Times New Roman" w:cs="Times New Roman"/>
          <w:b/>
          <w:bCs/>
          <w:sz w:val="32"/>
          <w:szCs w:val="32"/>
        </w:rPr>
        <w:t>:</w:t>
      </w:r>
      <w:r w:rsidR="00EF51D9" w:rsidRPr="00C51EBE">
        <w:rPr>
          <w:rFonts w:ascii="Times New Roman" w:hAnsi="Times New Roman" w:cs="Times New Roman"/>
          <w:b/>
          <w:bCs/>
          <w:sz w:val="28"/>
          <w:szCs w:val="28"/>
        </w:rPr>
        <w:t xml:space="preserve"> </w:t>
      </w:r>
      <w:r w:rsidR="00CF6419" w:rsidRPr="00C51EBE">
        <w:rPr>
          <w:rFonts w:ascii="Times New Roman" w:hAnsi="Times New Roman" w:cs="Times New Roman"/>
          <w:b/>
          <w:bCs/>
          <w:sz w:val="28"/>
          <w:szCs w:val="28"/>
        </w:rPr>
        <w:t>DHS indicators and gridded covariates</w:t>
      </w:r>
    </w:p>
    <w:p w14:paraId="5EFA82D7" w14:textId="77777777" w:rsidR="00EF51D9" w:rsidRPr="00D8616D" w:rsidRDefault="00EF51D9" w:rsidP="00EF51D9">
      <w:pPr>
        <w:pStyle w:val="Heading1"/>
        <w:rPr>
          <w:rFonts w:eastAsia="Calibri"/>
        </w:rPr>
      </w:pPr>
      <w:r w:rsidRPr="00D8616D">
        <w:rPr>
          <w:rFonts w:eastAsia="Calibri"/>
        </w:rPr>
        <w:t xml:space="preserve">DHS indicators </w:t>
      </w:r>
    </w:p>
    <w:p w14:paraId="4B7A4C05" w14:textId="0EDE60C7" w:rsidR="00EF51D9" w:rsidRPr="00D8616D" w:rsidRDefault="00EF51D9" w:rsidP="00EF51D9">
      <w:pPr>
        <w:pStyle w:val="Text"/>
        <w:spacing w:line="360" w:lineRule="auto"/>
        <w:ind w:firstLine="0"/>
        <w:rPr>
          <w:b/>
          <w:i/>
          <w:sz w:val="22"/>
          <w:szCs w:val="22"/>
        </w:rPr>
      </w:pPr>
      <w:bookmarkStart w:id="1" w:name="_Ref55987870"/>
      <w:r w:rsidRPr="00D8616D">
        <w:rPr>
          <w:b/>
          <w:iCs/>
          <w:sz w:val="22"/>
          <w:szCs w:val="22"/>
        </w:rPr>
        <w:t xml:space="preserve">Table </w:t>
      </w:r>
      <w:r w:rsidR="00C47C93">
        <w:rPr>
          <w:b/>
          <w:iCs/>
          <w:sz w:val="22"/>
          <w:szCs w:val="22"/>
        </w:rPr>
        <w:t>S</w:t>
      </w:r>
      <w:r w:rsidR="008E1751">
        <w:rPr>
          <w:b/>
          <w:iCs/>
          <w:sz w:val="22"/>
          <w:szCs w:val="22"/>
        </w:rPr>
        <w:fldChar w:fldCharType="begin"/>
      </w:r>
      <w:r w:rsidR="008E1751">
        <w:rPr>
          <w:b/>
          <w:iCs/>
          <w:sz w:val="22"/>
          <w:szCs w:val="22"/>
        </w:rPr>
        <w:instrText xml:space="preserve"> SEQ Table \r 2 </w:instrText>
      </w:r>
      <w:r w:rsidR="008E1751">
        <w:rPr>
          <w:b/>
          <w:iCs/>
          <w:sz w:val="22"/>
          <w:szCs w:val="22"/>
        </w:rPr>
        <w:fldChar w:fldCharType="separate"/>
      </w:r>
      <w:r w:rsidR="008E1751">
        <w:rPr>
          <w:b/>
          <w:iCs/>
          <w:noProof/>
          <w:sz w:val="22"/>
          <w:szCs w:val="22"/>
        </w:rPr>
        <w:t>2</w:t>
      </w:r>
      <w:r w:rsidR="008E1751">
        <w:rPr>
          <w:b/>
          <w:iCs/>
          <w:sz w:val="22"/>
          <w:szCs w:val="22"/>
        </w:rPr>
        <w:fldChar w:fldCharType="end"/>
      </w:r>
      <w:bookmarkEnd w:id="1"/>
      <w:r w:rsidRPr="00D8616D">
        <w:rPr>
          <w:b/>
          <w:iCs/>
          <w:sz w:val="22"/>
          <w:szCs w:val="22"/>
        </w:rPr>
        <w:t xml:space="preserve">. </w:t>
      </w:r>
      <w:r w:rsidRPr="00D8616D">
        <w:rPr>
          <w:bCs/>
          <w:iCs/>
          <w:sz w:val="22"/>
          <w:szCs w:val="22"/>
        </w:rPr>
        <w:t>DHS indicators used as covariates and their characteristics</w:t>
      </w:r>
      <w:r w:rsidRPr="00D8616D">
        <w:rPr>
          <w:bCs/>
          <w:i/>
          <w:sz w:val="22"/>
          <w:szCs w:val="22"/>
        </w:rPr>
        <w:t xml:space="preserve">  </w:t>
      </w:r>
    </w:p>
    <w:tbl>
      <w:tblPr>
        <w:tblStyle w:val="PlainTable2"/>
        <w:tblW w:w="7523" w:type="dxa"/>
        <w:jc w:val="center"/>
        <w:tblLook w:val="04A0" w:firstRow="1" w:lastRow="0" w:firstColumn="1" w:lastColumn="0" w:noHBand="0" w:noVBand="1"/>
      </w:tblPr>
      <w:tblGrid>
        <w:gridCol w:w="2109"/>
        <w:gridCol w:w="4061"/>
        <w:gridCol w:w="1353"/>
      </w:tblGrid>
      <w:tr w:rsidR="00A17AA9" w:rsidRPr="00D8616D" w14:paraId="663C3EF3" w14:textId="77777777" w:rsidTr="00082D3C">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109" w:type="dxa"/>
            <w:tcBorders>
              <w:top w:val="single" w:sz="2" w:space="0" w:color="auto"/>
              <w:bottom w:val="single" w:sz="2" w:space="0" w:color="auto"/>
            </w:tcBorders>
            <w:vAlign w:val="center"/>
          </w:tcPr>
          <w:p w14:paraId="2DC33475" w14:textId="77777777" w:rsidR="00A17AA9" w:rsidRPr="00D8616D" w:rsidRDefault="00A17AA9" w:rsidP="00504E20">
            <w:pPr>
              <w:pStyle w:val="Text"/>
              <w:ind w:firstLine="0"/>
              <w:rPr>
                <w:sz w:val="22"/>
                <w:szCs w:val="22"/>
              </w:rPr>
            </w:pPr>
            <w:r w:rsidRPr="00D8616D">
              <w:rPr>
                <w:sz w:val="22"/>
                <w:szCs w:val="22"/>
              </w:rPr>
              <w:t>Category</w:t>
            </w:r>
          </w:p>
        </w:tc>
        <w:tc>
          <w:tcPr>
            <w:tcW w:w="4061" w:type="dxa"/>
            <w:tcBorders>
              <w:top w:val="single" w:sz="2" w:space="0" w:color="auto"/>
              <w:bottom w:val="single" w:sz="2" w:space="0" w:color="auto"/>
            </w:tcBorders>
            <w:vAlign w:val="center"/>
          </w:tcPr>
          <w:p w14:paraId="34C041C6" w14:textId="77777777" w:rsidR="00A17AA9" w:rsidRPr="00D8616D" w:rsidRDefault="00A17AA9" w:rsidP="00504E20">
            <w:pPr>
              <w:pStyle w:val="Text"/>
              <w:ind w:firstLine="0"/>
              <w:cnfStyle w:val="100000000000" w:firstRow="1" w:lastRow="0" w:firstColumn="0" w:lastColumn="0" w:oddVBand="0" w:evenVBand="0" w:oddHBand="0" w:evenHBand="0" w:firstRowFirstColumn="0" w:firstRowLastColumn="0" w:lastRowFirstColumn="0" w:lastRowLastColumn="0"/>
              <w:rPr>
                <w:sz w:val="22"/>
                <w:szCs w:val="22"/>
              </w:rPr>
            </w:pPr>
            <w:r w:rsidRPr="00D8616D">
              <w:rPr>
                <w:sz w:val="22"/>
                <w:szCs w:val="22"/>
              </w:rPr>
              <w:t xml:space="preserve">Indicator </w:t>
            </w:r>
          </w:p>
        </w:tc>
        <w:tc>
          <w:tcPr>
            <w:tcW w:w="1353" w:type="dxa"/>
            <w:tcBorders>
              <w:top w:val="single" w:sz="2" w:space="0" w:color="auto"/>
              <w:bottom w:val="single" w:sz="2" w:space="0" w:color="auto"/>
            </w:tcBorders>
            <w:vAlign w:val="center"/>
          </w:tcPr>
          <w:p w14:paraId="219B84A4" w14:textId="77777777" w:rsidR="00A17AA9" w:rsidRPr="00D8616D" w:rsidRDefault="00A17AA9" w:rsidP="00504E20">
            <w:pPr>
              <w:pStyle w:val="Text"/>
              <w:ind w:firstLine="0"/>
              <w:cnfStyle w:val="100000000000" w:firstRow="1" w:lastRow="0" w:firstColumn="0" w:lastColumn="0" w:oddVBand="0" w:evenVBand="0" w:oddHBand="0" w:evenHBand="0" w:firstRowFirstColumn="0" w:firstRowLastColumn="0" w:lastRowFirstColumn="0" w:lastRowLastColumn="0"/>
              <w:rPr>
                <w:sz w:val="22"/>
                <w:szCs w:val="22"/>
              </w:rPr>
            </w:pPr>
            <w:r w:rsidRPr="00D8616D">
              <w:rPr>
                <w:sz w:val="22"/>
                <w:szCs w:val="22"/>
              </w:rPr>
              <w:t>Data type</w:t>
            </w:r>
          </w:p>
        </w:tc>
      </w:tr>
      <w:tr w:rsidR="00A17AA9" w:rsidRPr="00D8616D" w14:paraId="24C6801A" w14:textId="77777777" w:rsidTr="00082D3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restart"/>
            <w:vAlign w:val="center"/>
          </w:tcPr>
          <w:p w14:paraId="3047D309" w14:textId="2A6C37F6" w:rsidR="00A17AA9" w:rsidRPr="00D8616D" w:rsidRDefault="00A17AA9" w:rsidP="00504E20">
            <w:pPr>
              <w:pStyle w:val="Text"/>
              <w:ind w:firstLine="0"/>
              <w:rPr>
                <w:b w:val="0"/>
                <w:bCs w:val="0"/>
                <w:sz w:val="22"/>
                <w:szCs w:val="22"/>
              </w:rPr>
            </w:pPr>
            <w:r w:rsidRPr="00D8616D">
              <w:rPr>
                <w:b w:val="0"/>
                <w:bCs w:val="0"/>
                <w:sz w:val="22"/>
                <w:szCs w:val="22"/>
              </w:rPr>
              <w:t>Socio</w:t>
            </w:r>
            <w:r>
              <w:rPr>
                <w:b w:val="0"/>
                <w:bCs w:val="0"/>
                <w:sz w:val="22"/>
                <w:szCs w:val="22"/>
              </w:rPr>
              <w:t>-</w:t>
            </w:r>
            <w:r w:rsidRPr="00D8616D">
              <w:rPr>
                <w:b w:val="0"/>
                <w:bCs w:val="0"/>
                <w:sz w:val="22"/>
                <w:szCs w:val="22"/>
              </w:rPr>
              <w:t xml:space="preserve">economic </w:t>
            </w:r>
          </w:p>
        </w:tc>
        <w:tc>
          <w:tcPr>
            <w:tcW w:w="4061" w:type="dxa"/>
            <w:tcBorders>
              <w:top w:val="nil"/>
              <w:bottom w:val="nil"/>
            </w:tcBorders>
            <w:vAlign w:val="center"/>
          </w:tcPr>
          <w:p w14:paraId="4E77C32E" w14:textId="12FEF591" w:rsidR="00A17AA9" w:rsidRPr="00D8616D" w:rsidRDefault="00F226C7" w:rsidP="00504E20">
            <w:pPr>
              <w:pStyle w:val="Text"/>
              <w:ind w:firstLine="0"/>
              <w:cnfStyle w:val="000000100000" w:firstRow="0" w:lastRow="0" w:firstColumn="0" w:lastColumn="0" w:oddVBand="0" w:evenVBand="0" w:oddHBand="1" w:evenHBand="0" w:firstRowFirstColumn="0" w:firstRowLastColumn="0" w:lastRowFirstColumn="0" w:lastRowLastColumn="0"/>
              <w:rPr>
                <w:b/>
                <w:bCs/>
                <w:sz w:val="22"/>
                <w:szCs w:val="22"/>
              </w:rPr>
            </w:pPr>
            <w:r>
              <w:rPr>
                <w:sz w:val="22"/>
                <w:szCs w:val="22"/>
              </w:rPr>
              <w:t>M</w:t>
            </w:r>
            <w:r w:rsidR="00A17AA9" w:rsidRPr="00D8616D">
              <w:rPr>
                <w:sz w:val="22"/>
                <w:szCs w:val="22"/>
              </w:rPr>
              <w:t>alaria-related anaemia in children</w:t>
            </w:r>
          </w:p>
        </w:tc>
        <w:tc>
          <w:tcPr>
            <w:tcW w:w="1353" w:type="dxa"/>
            <w:tcBorders>
              <w:top w:val="nil"/>
              <w:bottom w:val="nil"/>
            </w:tcBorders>
            <w:vAlign w:val="center"/>
          </w:tcPr>
          <w:p w14:paraId="64AEE650"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sz w:val="22"/>
                <w:szCs w:val="22"/>
              </w:rPr>
            </w:pPr>
            <w:r w:rsidRPr="00D8616D">
              <w:rPr>
                <w:sz w:val="22"/>
                <w:szCs w:val="22"/>
              </w:rPr>
              <w:t>Proportion</w:t>
            </w:r>
          </w:p>
        </w:tc>
      </w:tr>
      <w:tr w:rsidR="00A17AA9" w:rsidRPr="00D8616D" w14:paraId="0023E1E7" w14:textId="77777777" w:rsidTr="00082D3C">
        <w:trPr>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ign w:val="center"/>
          </w:tcPr>
          <w:p w14:paraId="6E2D34A4" w14:textId="77777777" w:rsidR="00A17AA9" w:rsidRPr="00D8616D" w:rsidRDefault="00A17AA9" w:rsidP="00504E20">
            <w:pPr>
              <w:pStyle w:val="Text"/>
              <w:ind w:firstLine="0"/>
              <w:rPr>
                <w:b w:val="0"/>
                <w:bCs w:val="0"/>
                <w:sz w:val="22"/>
                <w:szCs w:val="22"/>
              </w:rPr>
            </w:pPr>
          </w:p>
        </w:tc>
        <w:tc>
          <w:tcPr>
            <w:tcW w:w="4061" w:type="dxa"/>
            <w:tcBorders>
              <w:top w:val="nil"/>
              <w:bottom w:val="nil"/>
            </w:tcBorders>
            <w:vAlign w:val="center"/>
          </w:tcPr>
          <w:p w14:paraId="5749778E"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b/>
                <w:bCs/>
                <w:sz w:val="22"/>
                <w:szCs w:val="22"/>
              </w:rPr>
            </w:pPr>
            <w:r w:rsidRPr="00D8616D">
              <w:rPr>
                <w:sz w:val="22"/>
                <w:szCs w:val="22"/>
              </w:rPr>
              <w:t>Access to basic sanitation service</w:t>
            </w:r>
          </w:p>
        </w:tc>
        <w:tc>
          <w:tcPr>
            <w:tcW w:w="1353" w:type="dxa"/>
            <w:tcBorders>
              <w:top w:val="nil"/>
              <w:bottom w:val="nil"/>
            </w:tcBorders>
            <w:vAlign w:val="center"/>
          </w:tcPr>
          <w:p w14:paraId="1757033C"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sz w:val="22"/>
                <w:szCs w:val="22"/>
              </w:rPr>
            </w:pPr>
            <w:r w:rsidRPr="00D8616D">
              <w:rPr>
                <w:sz w:val="22"/>
                <w:szCs w:val="22"/>
              </w:rPr>
              <w:t>Proportion</w:t>
            </w:r>
          </w:p>
        </w:tc>
      </w:tr>
      <w:tr w:rsidR="00A17AA9" w:rsidRPr="00D8616D" w14:paraId="06D9DC96" w14:textId="77777777" w:rsidTr="00082D3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ign w:val="center"/>
          </w:tcPr>
          <w:p w14:paraId="7B9E0ADE" w14:textId="77777777" w:rsidR="00A17AA9" w:rsidRPr="00D8616D" w:rsidRDefault="00A17AA9" w:rsidP="00504E20">
            <w:pPr>
              <w:pStyle w:val="Text"/>
              <w:ind w:firstLine="0"/>
              <w:rPr>
                <w:b w:val="0"/>
                <w:bCs w:val="0"/>
                <w:sz w:val="22"/>
                <w:szCs w:val="22"/>
              </w:rPr>
            </w:pPr>
          </w:p>
        </w:tc>
        <w:tc>
          <w:tcPr>
            <w:tcW w:w="4061" w:type="dxa"/>
            <w:tcBorders>
              <w:top w:val="nil"/>
              <w:bottom w:val="nil"/>
            </w:tcBorders>
            <w:vAlign w:val="center"/>
          </w:tcPr>
          <w:p w14:paraId="7913F071"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b/>
                <w:bCs/>
                <w:sz w:val="22"/>
                <w:szCs w:val="22"/>
              </w:rPr>
            </w:pPr>
            <w:r w:rsidRPr="00D8616D">
              <w:rPr>
                <w:sz w:val="22"/>
                <w:szCs w:val="22"/>
              </w:rPr>
              <w:t>Wealth index</w:t>
            </w:r>
          </w:p>
        </w:tc>
        <w:tc>
          <w:tcPr>
            <w:tcW w:w="1353" w:type="dxa"/>
            <w:tcBorders>
              <w:top w:val="nil"/>
              <w:bottom w:val="nil"/>
            </w:tcBorders>
            <w:vAlign w:val="center"/>
          </w:tcPr>
          <w:p w14:paraId="3BE97929" w14:textId="5A1F833B"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Standardised factor </w:t>
            </w:r>
            <w:r w:rsidRPr="000B5A04">
              <w:rPr>
                <w:sz w:val="22"/>
                <w:szCs w:val="22"/>
              </w:rPr>
              <w:t>score</w:t>
            </w:r>
            <w:r>
              <w:rPr>
                <w:sz w:val="22"/>
                <w:szCs w:val="22"/>
              </w:rPr>
              <w:t xml:space="preserve"> </w:t>
            </w:r>
          </w:p>
        </w:tc>
      </w:tr>
      <w:tr w:rsidR="00A17AA9" w:rsidRPr="00D8616D" w14:paraId="4679E81C" w14:textId="77777777" w:rsidTr="00082D3C">
        <w:trPr>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ign w:val="center"/>
          </w:tcPr>
          <w:p w14:paraId="6EF00CEE" w14:textId="77777777" w:rsidR="00A17AA9" w:rsidRPr="00D8616D" w:rsidRDefault="00A17AA9" w:rsidP="00504E20">
            <w:pPr>
              <w:pStyle w:val="Text"/>
              <w:ind w:firstLine="0"/>
              <w:rPr>
                <w:b w:val="0"/>
                <w:bCs w:val="0"/>
                <w:sz w:val="22"/>
                <w:szCs w:val="22"/>
              </w:rPr>
            </w:pPr>
          </w:p>
        </w:tc>
        <w:tc>
          <w:tcPr>
            <w:tcW w:w="4061" w:type="dxa"/>
            <w:tcBorders>
              <w:top w:val="nil"/>
              <w:bottom w:val="nil"/>
            </w:tcBorders>
            <w:vAlign w:val="center"/>
          </w:tcPr>
          <w:p w14:paraId="0A2CE746"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b/>
                <w:bCs/>
                <w:sz w:val="22"/>
                <w:szCs w:val="22"/>
              </w:rPr>
            </w:pPr>
            <w:r w:rsidRPr="00D8616D">
              <w:rPr>
                <w:sz w:val="22"/>
                <w:szCs w:val="22"/>
              </w:rPr>
              <w:t xml:space="preserve">Literacy rate in women </w:t>
            </w:r>
          </w:p>
        </w:tc>
        <w:tc>
          <w:tcPr>
            <w:tcW w:w="1353" w:type="dxa"/>
            <w:tcBorders>
              <w:top w:val="nil"/>
              <w:bottom w:val="nil"/>
            </w:tcBorders>
            <w:vAlign w:val="center"/>
          </w:tcPr>
          <w:p w14:paraId="5EB0FA29"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sz w:val="22"/>
                <w:szCs w:val="22"/>
              </w:rPr>
            </w:pPr>
            <w:r w:rsidRPr="00D8616D">
              <w:rPr>
                <w:sz w:val="22"/>
                <w:szCs w:val="22"/>
              </w:rPr>
              <w:t>Proportion</w:t>
            </w:r>
          </w:p>
        </w:tc>
      </w:tr>
      <w:tr w:rsidR="00A17AA9" w:rsidRPr="00D8616D" w14:paraId="69D5CDDC" w14:textId="77777777" w:rsidTr="00082D3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tcBorders>
              <w:bottom w:val="single" w:sz="4" w:space="0" w:color="auto"/>
            </w:tcBorders>
            <w:vAlign w:val="center"/>
          </w:tcPr>
          <w:p w14:paraId="4DCA659E" w14:textId="77777777" w:rsidR="00A17AA9" w:rsidRPr="00D8616D" w:rsidRDefault="00A17AA9" w:rsidP="00504E20">
            <w:pPr>
              <w:pStyle w:val="Text"/>
              <w:ind w:firstLine="0"/>
              <w:rPr>
                <w:b w:val="0"/>
                <w:bCs w:val="0"/>
                <w:sz w:val="22"/>
                <w:szCs w:val="22"/>
              </w:rPr>
            </w:pPr>
          </w:p>
        </w:tc>
        <w:tc>
          <w:tcPr>
            <w:tcW w:w="4061" w:type="dxa"/>
            <w:tcBorders>
              <w:top w:val="nil"/>
              <w:bottom w:val="single" w:sz="4" w:space="0" w:color="auto"/>
            </w:tcBorders>
            <w:vAlign w:val="center"/>
          </w:tcPr>
          <w:p w14:paraId="68A94A5E"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sz w:val="22"/>
                <w:szCs w:val="22"/>
              </w:rPr>
            </w:pPr>
            <w:r w:rsidRPr="00D8616D">
              <w:rPr>
                <w:sz w:val="22"/>
                <w:szCs w:val="22"/>
              </w:rPr>
              <w:t xml:space="preserve">Stunting in children </w:t>
            </w:r>
          </w:p>
        </w:tc>
        <w:tc>
          <w:tcPr>
            <w:tcW w:w="1353" w:type="dxa"/>
            <w:tcBorders>
              <w:top w:val="nil"/>
              <w:bottom w:val="single" w:sz="4" w:space="0" w:color="auto"/>
            </w:tcBorders>
            <w:vAlign w:val="center"/>
          </w:tcPr>
          <w:p w14:paraId="5649D74F"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sz w:val="22"/>
                <w:szCs w:val="22"/>
              </w:rPr>
            </w:pPr>
            <w:r w:rsidRPr="00D8616D">
              <w:rPr>
                <w:sz w:val="22"/>
                <w:szCs w:val="22"/>
              </w:rPr>
              <w:t xml:space="preserve">Proportion </w:t>
            </w:r>
          </w:p>
        </w:tc>
      </w:tr>
      <w:tr w:rsidR="00A17AA9" w:rsidRPr="00D8616D" w14:paraId="7FF0D5DC" w14:textId="77777777" w:rsidTr="00082D3C">
        <w:trPr>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restart"/>
            <w:tcBorders>
              <w:top w:val="single" w:sz="4" w:space="0" w:color="auto"/>
            </w:tcBorders>
            <w:vAlign w:val="center"/>
          </w:tcPr>
          <w:p w14:paraId="4A475ACC" w14:textId="77777777" w:rsidR="00A17AA9" w:rsidRPr="00D8616D" w:rsidRDefault="00A17AA9" w:rsidP="00504E20">
            <w:pPr>
              <w:pStyle w:val="Text"/>
              <w:ind w:firstLine="0"/>
              <w:rPr>
                <w:b w:val="0"/>
                <w:bCs w:val="0"/>
                <w:sz w:val="22"/>
                <w:szCs w:val="22"/>
              </w:rPr>
            </w:pPr>
            <w:r w:rsidRPr="00D8616D">
              <w:rPr>
                <w:b w:val="0"/>
                <w:bCs w:val="0"/>
                <w:sz w:val="22"/>
                <w:szCs w:val="22"/>
              </w:rPr>
              <w:t>Malaria prevention</w:t>
            </w:r>
          </w:p>
        </w:tc>
        <w:tc>
          <w:tcPr>
            <w:tcW w:w="4061" w:type="dxa"/>
            <w:tcBorders>
              <w:top w:val="single" w:sz="4" w:space="0" w:color="auto"/>
              <w:bottom w:val="nil"/>
            </w:tcBorders>
            <w:vAlign w:val="center"/>
          </w:tcPr>
          <w:p w14:paraId="2E7310D6" w14:textId="05FA5A2F"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b/>
                <w:bCs/>
                <w:sz w:val="22"/>
                <w:szCs w:val="22"/>
              </w:rPr>
            </w:pPr>
            <w:r w:rsidRPr="00D8616D">
              <w:rPr>
                <w:sz w:val="22"/>
                <w:szCs w:val="22"/>
              </w:rPr>
              <w:t xml:space="preserve">Proportion of households with at least one Insecticide-treated </w:t>
            </w:r>
            <w:r>
              <w:rPr>
                <w:sz w:val="22"/>
                <w:szCs w:val="22"/>
              </w:rPr>
              <w:t>n</w:t>
            </w:r>
            <w:r w:rsidRPr="00D8616D">
              <w:rPr>
                <w:sz w:val="22"/>
                <w:szCs w:val="22"/>
              </w:rPr>
              <w:t>et (ITN)</w:t>
            </w:r>
          </w:p>
        </w:tc>
        <w:tc>
          <w:tcPr>
            <w:tcW w:w="1353" w:type="dxa"/>
            <w:tcBorders>
              <w:top w:val="single" w:sz="4" w:space="0" w:color="auto"/>
              <w:bottom w:val="nil"/>
            </w:tcBorders>
            <w:vAlign w:val="center"/>
          </w:tcPr>
          <w:p w14:paraId="007E14CE"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sz w:val="22"/>
                <w:szCs w:val="22"/>
              </w:rPr>
            </w:pPr>
            <w:r w:rsidRPr="00D8616D">
              <w:rPr>
                <w:sz w:val="22"/>
                <w:szCs w:val="22"/>
              </w:rPr>
              <w:t>Proportion</w:t>
            </w:r>
          </w:p>
        </w:tc>
      </w:tr>
      <w:tr w:rsidR="00A17AA9" w:rsidRPr="00D8616D" w14:paraId="7097CADA" w14:textId="77777777" w:rsidTr="00082D3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ign w:val="center"/>
          </w:tcPr>
          <w:p w14:paraId="55494D83" w14:textId="77777777" w:rsidR="00A17AA9" w:rsidRPr="00D8616D" w:rsidRDefault="00A17AA9" w:rsidP="00504E20">
            <w:pPr>
              <w:pStyle w:val="Text"/>
              <w:ind w:firstLine="0"/>
              <w:rPr>
                <w:sz w:val="22"/>
                <w:szCs w:val="22"/>
              </w:rPr>
            </w:pPr>
          </w:p>
        </w:tc>
        <w:tc>
          <w:tcPr>
            <w:tcW w:w="4061" w:type="dxa"/>
            <w:tcBorders>
              <w:top w:val="nil"/>
              <w:bottom w:val="nil"/>
            </w:tcBorders>
            <w:vAlign w:val="center"/>
          </w:tcPr>
          <w:p w14:paraId="782F71E1"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b/>
                <w:bCs/>
                <w:sz w:val="22"/>
                <w:szCs w:val="22"/>
              </w:rPr>
            </w:pPr>
            <w:r w:rsidRPr="00D8616D">
              <w:rPr>
                <w:sz w:val="22"/>
                <w:szCs w:val="22"/>
              </w:rPr>
              <w:t>Proportion of households with at least one ITN for every two people that slept at the house the night before the survey</w:t>
            </w:r>
          </w:p>
        </w:tc>
        <w:tc>
          <w:tcPr>
            <w:tcW w:w="1353" w:type="dxa"/>
            <w:tcBorders>
              <w:top w:val="nil"/>
              <w:bottom w:val="nil"/>
            </w:tcBorders>
            <w:vAlign w:val="center"/>
          </w:tcPr>
          <w:p w14:paraId="1AC41CF6"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sz w:val="22"/>
                <w:szCs w:val="22"/>
              </w:rPr>
            </w:pPr>
            <w:r w:rsidRPr="00D8616D">
              <w:rPr>
                <w:sz w:val="22"/>
                <w:szCs w:val="22"/>
              </w:rPr>
              <w:t>Proportion</w:t>
            </w:r>
          </w:p>
        </w:tc>
      </w:tr>
      <w:tr w:rsidR="00A17AA9" w:rsidRPr="00D8616D" w14:paraId="215398AF" w14:textId="77777777" w:rsidTr="00082D3C">
        <w:trPr>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ign w:val="center"/>
          </w:tcPr>
          <w:p w14:paraId="0A4E03F6" w14:textId="77777777" w:rsidR="00A17AA9" w:rsidRPr="00D8616D" w:rsidRDefault="00A17AA9" w:rsidP="00504E20">
            <w:pPr>
              <w:pStyle w:val="Text"/>
              <w:ind w:firstLine="0"/>
              <w:rPr>
                <w:sz w:val="22"/>
                <w:szCs w:val="22"/>
              </w:rPr>
            </w:pPr>
          </w:p>
        </w:tc>
        <w:tc>
          <w:tcPr>
            <w:tcW w:w="4061" w:type="dxa"/>
            <w:tcBorders>
              <w:top w:val="nil"/>
              <w:bottom w:val="nil"/>
            </w:tcBorders>
            <w:vAlign w:val="center"/>
          </w:tcPr>
          <w:p w14:paraId="6DFAA418"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b/>
                <w:bCs/>
                <w:sz w:val="22"/>
                <w:szCs w:val="22"/>
              </w:rPr>
            </w:pPr>
            <w:r w:rsidRPr="00D8616D">
              <w:rPr>
                <w:sz w:val="22"/>
                <w:szCs w:val="22"/>
              </w:rPr>
              <w:t>Proportion of population with access to an ITN in their household</w:t>
            </w:r>
          </w:p>
        </w:tc>
        <w:tc>
          <w:tcPr>
            <w:tcW w:w="1353" w:type="dxa"/>
            <w:tcBorders>
              <w:top w:val="nil"/>
              <w:bottom w:val="nil"/>
            </w:tcBorders>
            <w:vAlign w:val="center"/>
          </w:tcPr>
          <w:p w14:paraId="25F41EF0"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sz w:val="22"/>
                <w:szCs w:val="22"/>
              </w:rPr>
            </w:pPr>
            <w:r w:rsidRPr="00D8616D">
              <w:rPr>
                <w:sz w:val="22"/>
                <w:szCs w:val="22"/>
              </w:rPr>
              <w:t>Proportion</w:t>
            </w:r>
          </w:p>
        </w:tc>
      </w:tr>
      <w:tr w:rsidR="00A17AA9" w:rsidRPr="00D8616D" w14:paraId="563FB160" w14:textId="77777777" w:rsidTr="00082D3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vAlign w:val="center"/>
          </w:tcPr>
          <w:p w14:paraId="1F152D98" w14:textId="77777777" w:rsidR="00A17AA9" w:rsidRPr="00D8616D" w:rsidRDefault="00A17AA9" w:rsidP="00504E20">
            <w:pPr>
              <w:pStyle w:val="Text"/>
              <w:ind w:firstLine="0"/>
              <w:rPr>
                <w:sz w:val="22"/>
                <w:szCs w:val="22"/>
              </w:rPr>
            </w:pPr>
          </w:p>
        </w:tc>
        <w:tc>
          <w:tcPr>
            <w:tcW w:w="4061" w:type="dxa"/>
            <w:tcBorders>
              <w:top w:val="nil"/>
              <w:bottom w:val="nil"/>
            </w:tcBorders>
            <w:vAlign w:val="center"/>
          </w:tcPr>
          <w:p w14:paraId="0A82E6A8"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b/>
                <w:bCs/>
                <w:sz w:val="22"/>
                <w:szCs w:val="22"/>
              </w:rPr>
            </w:pPr>
            <w:r w:rsidRPr="00D8616D">
              <w:rPr>
                <w:sz w:val="22"/>
                <w:szCs w:val="22"/>
              </w:rPr>
              <w:t xml:space="preserve">Indoor residual spraying (IRS) coverage </w:t>
            </w:r>
          </w:p>
        </w:tc>
        <w:tc>
          <w:tcPr>
            <w:tcW w:w="1353" w:type="dxa"/>
            <w:tcBorders>
              <w:top w:val="nil"/>
              <w:bottom w:val="nil"/>
            </w:tcBorders>
            <w:vAlign w:val="center"/>
          </w:tcPr>
          <w:p w14:paraId="143BD3F9" w14:textId="77777777" w:rsidR="00A17AA9" w:rsidRPr="00D8616D" w:rsidRDefault="00A17AA9" w:rsidP="00504E20">
            <w:pPr>
              <w:pStyle w:val="Text"/>
              <w:ind w:firstLine="0"/>
              <w:cnfStyle w:val="000000100000" w:firstRow="0" w:lastRow="0" w:firstColumn="0" w:lastColumn="0" w:oddVBand="0" w:evenVBand="0" w:oddHBand="1" w:evenHBand="0" w:firstRowFirstColumn="0" w:firstRowLastColumn="0" w:lastRowFirstColumn="0" w:lastRowLastColumn="0"/>
              <w:rPr>
                <w:sz w:val="22"/>
                <w:szCs w:val="22"/>
              </w:rPr>
            </w:pPr>
            <w:r w:rsidRPr="00D8616D">
              <w:rPr>
                <w:sz w:val="22"/>
                <w:szCs w:val="22"/>
              </w:rPr>
              <w:t>Proportion</w:t>
            </w:r>
          </w:p>
        </w:tc>
      </w:tr>
      <w:tr w:rsidR="00A17AA9" w:rsidRPr="00D8616D" w14:paraId="27A1324C" w14:textId="77777777" w:rsidTr="00082D3C">
        <w:trPr>
          <w:trHeight w:val="20"/>
          <w:jc w:val="center"/>
        </w:trPr>
        <w:tc>
          <w:tcPr>
            <w:cnfStyle w:val="001000000000" w:firstRow="0" w:lastRow="0" w:firstColumn="1" w:lastColumn="0" w:oddVBand="0" w:evenVBand="0" w:oddHBand="0" w:evenHBand="0" w:firstRowFirstColumn="0" w:firstRowLastColumn="0" w:lastRowFirstColumn="0" w:lastRowLastColumn="0"/>
            <w:tcW w:w="2109" w:type="dxa"/>
            <w:vMerge/>
            <w:tcBorders>
              <w:bottom w:val="single" w:sz="2" w:space="0" w:color="auto"/>
            </w:tcBorders>
            <w:vAlign w:val="center"/>
          </w:tcPr>
          <w:p w14:paraId="6484995F" w14:textId="77777777" w:rsidR="00A17AA9" w:rsidRPr="00D8616D" w:rsidRDefault="00A17AA9" w:rsidP="00504E20">
            <w:pPr>
              <w:pStyle w:val="Text"/>
              <w:ind w:firstLine="0"/>
              <w:rPr>
                <w:sz w:val="22"/>
                <w:szCs w:val="22"/>
              </w:rPr>
            </w:pPr>
          </w:p>
        </w:tc>
        <w:tc>
          <w:tcPr>
            <w:tcW w:w="4061" w:type="dxa"/>
            <w:tcBorders>
              <w:top w:val="nil"/>
              <w:bottom w:val="single" w:sz="2" w:space="0" w:color="auto"/>
            </w:tcBorders>
            <w:vAlign w:val="center"/>
          </w:tcPr>
          <w:p w14:paraId="4DFCC81F" w14:textId="6A78356D"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sz w:val="22"/>
                <w:szCs w:val="22"/>
              </w:rPr>
            </w:pPr>
            <w:r w:rsidRPr="00D8616D">
              <w:rPr>
                <w:sz w:val="22"/>
                <w:szCs w:val="22"/>
              </w:rPr>
              <w:t xml:space="preserve">Use of </w:t>
            </w:r>
            <w:r>
              <w:rPr>
                <w:sz w:val="22"/>
                <w:szCs w:val="22"/>
              </w:rPr>
              <w:t>i</w:t>
            </w:r>
            <w:r w:rsidRPr="00D8616D">
              <w:rPr>
                <w:sz w:val="22"/>
                <w:szCs w:val="22"/>
              </w:rPr>
              <w:t xml:space="preserve">ntermittent </w:t>
            </w:r>
            <w:r>
              <w:rPr>
                <w:sz w:val="22"/>
                <w:szCs w:val="22"/>
              </w:rPr>
              <w:t>p</w:t>
            </w:r>
            <w:r w:rsidRPr="00D8616D">
              <w:rPr>
                <w:sz w:val="22"/>
                <w:szCs w:val="22"/>
              </w:rPr>
              <w:t xml:space="preserve">reventive </w:t>
            </w:r>
            <w:r>
              <w:rPr>
                <w:sz w:val="22"/>
                <w:szCs w:val="22"/>
              </w:rPr>
              <w:t>t</w:t>
            </w:r>
            <w:r w:rsidRPr="00D8616D">
              <w:rPr>
                <w:sz w:val="22"/>
                <w:szCs w:val="22"/>
              </w:rPr>
              <w:t>reatment (IPT) by women during pregnancy</w:t>
            </w:r>
          </w:p>
        </w:tc>
        <w:tc>
          <w:tcPr>
            <w:tcW w:w="1353" w:type="dxa"/>
            <w:tcBorders>
              <w:top w:val="nil"/>
              <w:bottom w:val="single" w:sz="2" w:space="0" w:color="auto"/>
            </w:tcBorders>
            <w:vAlign w:val="center"/>
          </w:tcPr>
          <w:p w14:paraId="1F7D5E8E" w14:textId="77777777" w:rsidR="00A17AA9" w:rsidRPr="00D8616D" w:rsidRDefault="00A17AA9" w:rsidP="00504E20">
            <w:pPr>
              <w:pStyle w:val="Text"/>
              <w:ind w:firstLine="0"/>
              <w:cnfStyle w:val="000000000000" w:firstRow="0" w:lastRow="0" w:firstColumn="0" w:lastColumn="0" w:oddVBand="0" w:evenVBand="0" w:oddHBand="0" w:evenHBand="0" w:firstRowFirstColumn="0" w:firstRowLastColumn="0" w:lastRowFirstColumn="0" w:lastRowLastColumn="0"/>
              <w:rPr>
                <w:sz w:val="22"/>
                <w:szCs w:val="22"/>
              </w:rPr>
            </w:pPr>
            <w:r w:rsidRPr="00D8616D">
              <w:rPr>
                <w:sz w:val="22"/>
                <w:szCs w:val="22"/>
              </w:rPr>
              <w:t xml:space="preserve">Proportion </w:t>
            </w:r>
          </w:p>
        </w:tc>
      </w:tr>
    </w:tbl>
    <w:p w14:paraId="6E1356BD" w14:textId="58BA5BFF" w:rsidR="00EF51D9" w:rsidRPr="00D8616D" w:rsidRDefault="00F226C7" w:rsidP="00576270">
      <w:pPr>
        <w:pStyle w:val="Heading2"/>
      </w:pPr>
      <w:r>
        <w:t>M</w:t>
      </w:r>
      <w:r w:rsidR="00EF51D9" w:rsidRPr="00D8616D">
        <w:t xml:space="preserve">alaria-related anaemia in children </w:t>
      </w:r>
    </w:p>
    <w:p w14:paraId="76F37549" w14:textId="77777777" w:rsidR="00EF51D9" w:rsidRPr="00D8616D" w:rsidRDefault="00EF51D9" w:rsidP="00EF51D9">
      <w:pPr>
        <w:jc w:val="both"/>
        <w:rPr>
          <w:rFonts w:ascii="Times New Roman" w:eastAsia="Times New Roman" w:hAnsi="Times New Roman" w:cs="Times New Roman"/>
          <w:sz w:val="24"/>
          <w:szCs w:val="24"/>
        </w:rPr>
      </w:pPr>
      <w:r w:rsidRPr="00D8616D">
        <w:rPr>
          <w:rFonts w:ascii="Times New Roman" w:eastAsia="Times New Roman" w:hAnsi="Times New Roman" w:cs="Times New Roman"/>
          <w:sz w:val="24"/>
          <w:szCs w:val="24"/>
        </w:rPr>
        <w:t xml:space="preserve">Anemia refers to the lack of haemoglobin in blood, and it is measured by DHS using prick blood tests. It is defined here as the proportion of children aged 6 months to 5 years with less than 8 grams of haemoglobin per blood decilitre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{"citationID":"9ibROm9A","properties":{"formattedCitation":"[1,2]","plainCitation":"[1,2]","noteIndex":0},"citationItems":[{"id":206,"uris":["http://zotero.org/users/10170906/items/J3PAFND6"],"itemData":{"id":206,"type":"report","event-place":"Rockville, Maryland, USA","publisher":"ICF International","publisher-place":"Rockville, Maryland, USA","title":"Guide to DHS Statistics 7","author":[{"family":"Croft","given":"Trevor N."},{"family":"Marshall","given":"Aileen M. J."},{"family":"Allen","given":"Courtney K."}],"issued":{"date-parts":[["2018"]]}}},{"id":796,"uris":["http://zotero.org/users/10170906/items/JC6JBPEU"],"itemData":{"id":796,"type":"report","collection-title":"DHS Spatial Analysis Reports No. 11","event-place":"Rockville, Maryland, USA","publisher":"ICF International","publisher-place":"Rockville, Maryland, USA","title":"Creating Spatial Interpolation Surfaces with DHS Data","author":[{"family":"Gething","given":"Peter"},{"family":"Tatem","given":"Andy"},{"family":"Bird","given":"Tom","suffix":""},{"family":"Burgert-Brucker","given":"Clara R.","suffix":""}],"issued":{"date-parts":[["2015"]]}}}],"schema":"https://github.com/citation-style-language/schema/raw/master/csl-citation.json"}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[1,2]</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which indicates malaria-related anaemia (as anaemia can have causes other than malaria, e.g. malnutrition). Note that children less than six months old are not included in this indicator as they have higher levels of haemoglobin at birth and up to 6 months, which could lead to overestimated anaemia prevalence estimates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{"citationID":"vnXPg02X","properties":{"formattedCitation":"[1]","plainCitation":"[1]","noteIndex":0},"citationItems":[{"id":206,"uris":["http://zotero.org/users/10170906/items/J3PAFND6"],"itemData":{"id":206,"type":"report","event-place":"Rockville, Maryland, USA","publisher":"ICF International","publisher-place":"Rockville, Maryland, USA","title":"Guide to DHS Statistics 7","author":[{"family":"Croft","given":"Trevor N."},{"family":"Marshall","given":"Aileen M. J."},{"family":"Allen","given":"Courtney K."}],"issued":{"date-parts":[["2018"]]}}}],"schema":"https://github.com/citation-style-language/schema/raw/master/csl-citation.json"}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[1]</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w:t>
      </w:r>
    </w:p>
    <w:p w14:paraId="74E76F9F" w14:textId="5C47FD55" w:rsidR="00EF51D9" w:rsidRPr="00D8616D" w:rsidRDefault="00EF51D9" w:rsidP="00576270">
      <w:pPr>
        <w:pStyle w:val="Heading2"/>
      </w:pPr>
      <w:r w:rsidRPr="00D8616D">
        <w:t xml:space="preserve">Access to basic sanitation service  </w:t>
      </w:r>
    </w:p>
    <w:p w14:paraId="6DB21B93" w14:textId="77777777" w:rsidR="00EF51D9" w:rsidRPr="00D8616D" w:rsidRDefault="00EF51D9" w:rsidP="00EF51D9">
      <w:pPr>
        <w:jc w:val="both"/>
        <w:rPr>
          <w:rFonts w:ascii="Times New Roman" w:eastAsia="Times New Roman" w:hAnsi="Times New Roman" w:cs="Times New Roman"/>
          <w:sz w:val="24"/>
          <w:szCs w:val="24"/>
        </w:rPr>
      </w:pPr>
      <w:r w:rsidRPr="00D8616D">
        <w:rPr>
          <w:rFonts w:ascii="Times New Roman" w:eastAsia="Times New Roman" w:hAnsi="Times New Roman" w:cs="Times New Roman"/>
          <w:sz w:val="24"/>
          <w:szCs w:val="24"/>
        </w:rPr>
        <w:t xml:space="preserve">This indicator is defined as the proportion of households having access to a basic sanitation service. According to the WHO/UNICEF Joint Monitoring Programme classification standards for Water Supply and Sanitation, basic sanitation services are characterised as the use of improved sanitation facilities that are not shared with any other households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PbZSJ5Hi","properties":{"formattedCitation":"[3]","plainCitation":"[3]","noteIndex":0},"citationItems":[{"id":1356,"uris":["http://zotero.org/users/10170906/items/8ZP9EZ26"],"itemData":{"id":1356,"type":"report","event-place":"Geneva","language":"en","publisher":"WHO and UNICEF","publisher-place":"Geneva","source":"WHO IRIS","title":"Progress on drinking water, sanitation and hygiene: 2017 update and SDG baselines","title-short":"Progress on drinking water, sanitation and hygiene","author":[{"literal":"World Health Organization (WHO)"},{"literal":"United Nations Children's Fund (UNICEF)"}],"accessed":{"date-parts":[["2023",5,15]]},"issued":{"date-parts":[["2017"]]}}}],"schema":"https://github.com/citation-style-language/schema/raw/master/csl-citation.json"}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[3]</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Improved sanitation facilities are toilet facilities that hygienically separate excreta from human contact (</w:t>
      </w:r>
      <w:proofErr w:type="spellStart"/>
      <w:r w:rsidRPr="00D8616D">
        <w:rPr>
          <w:rFonts w:ascii="Times New Roman" w:eastAsia="Times New Roman" w:hAnsi="Times New Roman" w:cs="Times New Roman"/>
          <w:sz w:val="24"/>
          <w:szCs w:val="24"/>
        </w:rPr>
        <w:t>ie</w:t>
      </w:r>
      <w:proofErr w:type="spellEnd"/>
      <w:r w:rsidRPr="00D8616D">
        <w:rPr>
          <w:rFonts w:ascii="Times New Roman" w:eastAsia="Times New Roman" w:hAnsi="Times New Roman" w:cs="Times New Roman"/>
          <w:sz w:val="24"/>
          <w:szCs w:val="24"/>
        </w:rPr>
        <w:t xml:space="preserve">. flush to piped sewer system/septic tank/pit latrine, ventilated improved pit latrine, pit latrine with slab and composting toilet)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{"citationID":"FSYgeRw0","properties":{"formattedCitation":"[1,2]","plainCitation":"[1,2]","noteIndex":0},"citationItems":[{"id":206,"uris":["http://zotero.org/users/10170906/items/J3PAFND6"],"itemData":{"id":206,"type":"report","event-place":"Rockville, Maryland, USA","publisher":"ICF International","publisher-place":"Rockville, Maryland, USA","title":"Guide to DHS Statistics 7","author":[{"family":"Croft","given":"Trevor N."},{"family":"Marshall","given":"Aileen M. J."},{"family":"Allen","given":"Courtney K."}],"issued":{"date-parts":[["2018"]]}}},{"id":796,"uris":["http://zotero.org/users/10170906/items/JC6JBPEU"],"itemData":{"id":796,"type":"report","collection-title":"DHS Spatial Analysis Reports No. 11","event-place":"Rockville, Maryland, USA","publisher":"ICF International","publisher-place":"Rockville, Maryland, USA","title":"Creating Spatial Interpolation Surfaces with DHS Data","author":[{"family":"Gething","given":"Peter"},{"family":"Tatem","given":"Andy"},{"family":"Bird","given":"Tom","suffix":""},{"family":"Burgert-Brucker","given":"Clara R.","suffix":""}],"issued":{"date-parts":[["2015"]]}}}],"schema":"https://github.com/citation-style-language/schema/raw/master/csl-citation.json"}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[1,2]</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w:t>
      </w:r>
    </w:p>
    <w:p w14:paraId="64D8B722" w14:textId="16477166" w:rsidR="00EF51D9" w:rsidRPr="00D8616D" w:rsidRDefault="00EF51D9" w:rsidP="00576270">
      <w:pPr>
        <w:pStyle w:val="Heading2"/>
      </w:pPr>
      <w:r w:rsidRPr="00D8616D">
        <w:t xml:space="preserve">Wealth index   </w:t>
      </w:r>
    </w:p>
    <w:p w14:paraId="68F6805F" w14:textId="77777777" w:rsidR="00EF51D9" w:rsidRPr="00D8616D" w:rsidRDefault="00EF51D9" w:rsidP="00EF51D9">
      <w:pPr>
        <w:jc w:val="both"/>
        <w:rPr>
          <w:rFonts w:ascii="Times New Roman" w:eastAsia="Times New Roman" w:hAnsi="Times New Roman" w:cs="Times New Roman"/>
          <w:sz w:val="24"/>
          <w:szCs w:val="24"/>
        </w:rPr>
      </w:pPr>
      <w:r w:rsidRPr="00D8616D">
        <w:rPr>
          <w:rFonts w:ascii="Times New Roman" w:eastAsia="Times New Roman" w:hAnsi="Times New Roman" w:cs="Times New Roman"/>
          <w:sz w:val="24"/>
          <w:szCs w:val="24"/>
        </w:rPr>
        <w:t xml:space="preserve">The DHS wealth index is a composite indicator of household ownership of a range of assets and services, such as ownership of a television, car or land, the type of drinking water source and sanitation facilities, and dwelling characteristics such as flooring materials and number of </w:t>
      </w:r>
      <w:r w:rsidRPr="00D8616D">
        <w:rPr>
          <w:rFonts w:ascii="Times New Roman" w:eastAsia="Times New Roman" w:hAnsi="Times New Roman" w:cs="Times New Roman"/>
          <w:sz w:val="24"/>
          <w:szCs w:val="24"/>
        </w:rPr>
        <w:lastRenderedPageBreak/>
        <w:t xml:space="preserve">people sleeping per room, among others. Using a Principal Component Analysis, households are assigned scores according to their assets and services and accounting for urban/rural specificities, with higher scores meaning wealthier households. At the national scale, urban and rural scores are combined into a single standardised score with mean 0 and standard deviation of 1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{"citationID":"kjcux6Dj","properties":{"formattedCitation":"[1]","plainCitation":"[1]","noteIndex":0},"citationItems":[{"id":206,"uris":["http://zotero.org/users/10170906/items/J3PAFND6"],"itemData":{"id":206,"type":"report","event-place":"Rockville, Maryland, USA","publisher":"ICF International","publisher-place":"Rockville, Maryland, USA","title":"Guide to DHS Statistics 7","author":[{"family":"Croft","given":"Trevor N."},{"family":"Marshall","given":"Aileen M. J."},{"family":"Allen","given":"Courtney K."}],"issued":{"date-parts":[["2018"]]}}}],"schema":"https://github.com/citation-style-language/schema/raw/master/csl-citation.json"}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[1]</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In this study, following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{"citationID":"tmph0crO","properties":{"formattedCitation":"[4]","plainCitation":"[4]","noteIndex":0},"citationItems":[{"id":522,"uris":["http://zotero.org/users/10170906/items/64RNREJW"],"itemData":{"id":522,"type":"article-journal","abstract":"A systematic and precise understanding of urban socio-economic spatial inequalities in developing regions is needed to address global sustainability goals. At the intra-urban scale, access to detailed databases (i.e., a census) is often a diﬃcult exercise. Geolocated surveys such as the Demographic and Health Surveys (DHS) are a rich alternative source of such information but can be challenging to interpolate at such a ﬁne scale due to their spatial displacement, survey design and the lack of very high-resolution (VHR) predictor variables in these regions. In this paper, we employ satellite-derived VHR land-use/land-cover (LULC) datasets and couple them with the DHS Wealth Index (WI), a robust household wealth indicator, in order to provide city-scale wealth maps. We undertake several modelling approaches using a random forest regressor as the underlying algorithm and predict in several geographic administrative scales. We validate against an exhaustive census database available for the city of Dakar, Senegal. Our results show that the WI was modelled to a satisfactory degree when compared against census data even at very ﬁne resolutions. These ﬁndings might assist local authorities and stakeholders in rigorous evidence-based decision making and facilitate the allocation of resources towards the most disadvantaged populations. Good practices for further developments are discussed with the aim of upscaling these ﬁndings at the global scale.","container-title":"Remote Sensing","DOI":"10.3390/rs11212543","ISSN":"2072-4292","issue":"21","journalAbbreviation":"Remote Sens","language":"en","page":"2543","source":"DOI.org (Crossref)","title":"Modelling the Wealth Index of Demographic and Health Surveys within Cities Using Very High-Resolution Remotely Sensed Information","volume":"11","author":[{"family":"Georganos","given":"Stefanos"},{"family":"Gadiaga","given":"Assane Niang"},{"family":"Linard","given":"Catherine"},{"family":"Grippa","given":"Tais"},{"family":"Vanhuysse","given":"Sabine"},{"family":"Mboga","given":"Nicholus"},{"family":"Wolff","given":"Eléonore"},{"family":"Dujardin","given":"Sébastien"},{"family":"Lennert","given":"Moritz"}],"issued":{"date-parts":[["2019",10,29]]}}}],"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[4]</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we used this combined score, averaged at the cluster level, as household wealth index. </w:t>
      </w:r>
    </w:p>
    <w:p w14:paraId="53A7A15D" w14:textId="46DDF6B9" w:rsidR="00EF51D9" w:rsidRPr="00D8616D" w:rsidRDefault="00EF51D9" w:rsidP="00576270">
      <w:pPr>
        <w:pStyle w:val="Heading2"/>
      </w:pPr>
      <w:r w:rsidRPr="00D8616D">
        <w:t xml:space="preserve">Literacy rate in women </w:t>
      </w:r>
    </w:p>
    <w:p w14:paraId="60E6595B" w14:textId="77777777" w:rsidR="00EF51D9" w:rsidRPr="00D8616D" w:rsidRDefault="00EF51D9" w:rsidP="00EF51D9">
      <w:pPr>
        <w:jc w:val="both"/>
        <w:rPr>
          <w:rFonts w:ascii="Times New Roman" w:eastAsia="Times New Roman" w:hAnsi="Times New Roman" w:cs="Times New Roman"/>
          <w:sz w:val="24"/>
          <w:szCs w:val="24"/>
        </w:rPr>
      </w:pPr>
      <w:r w:rsidRPr="00D8616D">
        <w:rPr>
          <w:rFonts w:ascii="Times New Roman" w:eastAsia="Times New Roman" w:hAnsi="Times New Roman" w:cs="Times New Roman"/>
          <w:sz w:val="24"/>
          <w:szCs w:val="24"/>
        </w:rPr>
        <w:t xml:space="preserve">The literacy rate in women is the proportion of women aged 15 to 49 who are literate. In DHS, literacy is assessed by the interviewer by asking the respondent to read a sentence or part of a sentence in English or in the respondent native language. In this study, we defined literate women as those with more than secondary school education or women who can read at least part of a sentence, following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{"citationID":"U4We13Xv","properties":{"formattedCitation":"[1,5]","plainCitation":"[1,5]","noteIndex":0},"citationItems":[{"id":206,"uris":["http://zotero.org/users/10170906/items/J3PAFND6"],"itemData":{"id":206,"type":"report","event-place":"Rockville, Maryland, USA","publisher":"ICF International","publisher-place":"Rockville, Maryland, USA","title":"Guide to DHS Statistics 7","author":[{"family":"Croft","given":"Trevor N."},{"family":"Marshall","given":"Aileen M. J."},{"family":"Allen","given":"Courtney K."}],"issued":{"date-parts":[["2018"]]}}},{"id":598,"uris":["http://zotero.org/users/10170906/items/MGUUVNZZ"],"itemData":{"id":598,"type":"article-journal","abstract":"Improved understanding of geographical variation and inequity in health status, wealth and access to resources within countries is increasingly being recognized as central to meeting development goals. Development and health indicators assessed at national or subnational scale can often conceal important inequities, with the rural poor often least well represented. The ability to target limited resources is fundamental, especially in an international context where funding for health and development comes under pressure. This has recently prompted the exploration of the potential of spatial interpolation methods based on geolocated clusters from national household survey data for the high-resolution mapping of features such as population age structures, vaccination coverage and access to sanitation. It remains unclear, however, how predictable these different factors are across different settings, variables and between demographic groups. Here we test the accuracy of spatial interpolation methods in producing gender-disaggregated high-resolution maps of the rates of literacy, stunting and the use of modern contraceptive methods from a combination of geolocated demographic and health surveys cluster data and geospatial covariates. Bayesian geostatistical and machine learning modelling methods were tested across four low-income countries and varying gridded environmental and socio-economic covariate datasets to build 1×1 km spatial resolution maps with uncertainty estimates. Results show the potential of the approach in producing high-resolution maps of key gender-disaggregated socio-economic indicators, with explained variance through cross-validation being as high as 74–75% for female literacy in Nigeria and Kenya, and in the 50–70% range for many other variables. However, substantial variations by both country and variable were seen, with many variables showing poor mapping accuracies in the range of 2–30% explained variance using both geostatistical and machine learning approaches. The analyses offer a robust basis for the construction of timely maps with levels of detail that support geographically stratified decision-making and the monitoring of progress towards development goals. However, the great variability in results between countries and variables highlights the challenges in applying these interpolation methods universally across multiple countries, and the importance of validation and quantifying uncertainty if this is undertaken.","container-title":"Journal of The Royal Society Interface","DOI":"10.1098/rsif.2016.0825","issue":"129","journalAbbreviation":"J. R. Soc. Interface","note":"publisher: Royal Society","page":"20160825","source":"royalsocietypublishing.org (Atypon)","title":"Exploring the high-resolution mapping of gender-disaggregated development indicators","volume":"14","author":[{"family":"Bosco","given":"C."},{"family":"Alegana","given":"V."},{"family":"Bird","given":"T."},{"family":"Pezzulo","given":"C."},{"family":"Bengtsson","given":"L."},{"family":"Sorichetta","given":"A."},{"family":"Steele","given":"J."},{"family":"Hornby","given":"G."},{"family":"Ruktanonchai","given":"C."},{"family":"Ruktanonchai","given":"N."},{"family":"Wetter","given":"E."},{"family":"Tatem","given":"A. J."}],"issued":{"date-parts":[["2017",4,30]]}}}],"schema":"https://github.com/citation-style-language/schema/raw/master/csl-citation.json"}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[1,5]</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w:t>
      </w:r>
      <w:bookmarkStart w:id="2" w:name="_Hlk117173104"/>
    </w:p>
    <w:p w14:paraId="7FFED976" w14:textId="7C91F9E6" w:rsidR="00EF51D9" w:rsidRPr="00D8616D" w:rsidRDefault="00EF51D9" w:rsidP="00576270">
      <w:pPr>
        <w:pStyle w:val="Heading2"/>
      </w:pPr>
      <w:r w:rsidRPr="00D8616D">
        <w:t xml:space="preserve">Stunting in children </w:t>
      </w:r>
      <w:r w:rsidRPr="00D8616D">
        <w:tab/>
      </w:r>
    </w:p>
    <w:p w14:paraId="6EE98929" w14:textId="77777777" w:rsidR="00EF51D9" w:rsidRPr="00D8616D" w:rsidRDefault="00EF51D9" w:rsidP="00EF51D9">
      <w:pPr>
        <w:jc w:val="both"/>
        <w:rPr>
          <w:rFonts w:ascii="Times New Roman" w:eastAsia="Times New Roman" w:hAnsi="Times New Roman" w:cs="Times New Roman"/>
          <w:sz w:val="24"/>
          <w:szCs w:val="24"/>
        </w:rPr>
      </w:pPr>
      <w:r w:rsidRPr="00D8616D">
        <w:rPr>
          <w:rFonts w:ascii="Times New Roman" w:eastAsia="Times New Roman" w:hAnsi="Times New Roman" w:cs="Times New Roman"/>
          <w:sz w:val="24"/>
          <w:szCs w:val="24"/>
        </w:rPr>
        <w:t>Stunting is a measure of chronic (</w:t>
      </w:r>
      <w:proofErr w:type="spellStart"/>
      <w:r w:rsidRPr="00D8616D">
        <w:rPr>
          <w:rFonts w:ascii="Times New Roman" w:eastAsia="Times New Roman" w:hAnsi="Times New Roman" w:cs="Times New Roman"/>
          <w:sz w:val="24"/>
          <w:szCs w:val="24"/>
        </w:rPr>
        <w:t>ie</w:t>
      </w:r>
      <w:proofErr w:type="spellEnd"/>
      <w:r w:rsidRPr="00D8616D">
        <w:rPr>
          <w:rFonts w:ascii="Times New Roman" w:eastAsia="Times New Roman" w:hAnsi="Times New Roman" w:cs="Times New Roman"/>
          <w:sz w:val="24"/>
          <w:szCs w:val="24"/>
        </w:rPr>
        <w:t xml:space="preserve">. repeated) nutritional deficiency. For children, it is measured based on the children height for a specific age and sex. This indicator is defined as the proportion of children under 5 years old that are moderately or severely stunted, </w:t>
      </w:r>
      <w:proofErr w:type="spellStart"/>
      <w:r w:rsidRPr="00D8616D">
        <w:rPr>
          <w:rFonts w:ascii="Times New Roman" w:eastAsia="Times New Roman" w:hAnsi="Times New Roman" w:cs="Times New Roman"/>
          <w:sz w:val="24"/>
          <w:szCs w:val="24"/>
        </w:rPr>
        <w:t>ie</w:t>
      </w:r>
      <w:proofErr w:type="spellEnd"/>
      <w:r w:rsidRPr="00D8616D">
        <w:rPr>
          <w:rFonts w:ascii="Times New Roman" w:eastAsia="Times New Roman" w:hAnsi="Times New Roman" w:cs="Times New Roman"/>
          <w:sz w:val="24"/>
          <w:szCs w:val="24"/>
        </w:rPr>
        <w:t xml:space="preserve">. children whose height-for-age is below 2 standard deviations from the median defined by the Child Growth Standards of the World Health Organisation (WHO)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{"citationID":"QF407cqm","properties":{"formattedCitation":"[1,2,5]","plainCitation":"[1,2,5]","noteIndex":0},"citationItems":[{"id":796,"uris":["http://zotero.org/users/10170906/items/JC6JBPEU"],"itemData":{"id":796,"type":"report","collection-title":"DHS Spatial Analysis Reports No. 11","event-place":"Rockville, Maryland, USA","publisher":"ICF International","publisher-place":"Rockville, Maryland, USA","title":"Creating Spatial Interpolation Surfaces with DHS Data","author":[{"family":"Gething","given":"Peter"},{"family":"Tatem","given":"Andy"},{"family":"Bird","given":"Tom","suffix":""},{"family":"Burgert-Brucker","given":"Clara R.","suffix":""}],"issued":{"date-parts":[["2015"]]}}},{"id":206,"uris":["http://zotero.org/users/10170906/items/J3PAFND6"],"itemData":{"id":206,"type":"report","event-place":"Rockville, Maryland, USA","publisher":"ICF International","publisher-place":"Rockville, Maryland, USA","title":"Guide to DHS Statistics 7","author":[{"family":"Croft","given":"Trevor N."},{"family":"Marshall","given":"Aileen M. J."},{"family":"Allen","given":"Courtney K."}],"issued":{"date-parts":[["2018"]]}}},{"id":598,"uris":["http://zotero.org/users/10170906/items/MGUUVNZZ"],"itemData":{"id":598,"type":"article-journal","abstract":"Improved understanding of geographical variation and inequity in health status, wealth and access to resources within countries is increasingly being recognized as central to meeting development goals. Development and health indicators assessed at national or subnational scale can often conceal important inequities, with the rural poor often least well represented. The ability to target limited resources is fundamental, especially in an international context where funding for health and development comes under pressure. This has recently prompted the exploration of the potential of spatial interpolation methods based on geolocated clusters from national household survey data for the high-resolution mapping of features such as population age structures, vaccination coverage and access to sanitation. It remains unclear, however, how predictable these different factors are across different settings, variables and between demographic groups. Here we test the accuracy of spatial interpolation methods in producing gender-disaggregated high-resolution maps of the rates of literacy, stunting and the use of modern contraceptive methods from a combination of geolocated demographic and health surveys cluster data and geospatial covariates. Bayesian geostatistical and machine learning modelling methods were tested across four low-income countries and varying gridded environmental and socio-economic covariate datasets to build 1×1 km spatial resolution maps with uncertainty estimates. Results show the potential of the approach in producing high-resolution maps of key gender-disaggregated socio-economic indicators, with explained variance through cross-validation being as high as 74–75% for female literacy in Nigeria and Kenya, and in the 50–70% range for many other variables. However, substantial variations by both country and variable were seen, with many variables showing poor mapping accuracies in the range of 2–30% explained variance using both geostatistical and machine learning approaches. The analyses offer a robust basis for the construction of timely maps with levels of detail that support geographically stratified decision-making and the monitoring of progress towards development goals. However, the great variability in results between countries and variables highlights the challenges in applying these interpolation methods universally across multiple countries, and the importance of validation and quantifying uncertainty if this is undertaken.","container-title":"Journal of The Royal Society Interface","DOI":"10.1098/rsif.2016.0825","issue":"129","journalAbbreviation":"J. R. Soc. Interface","note":"publisher: Royal Society","page":"20160825","source":"royalsocietypublishing.org (Atypon)","title":"Exploring the high-resolution mapping of gender-disaggregated development indicators","volume":"14","author":[{"family":"Bosco","given":"C."},{"family":"Alegana","given":"V."},{"family":"Bird","given":"T."},{"family":"Pezzulo","given":"C."},{"family":"Bengtsson","given":"L."},{"family":"Sorichetta","given":"A."},{"family":"Steele","given":"J."},{"family":"Hornby","given":"G."},{"family":"Ruktanonchai","given":"C."},{"family":"Ruktanonchai","given":"N."},{"family":"Wetter","given":"E."},{"family":"Tatem","given":"A. J."}],"issued":{"date-parts":[["2017",4,30]]}}}],"schema":"https://github.com/citation-style-language/schema/raw/master/csl-citation.json"}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[1,2,5]</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w:t>
      </w:r>
    </w:p>
    <w:p w14:paraId="103FEF7F" w14:textId="006825C6" w:rsidR="00EF51D9" w:rsidRPr="00D8616D" w:rsidRDefault="00EF51D9" w:rsidP="00576270">
      <w:pPr>
        <w:pStyle w:val="Heading2"/>
      </w:pPr>
      <w:r w:rsidRPr="00D8616D">
        <w:t xml:space="preserve">Insecticide-treated </w:t>
      </w:r>
      <w:r w:rsidR="00EF64CD">
        <w:t>n</w:t>
      </w:r>
      <w:r w:rsidRPr="00D8616D">
        <w:t xml:space="preserve">ets coverage </w:t>
      </w:r>
    </w:p>
    <w:p w14:paraId="7FD38984" w14:textId="6F658866" w:rsidR="00EF51D9" w:rsidRPr="00D8616D" w:rsidRDefault="00D4690E" w:rsidP="00EF51D9">
      <w:pPr>
        <w:jc w:val="both"/>
        <w:rPr>
          <w:rFonts w:ascii="Times New Roman" w:eastAsia="Times New Roman" w:hAnsi="Times New Roman" w:cs="Times New Roman"/>
          <w:sz w:val="24"/>
          <w:szCs w:val="24"/>
        </w:rPr>
      </w:pPr>
      <w:r w:rsidRPr="000812C0">
        <w:rPr>
          <w:rFonts w:ascii="Times New Roman" w:eastAsia="Times New Roman" w:hAnsi="Times New Roman" w:cs="Times New Roman"/>
          <w:sz w:val="24"/>
          <w:szCs w:val="24"/>
        </w:rPr>
        <w:t xml:space="preserve">Insecticide-treated </w:t>
      </w:r>
      <w:r w:rsidR="00EF64CD">
        <w:rPr>
          <w:rFonts w:ascii="Times New Roman" w:eastAsia="Times New Roman" w:hAnsi="Times New Roman" w:cs="Times New Roman"/>
          <w:sz w:val="24"/>
          <w:szCs w:val="24"/>
        </w:rPr>
        <w:t>n</w:t>
      </w:r>
      <w:r w:rsidRPr="000812C0">
        <w:rPr>
          <w:rFonts w:ascii="Times New Roman" w:eastAsia="Times New Roman" w:hAnsi="Times New Roman" w:cs="Times New Roman"/>
          <w:sz w:val="24"/>
          <w:szCs w:val="24"/>
        </w:rPr>
        <w:t xml:space="preserve">ets (ITN) </w:t>
      </w:r>
      <w:r w:rsidRPr="000812C0">
        <w:rPr>
          <w:rFonts w:ascii="Times New Roman" w:hAnsi="Times New Roman" w:cs="Times New Roman"/>
          <w:sz w:val="24"/>
          <w:szCs w:val="24"/>
          <w:lang w:val="en-US"/>
        </w:rPr>
        <w:t xml:space="preserve">include all types of mosquito nets, including those that need to be treated/retreated and those that are factory treated with an efficacy of about three years (known as long-lasting insecticidal nets (LLIN)), which are the most recommended </w:t>
      </w:r>
      <w:r w:rsidRPr="000812C0">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ZOTERO_ITEM CSL_CITATION {"citationID":"CaGu7z6F","properties":{"formattedCitation":"[7]","plainCitation":"[7]","noteIndex":0},"citationItems":[{"id":4534,"uris":["http://zotero.org/users/10170906/items/UL94SHQF"],"itemData":{"id":4534,"type":"report","event-place":"Geneva","language":"en","note":"https://doi.org/10.2471/B09146","publisher":"World Health Organization","publisher-place":"Geneva","source":"DOI.org (Crossref)","title":"WHO guidelines for malaria, 30 November 2024","URL":"https://doi.org/10.2471/B09146","author":[{"literal":"World Health Organization"}],"issued":{"date-parts":[["2024",11,29]]}}}],"schema":"https://github.com/citation-style-language/schema/raw/master/csl-citation.json"} </w:instrText>
      </w:r>
      <w:r w:rsidRPr="000812C0">
        <w:rPr>
          <w:rFonts w:ascii="Times New Roman" w:hAnsi="Times New Roman" w:cs="Times New Roman"/>
          <w:color w:val="000000" w:themeColor="text1"/>
          <w:sz w:val="24"/>
          <w:szCs w:val="24"/>
        </w:rPr>
        <w:fldChar w:fldCharType="separate"/>
      </w:r>
      <w:r w:rsidRPr="000812C0">
        <w:rPr>
          <w:rFonts w:ascii="Times New Roman" w:hAnsi="Times New Roman" w:cs="Times New Roman"/>
          <w:sz w:val="24"/>
        </w:rPr>
        <w:t>[7]</w:t>
      </w:r>
      <w:r w:rsidRPr="000812C0">
        <w:rPr>
          <w:rFonts w:ascii="Times New Roman" w:hAnsi="Times New Roman" w:cs="Times New Roman"/>
          <w:color w:val="000000" w:themeColor="text1"/>
          <w:sz w:val="24"/>
          <w:szCs w:val="24"/>
        </w:rPr>
        <w:fldChar w:fldCharType="end"/>
      </w:r>
      <w:r w:rsidRPr="000812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Here </w:t>
      </w:r>
      <w:r w:rsidRPr="0028528F">
        <w:rPr>
          <w:rFonts w:ascii="Times New Roman" w:eastAsia="Times New Roman" w:hAnsi="Times New Roman" w:cs="Times New Roman"/>
          <w:sz w:val="24"/>
          <w:szCs w:val="24"/>
        </w:rPr>
        <w:t>we use ITN to refer to LLIN only</w:t>
      </w:r>
      <w:r>
        <w:rPr>
          <w:rFonts w:ascii="Times New Roman" w:eastAsia="Times New Roman" w:hAnsi="Times New Roman" w:cs="Times New Roman"/>
          <w:sz w:val="24"/>
          <w:szCs w:val="24"/>
        </w:rPr>
        <w:t xml:space="preserve">. </w:t>
      </w:r>
      <w:r w:rsidR="00EF51D9" w:rsidRPr="00D8616D">
        <w:rPr>
          <w:rFonts w:ascii="Times New Roman" w:eastAsia="Times New Roman" w:hAnsi="Times New Roman" w:cs="Times New Roman"/>
          <w:sz w:val="24"/>
          <w:szCs w:val="24"/>
        </w:rPr>
        <w:t xml:space="preserve">In this study, we used the following indicators of ITN coverage, as recommended by the Roll Back Malaria </w:t>
      </w:r>
      <w:r w:rsidR="00EF51D9" w:rsidRPr="00D8616D">
        <w:rPr>
          <w:rFonts w:ascii="Times New Roman" w:eastAsia="Times New Roman" w:hAnsi="Times New Roman" w:cs="Times New Roman"/>
          <w:sz w:val="24"/>
          <w:szCs w:val="24"/>
        </w:rPr>
        <w:fldChar w:fldCharType="begin"/>
      </w:r>
      <w:r w:rsidR="00EF51D9">
        <w:rPr>
          <w:rFonts w:ascii="Times New Roman" w:eastAsia="Times New Roman" w:hAnsi="Times New Roman" w:cs="Times New Roman"/>
          <w:sz w:val="24"/>
          <w:szCs w:val="24"/>
        </w:rPr>
        <w:instrText xml:space="preserve"> ADDIN ZOTERO_ITEM CSL_CITATION {"citationID":"eDbYjwOJ","properties":{"formattedCitation":"[6]","plainCitation":"[6]","noteIndex":0},"citationItems":[{"id":989,"uris":["http://zotero.org/users/10170906/items/YPU7PQ8Z"],"itemData":{"id":989,"type":"report","title":"Household Survey Indicators for Malaria Control","author":[{"family":"MEASURE Evaluation,","given":""},{"family":"The Demographic and Health Surveys Program,","given":""},{"family":"President’s Malaria Initiative,","given":""},{"family":"Roll Back Malaria Partnership,","given":""},{"literal":"United Nations Children’s Fund"},{"family":"World Health Organization,","given":""}],"accessed":{"date-parts":[["2022",10,20]]},"issued":{"date-parts":[["2018"]]}}}],"schema":"https://github.com/citation-style-language/schema/raw/master/csl-citation.json"} </w:instrText>
      </w:r>
      <w:r w:rsidR="00EF51D9" w:rsidRPr="00D8616D">
        <w:rPr>
          <w:rFonts w:ascii="Times New Roman" w:eastAsia="Times New Roman" w:hAnsi="Times New Roman" w:cs="Times New Roman"/>
          <w:sz w:val="24"/>
          <w:szCs w:val="24"/>
        </w:rPr>
        <w:fldChar w:fldCharType="separate"/>
      </w:r>
      <w:r w:rsidR="00EF51D9" w:rsidRPr="00846FC6">
        <w:rPr>
          <w:rFonts w:ascii="Times New Roman" w:hAnsi="Times New Roman" w:cs="Times New Roman"/>
          <w:sz w:val="24"/>
        </w:rPr>
        <w:t>[6]</w:t>
      </w:r>
      <w:r w:rsidR="00EF51D9" w:rsidRPr="00D8616D">
        <w:rPr>
          <w:rFonts w:ascii="Times New Roman" w:eastAsia="Times New Roman" w:hAnsi="Times New Roman" w:cs="Times New Roman"/>
          <w:sz w:val="24"/>
          <w:szCs w:val="24"/>
        </w:rPr>
        <w:fldChar w:fldCharType="end"/>
      </w:r>
      <w:r w:rsidR="00EF51D9" w:rsidRPr="00D8616D">
        <w:rPr>
          <w:rFonts w:ascii="Times New Roman" w:eastAsia="Times New Roman" w:hAnsi="Times New Roman" w:cs="Times New Roman"/>
          <w:sz w:val="24"/>
          <w:szCs w:val="24"/>
        </w:rPr>
        <w:t xml:space="preserve"> and following previous work </w:t>
      </w:r>
      <w:r w:rsidR="00EF51D9" w:rsidRPr="00D8616D">
        <w:rPr>
          <w:rFonts w:ascii="Times New Roman" w:eastAsia="Times New Roman" w:hAnsi="Times New Roman" w:cs="Times New Roman"/>
          <w:sz w:val="24"/>
          <w:szCs w:val="24"/>
        </w:rPr>
        <w:fldChar w:fldCharType="begin"/>
      </w:r>
      <w:r w:rsidR="00EF51D9">
        <w:rPr>
          <w:rFonts w:ascii="Times New Roman" w:eastAsia="Times New Roman" w:hAnsi="Times New Roman" w:cs="Times New Roman"/>
          <w:sz w:val="24"/>
          <w:szCs w:val="24"/>
        </w:rPr>
        <w:instrText xml:space="preserve"> ADDIN ZOTERO_ITEM CSL_CITATION {"citationID":"2lVS9Nhz","properties":{"formattedCitation":"[7,8]","plainCitation":"[7,8]","noteIndex":0},"citationItems":[{"id":567,"uris":["http://zotero.org/users/10170906/items/GIFKPWJ9"],"itemData":{"id":567,"type":"article-journal","abstract":"In 2010, the National Malaria Control Programme with the support of Roll Back Malaria partners implemented a nationally representative Malaria Indicator Survey (MIS), which assembled malaria burden and control intervention related data. The MIS data were analysed to produce a contemporary smooth map of malaria risk and evaluate the control interventions effects on parasitaemia risk after controlling for environmental/climatic, demographic and socioeconomic characteristics.","container-title":"Malaria Journal","DOI":"10.1186/s12936-015-0683-6","ISSN":"1475-2875","issue":"1","journalAbbreviation":"Malar J","page":"156","source":"BioMed Central","title":"Malaria risk in Nigeria: Bayesian geostatistical modelling of 2010 malaria indicator survey data","title-short":"Malaria risk in Nigeria","volume":"14","author":[{"family":"Adigun","given":"Abbas B."},{"family":"Gajere","given":"Efron N."},{"family":"Oresanya","given":"Olusola"},{"family":"Vounatsou","given":"Penelope"}],"issued":{"date-parts":[["2015",4,14]]}}},{"id":303,"uris":["http://zotero.org/users/10170906/items/KB5VNLH2"],"itemData":{"id":303,"type":"article-journal","abstract":"Background Malaria burden in Uganda has declined disproportionately among regions despite overall high intervention coverage across all regions. The Uganda Malaria Indicator Survey (MIS) 2014–15 was the second nationally representative survey conducted to provide estimates of malaria prevalence among children less than 5 years, and to track the progress of control interventions in the country. In this present study, 2014–15 MIS data were analysed to assess intervention effects on malaria prevalence in Uganda among children less than 5 years, assess intervention effects at regional level, and estimate geographical distribution of malaria prevalence in the country. Methods Bayesian geostatistical models with spatially varying coefficients were used to determine the effect of interventions on malaria prevalence at national and regional levels. Spike-and-slab variable selection was used to identify the most important predictors and forms. Bayesian kriging was used to predict malaria prevalence at unsampled locations. Results Indoor Residual Spraying (IRS) and Insecticide Treated Nets (ITN) ownership had a significant but varying protective effect on malaria prevalence. However, no effect was observed for Artemisinin Combination-based Therapies (ACTs). Environmental factors, namely, land cover, rainfall, day and night land surface temperature, and area type were significantly associated with malaria prevalence. Malaria prevalence was higher in rural areas, increased with the child’s age, and decreased with higher household socioeconomic status and higher level of mother’s education. The highest prevalence of malaria in children less than 5 years was predicted for regions of East Central, North East and West Nile, whereas the lowest was predicted in Kampala and South Western regions, and in the mountainous areas in Mid-Western and Mid-Eastern regions. Conclusions IRS and ITN ownership are important interventions against malaria prevalence in children less than 5 years in Uganda. The varying effects of the interventions calls for selective implementation of control tools suitable to regional ecological settings. To further reduce malaria burden and sustain malaria control in Uganda, current tools should be supplemented by health system strengthening, and socio-economic development.","container-title":"PLOS ONE","DOI":"10.1371/journal.pone.0174948","ISSN":"1932-6203","issue":"4","journalAbbreviation":"PLOS ONE","language":"en","note":"publisher: Public Library of Science","page":"e0174948","source":"PLoS Journals","title":"Geostatistical modelling of malaria indicator survey data to assess the effects of interventions on the geographical distribution of malaria prevalence in children less than 5 years in Uganda","volume":"12","author":[{"family":"Ssempiira","given":"Julius"},{"family":"Nambuusi","given":"Betty"},{"family":"Kissa","given":"John"},{"family":"Agaba","given":"Bosco"},{"family":"Makumbi","given":"Fredrick"},{"family":"Kasasa","given":"Simon"},{"family":"Vounatsou","given":"Penelope"}],"issued":{"date-parts":[["2017",4,4]]}}}],"schema":"https://github.com/citation-style-language/schema/raw/master/csl-citation.json"} </w:instrText>
      </w:r>
      <w:r w:rsidR="00EF51D9" w:rsidRPr="00D8616D">
        <w:rPr>
          <w:rFonts w:ascii="Times New Roman" w:eastAsia="Times New Roman" w:hAnsi="Times New Roman" w:cs="Times New Roman"/>
          <w:sz w:val="24"/>
          <w:szCs w:val="24"/>
        </w:rPr>
        <w:fldChar w:fldCharType="separate"/>
      </w:r>
      <w:r w:rsidR="00EF51D9" w:rsidRPr="00846FC6">
        <w:rPr>
          <w:rFonts w:ascii="Times New Roman" w:hAnsi="Times New Roman" w:cs="Times New Roman"/>
          <w:sz w:val="24"/>
        </w:rPr>
        <w:t>[7,8]</w:t>
      </w:r>
      <w:r w:rsidR="00EF51D9" w:rsidRPr="00D8616D">
        <w:rPr>
          <w:rFonts w:ascii="Times New Roman" w:eastAsia="Times New Roman" w:hAnsi="Times New Roman" w:cs="Times New Roman"/>
          <w:sz w:val="24"/>
          <w:szCs w:val="24"/>
        </w:rPr>
        <w:fldChar w:fldCharType="end"/>
      </w:r>
      <w:r w:rsidR="00EF51D9" w:rsidRPr="00D8616D">
        <w:rPr>
          <w:rFonts w:ascii="Times New Roman" w:eastAsia="Times New Roman" w:hAnsi="Times New Roman" w:cs="Times New Roman"/>
          <w:sz w:val="24"/>
          <w:szCs w:val="24"/>
        </w:rPr>
        <w:t xml:space="preserve">: (1) </w:t>
      </w:r>
      <w:bookmarkEnd w:id="2"/>
      <w:r w:rsidR="00EF51D9" w:rsidRPr="00D8616D">
        <w:rPr>
          <w:rFonts w:ascii="Times New Roman" w:eastAsia="Times New Roman" w:hAnsi="Times New Roman" w:cs="Times New Roman"/>
          <w:sz w:val="24"/>
          <w:szCs w:val="24"/>
        </w:rPr>
        <w:t>the proportion of households with at least one ITN, (2) the proportion of households with at least one ITN for every two people that slept at the house the night before the survey, and (3) the proportion of population with access to an ITN in their household (i.e. proportion of household population who slept under an ITN if each ITN in the household were used by up to two people).</w:t>
      </w:r>
    </w:p>
    <w:p w14:paraId="714F7780" w14:textId="06354AA9" w:rsidR="00EF51D9" w:rsidRPr="00D8616D" w:rsidRDefault="00EF51D9" w:rsidP="00576270">
      <w:pPr>
        <w:pStyle w:val="Heading2"/>
      </w:pPr>
      <w:r w:rsidRPr="00D8616D">
        <w:t xml:space="preserve">Indoor residual spraying coverage </w:t>
      </w:r>
    </w:p>
    <w:p w14:paraId="10A84EBB" w14:textId="77777777" w:rsidR="00EF51D9" w:rsidRPr="00D8616D" w:rsidRDefault="00EF51D9" w:rsidP="00EF51D9">
      <w:pPr>
        <w:jc w:val="both"/>
        <w:rPr>
          <w:rFonts w:ascii="Times New Roman" w:eastAsia="Times New Roman" w:hAnsi="Times New Roman" w:cs="Times New Roman"/>
          <w:sz w:val="24"/>
          <w:szCs w:val="24"/>
        </w:rPr>
      </w:pPr>
      <w:r w:rsidRPr="00D8616D">
        <w:rPr>
          <w:rFonts w:ascii="Times New Roman" w:eastAsia="Times New Roman" w:hAnsi="Times New Roman" w:cs="Times New Roman"/>
          <w:sz w:val="24"/>
          <w:szCs w:val="24"/>
        </w:rPr>
        <w:t xml:space="preserve">Following the Roll Back Malaria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{"citationID":"hXwMLel6","properties":{"formattedCitation":"[6]","plainCitation":"[6]","noteIndex":0},"citationItems":[{"id":989,"uris":["http://zotero.org/users/10170906/items/YPU7PQ8Z"],"itemData":{"id":989,"type":"report","title":"Household Survey Indicators for Malaria Control","author":[{"family":"MEASURE Evaluation,","given":""},{"family":"The Demographic and Health Surveys Program,","given":""},{"family":"President’s Malaria Initiative,","given":""},{"family":"Roll Back Malaria Partnership,","given":""},{"literal":"United Nations Children’s Fund"},{"family":"World Health Organization,","given":""}],"accessed":{"date-parts":[["2022",10,20]]},"issued":{"date-parts":[["2018"]]}}}],"schema":"https://github.com/citation-style-language/schema/raw/master/csl-citation.json"}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[6]</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and previous work </w:t>
      </w:r>
      <w:r w:rsidRPr="00D8616D">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{"citationID":"QyHekvfu","properties":{"formattedCitation":"[9,10]","plainCitation":"[9,10]","noteIndex":0},"citationItems":[{"id":564,"uris":["http://zotero.org/users/10170906/items/WUU5YSTY"],"itemData":{"id":564,"type":"article-journal","abstract":"The Zambia Malaria Indicator Survey (ZMIS) of 2006 was the first nation-wide malaria survey, which combined parasitological data with other malaria indicators such as net use, indoor residual spraying and household related aspects. The survey was carried out by the Zambian Ministry of Health and partners with the objective of estimating the coverage of interventions and malaria related burden in children less than five years. In this study, the ZMIS data were analysed in order (i) to estimate an empirical high-resolution parasitological risk map in the country and (ii) to assess the relation between malaria interventions and parasitaemia risk after adjusting for environmental and socio-economic confounders.","container-title":"Malaria Journal","DOI":"10.1186/1475-2875-9-37","ISSN":"1475-2875","issue":"1","journalAbbreviation":"Malar J","page":"37","source":"BioMed Central","title":"Geographical patterns and predictors of malaria risk in Zambia: Bayesian geostatistical modelling of the 2006 Zambia national malaria indicator survey (ZMIS)","title-short":"Geographical patterns and predictors of malaria risk in Zambia","volume":"9","author":[{"family":"Riedel","given":"Nadine"},{"family":"Vounatsou","given":"Penelope"},{"family":"Miller","given":"John M."},{"family":"Gosoniu","given":"Laura"},{"family":"Chizema-Kawesha","given":"Elizabeth"},{"family":"Mukonka","given":"Victor"},{"family":"Steketee","given":"Rick W."}],"issued":{"date-parts":[["2010",2,1]]}}},{"id":279,"uris":["http://zotero.org/users/10170906/items/EIRJF3EP"],"itemData":{"id":279,"type":"article-journal","container-title":"The Lancet Global Health","DOI":"10.1016/S2214-109X(14)70300-6","ISSN":"2214-109X","issue":"10","journalAbbreviation":"The Lancet Global Health","language":"English","note":"publisher: Elsevier\nPMID: 25304636","page":"e601-e615","source":"www.thelancet.com","title":"Effects of vector-control interventions on changes in risk of malaria parasitaemia in sub-Saharan Africa: a spatial and temporal analysis","title-short":"Effects of vector-control interventions on changes in risk of malaria parasitaemia in sub-Saharan Africa","volume":"2","author":[{"family":"Giardina","given":"Federica"},{"family":"Kasasa","given":"Simon"},{"family":"Sié","given":"Ali"},{"family":"Utzinger","given":"Jürg"},{"family":"Tanner","given":"Marcel"},{"family":"Vounatsou","given":"Penelope"}],"issued":{"date-parts":[["2014",10,1]]}}}],"schema":"https://github.com/citation-style-language/schema/raw/master/csl-citation.json"} </w:instrText>
      </w:r>
      <w:r w:rsidRPr="00D8616D">
        <w:rPr>
          <w:rFonts w:ascii="Times New Roman" w:eastAsia="Times New Roman" w:hAnsi="Times New Roman" w:cs="Times New Roman"/>
          <w:sz w:val="24"/>
          <w:szCs w:val="24"/>
        </w:rPr>
        <w:fldChar w:fldCharType="separate"/>
      </w:r>
      <w:r w:rsidRPr="00846FC6">
        <w:rPr>
          <w:rFonts w:ascii="Times New Roman" w:hAnsi="Times New Roman" w:cs="Times New Roman"/>
          <w:sz w:val="24"/>
        </w:rPr>
        <w:t>[9,10]</w:t>
      </w:r>
      <w:r w:rsidRPr="00D8616D">
        <w:rPr>
          <w:rFonts w:ascii="Times New Roman" w:eastAsia="Times New Roman" w:hAnsi="Times New Roman" w:cs="Times New Roman"/>
          <w:sz w:val="24"/>
          <w:szCs w:val="24"/>
        </w:rPr>
        <w:fldChar w:fldCharType="end"/>
      </w:r>
      <w:r w:rsidRPr="00D8616D">
        <w:rPr>
          <w:rFonts w:ascii="Times New Roman" w:eastAsia="Times New Roman" w:hAnsi="Times New Roman" w:cs="Times New Roman"/>
          <w:sz w:val="24"/>
          <w:szCs w:val="24"/>
        </w:rPr>
        <w:t xml:space="preserve">, we computed the proportion of households that were sprayed with a residual insecticide in the last 12 months prior to the survey. </w:t>
      </w:r>
    </w:p>
    <w:p w14:paraId="23E11EB2" w14:textId="34AA2A89" w:rsidR="00EF51D9" w:rsidRPr="00D8616D" w:rsidRDefault="00EF51D9" w:rsidP="00576270">
      <w:pPr>
        <w:pStyle w:val="Heading2"/>
      </w:pPr>
      <w:r w:rsidRPr="00D8616D">
        <w:rPr>
          <w:lang w:val="en-US"/>
        </w:rPr>
        <w:t xml:space="preserve">Use of </w:t>
      </w:r>
      <w:r w:rsidR="00C21B2E">
        <w:rPr>
          <w:lang w:val="en-US"/>
        </w:rPr>
        <w:t>i</w:t>
      </w:r>
      <w:r w:rsidRPr="00D8616D">
        <w:rPr>
          <w:lang w:val="en-US"/>
        </w:rPr>
        <w:t xml:space="preserve">ntermittent </w:t>
      </w:r>
      <w:r w:rsidR="00C21B2E">
        <w:rPr>
          <w:lang w:val="en-US"/>
        </w:rPr>
        <w:t>p</w:t>
      </w:r>
      <w:r w:rsidRPr="00D8616D">
        <w:rPr>
          <w:lang w:val="en-US"/>
        </w:rPr>
        <w:t xml:space="preserve">reventive </w:t>
      </w:r>
      <w:r w:rsidR="00C21B2E">
        <w:rPr>
          <w:lang w:val="en-US"/>
        </w:rPr>
        <w:t>t</w:t>
      </w:r>
      <w:r w:rsidRPr="00D8616D">
        <w:rPr>
          <w:lang w:val="en-US"/>
        </w:rPr>
        <w:t xml:space="preserve">reatment </w:t>
      </w:r>
    </w:p>
    <w:p w14:paraId="0E636670" w14:textId="77777777" w:rsidR="00EF51D9" w:rsidRPr="00D8616D" w:rsidRDefault="00EF51D9" w:rsidP="00EF51D9">
      <w:pPr>
        <w:jc w:val="both"/>
        <w:rPr>
          <w:rFonts w:ascii="Times New Roman" w:hAnsi="Times New Roman" w:cs="Times New Roman"/>
          <w:sz w:val="24"/>
          <w:szCs w:val="24"/>
          <w:lang w:val="en-US"/>
        </w:rPr>
      </w:pPr>
      <w:r w:rsidRPr="00D8616D">
        <w:rPr>
          <w:rFonts w:ascii="Times New Roman" w:hAnsi="Times New Roman" w:cs="Times New Roman"/>
          <w:sz w:val="24"/>
          <w:szCs w:val="24"/>
          <w:lang w:val="en-US"/>
        </w:rPr>
        <w:t>This indicator is defined as the proportion of women aged 15 to 49 with a live birth in the 2 years preceding the survey who, during the pregnancy that resulted in the last live birth, received one or more doses of SP/</w:t>
      </w:r>
      <w:proofErr w:type="spellStart"/>
      <w:r w:rsidRPr="00D8616D">
        <w:rPr>
          <w:rFonts w:ascii="Times New Roman" w:hAnsi="Times New Roman" w:cs="Times New Roman"/>
          <w:sz w:val="24"/>
          <w:szCs w:val="24"/>
          <w:lang w:val="en-US"/>
        </w:rPr>
        <w:t>Fansidar</w:t>
      </w:r>
      <w:proofErr w:type="spellEnd"/>
      <w:r w:rsidRPr="00D8616D">
        <w:rPr>
          <w:rFonts w:ascii="Times New Roman" w:hAnsi="Times New Roman" w:cs="Times New Roman"/>
          <w:sz w:val="24"/>
          <w:szCs w:val="24"/>
          <w:lang w:val="en-US"/>
        </w:rPr>
        <w:t>.</w:t>
      </w:r>
    </w:p>
    <w:p w14:paraId="165D8D03" w14:textId="6C6F8358" w:rsidR="00EF51D9" w:rsidRPr="00D8616D" w:rsidRDefault="00EF51D9" w:rsidP="00576270">
      <w:pPr>
        <w:pStyle w:val="Heading1"/>
        <w:rPr>
          <w:rFonts w:eastAsia="Calibri"/>
        </w:rPr>
      </w:pPr>
      <w:r w:rsidRPr="00D8616D">
        <w:lastRenderedPageBreak/>
        <w:t>E</w:t>
      </w:r>
      <w:r w:rsidRPr="00D8616D">
        <w:rPr>
          <w:rFonts w:eastAsia="Calibri"/>
        </w:rPr>
        <w:t>nvironmental and socio-demographic gridded covariates</w:t>
      </w:r>
    </w:p>
    <w:p w14:paraId="1DF77A05" w14:textId="7F2E961E" w:rsidR="00EF51D9" w:rsidRPr="00D8616D" w:rsidRDefault="00EF51D9" w:rsidP="00EF51D9">
      <w:pPr>
        <w:pStyle w:val="Caption"/>
        <w:keepNext/>
        <w:rPr>
          <w:rFonts w:ascii="Times New Roman" w:hAnsi="Times New Roman" w:cs="Times New Roman"/>
          <w:b/>
          <w:bCs/>
          <w:i w:val="0"/>
          <w:iCs w:val="0"/>
          <w:color w:val="auto"/>
          <w:sz w:val="22"/>
          <w:szCs w:val="22"/>
        </w:rPr>
      </w:pPr>
      <w:r w:rsidRPr="00D8616D">
        <w:rPr>
          <w:rFonts w:ascii="Times New Roman" w:hAnsi="Times New Roman" w:cs="Times New Roman"/>
          <w:b/>
          <w:bCs/>
          <w:i w:val="0"/>
          <w:iCs w:val="0"/>
          <w:color w:val="auto"/>
          <w:sz w:val="22"/>
          <w:szCs w:val="22"/>
        </w:rPr>
        <w:t xml:space="preserve">Table </w:t>
      </w:r>
      <w:r w:rsidR="00C47C93">
        <w:rPr>
          <w:rFonts w:ascii="Times New Roman" w:hAnsi="Times New Roman" w:cs="Times New Roman"/>
          <w:b/>
          <w:bCs/>
          <w:i w:val="0"/>
          <w:iCs w:val="0"/>
          <w:color w:val="auto"/>
          <w:sz w:val="22"/>
          <w:szCs w:val="22"/>
        </w:rPr>
        <w:t>S</w:t>
      </w:r>
      <w:r w:rsidRPr="00D8616D">
        <w:rPr>
          <w:rFonts w:ascii="Times New Roman" w:hAnsi="Times New Roman" w:cs="Times New Roman"/>
          <w:b/>
          <w:bCs/>
          <w:i w:val="0"/>
          <w:iCs w:val="0"/>
          <w:color w:val="auto"/>
          <w:sz w:val="22"/>
          <w:szCs w:val="22"/>
        </w:rPr>
        <w:fldChar w:fldCharType="begin"/>
      </w:r>
      <w:r w:rsidRPr="00D8616D">
        <w:rPr>
          <w:rFonts w:ascii="Times New Roman" w:hAnsi="Times New Roman" w:cs="Times New Roman"/>
          <w:b/>
          <w:bCs/>
          <w:i w:val="0"/>
          <w:iCs w:val="0"/>
          <w:color w:val="auto"/>
          <w:sz w:val="22"/>
          <w:szCs w:val="22"/>
        </w:rPr>
        <w:instrText xml:space="preserve"> SEQ Table \* ARABIC </w:instrText>
      </w:r>
      <w:r w:rsidRPr="00D8616D">
        <w:rPr>
          <w:rFonts w:ascii="Times New Roman" w:hAnsi="Times New Roman" w:cs="Times New Roman"/>
          <w:b/>
          <w:bCs/>
          <w:i w:val="0"/>
          <w:iCs w:val="0"/>
          <w:color w:val="auto"/>
          <w:sz w:val="22"/>
          <w:szCs w:val="22"/>
        </w:rPr>
        <w:fldChar w:fldCharType="separate"/>
      </w:r>
      <w:r w:rsidR="0065004F">
        <w:rPr>
          <w:rFonts w:ascii="Times New Roman" w:hAnsi="Times New Roman" w:cs="Times New Roman"/>
          <w:b/>
          <w:bCs/>
          <w:i w:val="0"/>
          <w:iCs w:val="0"/>
          <w:noProof/>
          <w:color w:val="auto"/>
          <w:sz w:val="22"/>
          <w:szCs w:val="22"/>
        </w:rPr>
        <w:t>3</w:t>
      </w:r>
      <w:r w:rsidRPr="00D8616D">
        <w:rPr>
          <w:rFonts w:ascii="Times New Roman" w:hAnsi="Times New Roman" w:cs="Times New Roman"/>
          <w:b/>
          <w:bCs/>
          <w:i w:val="0"/>
          <w:iCs w:val="0"/>
          <w:color w:val="auto"/>
          <w:sz w:val="22"/>
          <w:szCs w:val="22"/>
        </w:rPr>
        <w:fldChar w:fldCharType="end"/>
      </w:r>
      <w:r w:rsidRPr="00D8616D">
        <w:rPr>
          <w:rFonts w:ascii="Times New Roman" w:hAnsi="Times New Roman" w:cs="Times New Roman"/>
          <w:b/>
          <w:bCs/>
          <w:i w:val="0"/>
          <w:iCs w:val="0"/>
          <w:color w:val="auto"/>
          <w:sz w:val="22"/>
          <w:szCs w:val="22"/>
        </w:rPr>
        <w:t xml:space="preserve">. </w:t>
      </w:r>
      <w:r w:rsidRPr="00D8616D">
        <w:rPr>
          <w:rFonts w:ascii="Times New Roman" w:hAnsi="Times New Roman" w:cs="Times New Roman"/>
          <w:i w:val="0"/>
          <w:iCs w:val="0"/>
          <w:color w:val="auto"/>
          <w:sz w:val="22"/>
          <w:szCs w:val="22"/>
        </w:rPr>
        <w:t>Geospatial gridded covariates and their characteristics</w:t>
      </w:r>
      <w:r w:rsidRPr="00D8616D">
        <w:rPr>
          <w:rFonts w:ascii="Times New Roman" w:hAnsi="Times New Roman" w:cs="Times New Roman"/>
          <w:b/>
          <w:bCs/>
          <w:color w:val="auto"/>
          <w:sz w:val="22"/>
          <w:szCs w:val="22"/>
        </w:rPr>
        <w:t xml:space="preserve"> </w:t>
      </w:r>
    </w:p>
    <w:tbl>
      <w:tblPr>
        <w:tblStyle w:val="TableGrid"/>
        <w:tblW w:w="9781" w:type="dxa"/>
        <w:tblInd w:w="-147" w:type="dxa"/>
        <w:tblBorders>
          <w:left w:val="none" w:sz="0" w:space="0" w:color="auto"/>
          <w:right w:val="none" w:sz="0" w:space="0" w:color="auto"/>
        </w:tblBorders>
        <w:tblLayout w:type="fixed"/>
        <w:tblLook w:val="04A0" w:firstRow="1" w:lastRow="0" w:firstColumn="1" w:lastColumn="0" w:noHBand="0" w:noVBand="1"/>
      </w:tblPr>
      <w:tblGrid>
        <w:gridCol w:w="1276"/>
        <w:gridCol w:w="2127"/>
        <w:gridCol w:w="1280"/>
        <w:gridCol w:w="1134"/>
        <w:gridCol w:w="1276"/>
        <w:gridCol w:w="2688"/>
      </w:tblGrid>
      <w:tr w:rsidR="00EF51D9" w:rsidRPr="00D8616D" w14:paraId="27D63528" w14:textId="77777777" w:rsidTr="00504E20">
        <w:trPr>
          <w:trHeight w:val="259"/>
        </w:trPr>
        <w:tc>
          <w:tcPr>
            <w:tcW w:w="1276" w:type="dxa"/>
            <w:tcBorders>
              <w:right w:val="nil"/>
            </w:tcBorders>
            <w:vAlign w:val="center"/>
          </w:tcPr>
          <w:p w14:paraId="3A10C1B2" w14:textId="77777777" w:rsidR="00EF51D9" w:rsidRPr="00D8616D" w:rsidRDefault="00EF51D9" w:rsidP="00504E20">
            <w:pPr>
              <w:rPr>
                <w:rFonts w:ascii="Times New Roman" w:hAnsi="Times New Roman" w:cs="Times New Roman"/>
                <w:b/>
                <w:bCs/>
                <w:sz w:val="20"/>
                <w:szCs w:val="20"/>
              </w:rPr>
            </w:pPr>
            <w:r w:rsidRPr="00D8616D">
              <w:rPr>
                <w:rFonts w:ascii="Times New Roman" w:hAnsi="Times New Roman" w:cs="Times New Roman"/>
                <w:b/>
                <w:bCs/>
                <w:sz w:val="20"/>
                <w:szCs w:val="20"/>
              </w:rPr>
              <w:t xml:space="preserve">Dataset </w:t>
            </w:r>
          </w:p>
        </w:tc>
        <w:tc>
          <w:tcPr>
            <w:tcW w:w="2127" w:type="dxa"/>
            <w:tcBorders>
              <w:left w:val="nil"/>
              <w:right w:val="nil"/>
            </w:tcBorders>
            <w:vAlign w:val="center"/>
          </w:tcPr>
          <w:p w14:paraId="2FE3A620" w14:textId="77777777" w:rsidR="00EF51D9" w:rsidRPr="00D8616D" w:rsidRDefault="00EF51D9" w:rsidP="00504E20">
            <w:pPr>
              <w:rPr>
                <w:rFonts w:ascii="Times New Roman" w:hAnsi="Times New Roman" w:cs="Times New Roman"/>
                <w:b/>
                <w:bCs/>
                <w:sz w:val="20"/>
                <w:szCs w:val="20"/>
              </w:rPr>
            </w:pPr>
            <w:r w:rsidRPr="00D8616D">
              <w:rPr>
                <w:rFonts w:ascii="Times New Roman" w:hAnsi="Times New Roman" w:cs="Times New Roman"/>
                <w:b/>
                <w:bCs/>
                <w:sz w:val="20"/>
                <w:szCs w:val="20"/>
              </w:rPr>
              <w:t>Variables</w:t>
            </w:r>
          </w:p>
        </w:tc>
        <w:tc>
          <w:tcPr>
            <w:tcW w:w="1280" w:type="dxa"/>
            <w:tcBorders>
              <w:left w:val="nil"/>
              <w:right w:val="nil"/>
            </w:tcBorders>
            <w:vAlign w:val="center"/>
          </w:tcPr>
          <w:p w14:paraId="4B68F902" w14:textId="77777777" w:rsidR="00EF51D9" w:rsidRPr="00D8616D" w:rsidRDefault="00EF51D9" w:rsidP="00504E20">
            <w:pPr>
              <w:rPr>
                <w:rFonts w:ascii="Times New Roman" w:hAnsi="Times New Roman" w:cs="Times New Roman"/>
                <w:b/>
                <w:bCs/>
                <w:sz w:val="20"/>
                <w:szCs w:val="20"/>
              </w:rPr>
            </w:pPr>
            <w:r w:rsidRPr="00D8616D">
              <w:rPr>
                <w:rFonts w:ascii="Times New Roman" w:hAnsi="Times New Roman" w:cs="Times New Roman"/>
                <w:b/>
                <w:bCs/>
                <w:sz w:val="20"/>
                <w:szCs w:val="20"/>
              </w:rPr>
              <w:t>Date</w:t>
            </w:r>
          </w:p>
        </w:tc>
        <w:tc>
          <w:tcPr>
            <w:tcW w:w="1134" w:type="dxa"/>
            <w:tcBorders>
              <w:left w:val="nil"/>
              <w:right w:val="nil"/>
            </w:tcBorders>
            <w:vAlign w:val="center"/>
          </w:tcPr>
          <w:p w14:paraId="1525A456" w14:textId="77777777" w:rsidR="00EF51D9" w:rsidRPr="00D8616D" w:rsidRDefault="00EF51D9" w:rsidP="00504E20">
            <w:pPr>
              <w:rPr>
                <w:rFonts w:ascii="Times New Roman" w:hAnsi="Times New Roman" w:cs="Times New Roman"/>
                <w:b/>
                <w:bCs/>
                <w:sz w:val="20"/>
                <w:szCs w:val="20"/>
              </w:rPr>
            </w:pPr>
            <w:r w:rsidRPr="00D8616D">
              <w:rPr>
                <w:rFonts w:ascii="Times New Roman" w:hAnsi="Times New Roman" w:cs="Times New Roman"/>
                <w:b/>
                <w:bCs/>
                <w:sz w:val="20"/>
                <w:szCs w:val="20"/>
              </w:rPr>
              <w:t>Spatial resolution (m)</w:t>
            </w:r>
          </w:p>
        </w:tc>
        <w:tc>
          <w:tcPr>
            <w:tcW w:w="1276" w:type="dxa"/>
            <w:tcBorders>
              <w:left w:val="nil"/>
              <w:right w:val="nil"/>
            </w:tcBorders>
            <w:vAlign w:val="center"/>
          </w:tcPr>
          <w:p w14:paraId="601E2C37" w14:textId="77777777" w:rsidR="00EF51D9" w:rsidRPr="00D8616D" w:rsidRDefault="00EF51D9" w:rsidP="00504E20">
            <w:pPr>
              <w:rPr>
                <w:rFonts w:ascii="Times New Roman" w:hAnsi="Times New Roman" w:cs="Times New Roman"/>
                <w:b/>
                <w:bCs/>
                <w:sz w:val="20"/>
                <w:szCs w:val="20"/>
              </w:rPr>
            </w:pPr>
            <w:r w:rsidRPr="00D8616D">
              <w:rPr>
                <w:rFonts w:ascii="Times New Roman" w:hAnsi="Times New Roman" w:cs="Times New Roman"/>
                <w:b/>
                <w:bCs/>
                <w:sz w:val="20"/>
                <w:szCs w:val="20"/>
              </w:rPr>
              <w:t>Type</w:t>
            </w:r>
          </w:p>
        </w:tc>
        <w:tc>
          <w:tcPr>
            <w:tcW w:w="2688" w:type="dxa"/>
            <w:tcBorders>
              <w:left w:val="nil"/>
            </w:tcBorders>
            <w:vAlign w:val="center"/>
          </w:tcPr>
          <w:p w14:paraId="009323EF" w14:textId="77777777" w:rsidR="00EF51D9" w:rsidRPr="00D8616D" w:rsidRDefault="00EF51D9" w:rsidP="00504E20">
            <w:pPr>
              <w:rPr>
                <w:rFonts w:ascii="Times New Roman" w:hAnsi="Times New Roman" w:cs="Times New Roman"/>
                <w:b/>
                <w:bCs/>
                <w:sz w:val="20"/>
                <w:szCs w:val="20"/>
              </w:rPr>
            </w:pPr>
            <w:r w:rsidRPr="00D8616D">
              <w:rPr>
                <w:rFonts w:ascii="Times New Roman" w:hAnsi="Times New Roman" w:cs="Times New Roman"/>
                <w:b/>
                <w:bCs/>
                <w:sz w:val="20"/>
                <w:szCs w:val="20"/>
              </w:rPr>
              <w:t>Source</w:t>
            </w:r>
          </w:p>
        </w:tc>
      </w:tr>
      <w:tr w:rsidR="00EF51D9" w:rsidRPr="00082D3C" w14:paraId="06325DBF" w14:textId="77777777" w:rsidTr="00504E20">
        <w:trPr>
          <w:trHeight w:val="259"/>
        </w:trPr>
        <w:tc>
          <w:tcPr>
            <w:tcW w:w="1276" w:type="dxa"/>
            <w:tcBorders>
              <w:right w:val="nil"/>
            </w:tcBorders>
            <w:vAlign w:val="center"/>
          </w:tcPr>
          <w:p w14:paraId="5FC2154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CHELSA</w:t>
            </w:r>
          </w:p>
        </w:tc>
        <w:tc>
          <w:tcPr>
            <w:tcW w:w="2127" w:type="dxa"/>
            <w:tcBorders>
              <w:left w:val="nil"/>
              <w:right w:val="nil"/>
            </w:tcBorders>
            <w:vAlign w:val="center"/>
          </w:tcPr>
          <w:p w14:paraId="33B615CD"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Precipitation, temperature at 2 m, potential evapotranspiration, near-surface relative humidity</w:t>
            </w:r>
          </w:p>
        </w:tc>
        <w:tc>
          <w:tcPr>
            <w:tcW w:w="1280" w:type="dxa"/>
            <w:tcBorders>
              <w:left w:val="nil"/>
              <w:right w:val="nil"/>
            </w:tcBorders>
            <w:vAlign w:val="center"/>
          </w:tcPr>
          <w:p w14:paraId="6B6F17A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1988 – 2018</w:t>
            </w:r>
          </w:p>
        </w:tc>
        <w:tc>
          <w:tcPr>
            <w:tcW w:w="1134" w:type="dxa"/>
            <w:tcBorders>
              <w:left w:val="nil"/>
              <w:right w:val="nil"/>
            </w:tcBorders>
            <w:vAlign w:val="center"/>
          </w:tcPr>
          <w:p w14:paraId="1FEBA575"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1000</w:t>
            </w:r>
          </w:p>
        </w:tc>
        <w:tc>
          <w:tcPr>
            <w:tcW w:w="1276" w:type="dxa"/>
            <w:tcBorders>
              <w:left w:val="nil"/>
              <w:right w:val="nil"/>
            </w:tcBorders>
            <w:vAlign w:val="center"/>
          </w:tcPr>
          <w:p w14:paraId="2E37451C"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vAlign w:val="center"/>
          </w:tcPr>
          <w:p w14:paraId="19630137" w14:textId="77777777" w:rsidR="00EF51D9" w:rsidRPr="00D8616D" w:rsidRDefault="00EF51D9" w:rsidP="00504E20">
            <w:pPr>
              <w:rPr>
                <w:rFonts w:ascii="Times New Roman" w:hAnsi="Times New Roman" w:cs="Times New Roman"/>
                <w:sz w:val="20"/>
                <w:szCs w:val="20"/>
                <w:lang w:val="fr-BE"/>
              </w:rPr>
            </w:pPr>
            <w:r w:rsidRPr="00D8616D">
              <w:rPr>
                <w:rFonts w:ascii="Times New Roman" w:hAnsi="Times New Roman" w:cs="Times New Roman"/>
                <w:sz w:val="20"/>
                <w:szCs w:val="20"/>
                <w:lang w:val="fr-BE"/>
              </w:rPr>
              <w:t>CHELSA (https://chelsa-climate.org/)</w:t>
            </w:r>
          </w:p>
        </w:tc>
      </w:tr>
      <w:tr w:rsidR="00EF51D9" w:rsidRPr="00082D3C" w14:paraId="2194F2C4" w14:textId="77777777" w:rsidTr="00504E20">
        <w:trPr>
          <w:trHeight w:val="259"/>
        </w:trPr>
        <w:tc>
          <w:tcPr>
            <w:tcW w:w="1276" w:type="dxa"/>
            <w:tcBorders>
              <w:right w:val="nil"/>
            </w:tcBorders>
            <w:shd w:val="clear" w:color="auto" w:fill="auto"/>
            <w:vAlign w:val="center"/>
          </w:tcPr>
          <w:p w14:paraId="554315CB"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MODIS LST</w:t>
            </w:r>
          </w:p>
        </w:tc>
        <w:tc>
          <w:tcPr>
            <w:tcW w:w="2127" w:type="dxa"/>
            <w:tcBorders>
              <w:left w:val="nil"/>
              <w:right w:val="nil"/>
            </w:tcBorders>
            <w:shd w:val="clear" w:color="auto" w:fill="auto"/>
            <w:vAlign w:val="center"/>
          </w:tcPr>
          <w:p w14:paraId="09A7E97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Day LST, night LST, daily LST range</w:t>
            </w:r>
          </w:p>
        </w:tc>
        <w:tc>
          <w:tcPr>
            <w:tcW w:w="1280" w:type="dxa"/>
            <w:tcBorders>
              <w:left w:val="nil"/>
              <w:right w:val="nil"/>
            </w:tcBorders>
            <w:shd w:val="clear" w:color="auto" w:fill="auto"/>
            <w:vAlign w:val="center"/>
          </w:tcPr>
          <w:p w14:paraId="09B31541"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2017 (DHS)</w:t>
            </w:r>
          </w:p>
          <w:p w14:paraId="36430E7E"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2020 (MIS)</w:t>
            </w:r>
          </w:p>
        </w:tc>
        <w:tc>
          <w:tcPr>
            <w:tcW w:w="1134" w:type="dxa"/>
            <w:tcBorders>
              <w:left w:val="nil"/>
              <w:right w:val="nil"/>
            </w:tcBorders>
            <w:shd w:val="clear" w:color="auto" w:fill="auto"/>
            <w:vAlign w:val="center"/>
          </w:tcPr>
          <w:p w14:paraId="458FD43C"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1000</w:t>
            </w:r>
          </w:p>
        </w:tc>
        <w:tc>
          <w:tcPr>
            <w:tcW w:w="1276" w:type="dxa"/>
            <w:tcBorders>
              <w:left w:val="nil"/>
              <w:right w:val="nil"/>
            </w:tcBorders>
            <w:shd w:val="clear" w:color="auto" w:fill="auto"/>
            <w:vAlign w:val="center"/>
          </w:tcPr>
          <w:p w14:paraId="39CDE12E"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shd w:val="clear" w:color="auto" w:fill="auto"/>
            <w:vAlign w:val="center"/>
          </w:tcPr>
          <w:p w14:paraId="2A448451" w14:textId="77777777" w:rsidR="00EF51D9" w:rsidRPr="00D8616D" w:rsidRDefault="00EF51D9" w:rsidP="00504E20">
            <w:pPr>
              <w:rPr>
                <w:rFonts w:ascii="Times New Roman" w:hAnsi="Times New Roman" w:cs="Times New Roman"/>
                <w:sz w:val="20"/>
                <w:szCs w:val="20"/>
                <w:lang w:val="fr-BE"/>
              </w:rPr>
            </w:pPr>
            <w:r w:rsidRPr="00D8616D">
              <w:rPr>
                <w:rFonts w:ascii="Times New Roman" w:hAnsi="Times New Roman" w:cs="Times New Roman"/>
                <w:sz w:val="20"/>
                <w:szCs w:val="20"/>
                <w:lang w:val="fr-BE"/>
              </w:rPr>
              <w:t>MODIS (http://modis.gsfc.nasa.gov/)</w:t>
            </w:r>
          </w:p>
        </w:tc>
      </w:tr>
      <w:tr w:rsidR="00EF51D9" w:rsidRPr="00D8616D" w14:paraId="3C2DD426" w14:textId="77777777" w:rsidTr="00504E20">
        <w:trPr>
          <w:trHeight w:val="245"/>
        </w:trPr>
        <w:tc>
          <w:tcPr>
            <w:tcW w:w="1276" w:type="dxa"/>
            <w:tcBorders>
              <w:right w:val="nil"/>
            </w:tcBorders>
            <w:vAlign w:val="center"/>
          </w:tcPr>
          <w:p w14:paraId="6A320CC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Vegetation indices</w:t>
            </w:r>
          </w:p>
        </w:tc>
        <w:tc>
          <w:tcPr>
            <w:tcW w:w="2127" w:type="dxa"/>
            <w:tcBorders>
              <w:left w:val="nil"/>
              <w:right w:val="nil"/>
            </w:tcBorders>
            <w:vAlign w:val="center"/>
          </w:tcPr>
          <w:p w14:paraId="1D217515"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NDVI, NDWI, NDMI</w:t>
            </w:r>
          </w:p>
        </w:tc>
        <w:tc>
          <w:tcPr>
            <w:tcW w:w="1280" w:type="dxa"/>
            <w:tcBorders>
              <w:left w:val="nil"/>
              <w:right w:val="nil"/>
            </w:tcBorders>
            <w:vAlign w:val="center"/>
          </w:tcPr>
          <w:p w14:paraId="279555FC"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2017 (DHS)</w:t>
            </w:r>
          </w:p>
          <w:p w14:paraId="27107698"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2020 (MIS)</w:t>
            </w:r>
          </w:p>
        </w:tc>
        <w:tc>
          <w:tcPr>
            <w:tcW w:w="1134" w:type="dxa"/>
            <w:tcBorders>
              <w:left w:val="nil"/>
              <w:right w:val="nil"/>
            </w:tcBorders>
            <w:vAlign w:val="center"/>
          </w:tcPr>
          <w:p w14:paraId="3DA27B16"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w:t>
            </w:r>
          </w:p>
        </w:tc>
        <w:tc>
          <w:tcPr>
            <w:tcW w:w="1276" w:type="dxa"/>
            <w:tcBorders>
              <w:left w:val="nil"/>
              <w:right w:val="nil"/>
            </w:tcBorders>
            <w:vAlign w:val="center"/>
          </w:tcPr>
          <w:p w14:paraId="1D58DAFA"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vAlign w:val="center"/>
          </w:tcPr>
          <w:p w14:paraId="74D57671"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Computed from Sentinel-2 L1C composites of the JRC</w:t>
            </w:r>
            <w:r w:rsidRPr="00D8616D">
              <w:rPr>
                <w:rStyle w:val="Hyperlink"/>
                <w:rFonts w:ascii="Times New Roman" w:hAnsi="Times New Roman" w:cs="Times New Roman"/>
                <w:sz w:val="20"/>
                <w:szCs w:val="20"/>
              </w:rPr>
              <w:t xml:space="preserve"> (https://forobs.jrc.ec.europa.eu/sentinel/sentinel2_composite)</w:t>
            </w:r>
          </w:p>
        </w:tc>
      </w:tr>
      <w:tr w:rsidR="00EF51D9" w:rsidRPr="00D8616D" w14:paraId="39B3CBFF" w14:textId="77777777" w:rsidTr="00504E20">
        <w:trPr>
          <w:trHeight w:val="259"/>
        </w:trPr>
        <w:tc>
          <w:tcPr>
            <w:tcW w:w="1276" w:type="dxa"/>
            <w:tcBorders>
              <w:right w:val="nil"/>
            </w:tcBorders>
            <w:vAlign w:val="center"/>
          </w:tcPr>
          <w:p w14:paraId="45307C76"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WSF</w:t>
            </w:r>
          </w:p>
        </w:tc>
        <w:tc>
          <w:tcPr>
            <w:tcW w:w="2127" w:type="dxa"/>
            <w:tcBorders>
              <w:left w:val="nil"/>
              <w:right w:val="nil"/>
            </w:tcBorders>
            <w:vAlign w:val="center"/>
          </w:tcPr>
          <w:p w14:paraId="70239FB8"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Settlements</w:t>
            </w:r>
          </w:p>
        </w:tc>
        <w:tc>
          <w:tcPr>
            <w:tcW w:w="1280" w:type="dxa"/>
            <w:tcBorders>
              <w:left w:val="nil"/>
              <w:right w:val="nil"/>
            </w:tcBorders>
            <w:vAlign w:val="center"/>
          </w:tcPr>
          <w:p w14:paraId="21B3426B"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2015 (DHS)</w:t>
            </w:r>
          </w:p>
          <w:p w14:paraId="7507BDFD"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2019 (MIS)</w:t>
            </w:r>
          </w:p>
        </w:tc>
        <w:tc>
          <w:tcPr>
            <w:tcW w:w="1134" w:type="dxa"/>
            <w:tcBorders>
              <w:left w:val="nil"/>
              <w:right w:val="nil"/>
            </w:tcBorders>
            <w:vAlign w:val="center"/>
          </w:tcPr>
          <w:p w14:paraId="451078D0"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w:t>
            </w:r>
          </w:p>
        </w:tc>
        <w:tc>
          <w:tcPr>
            <w:tcW w:w="1276" w:type="dxa"/>
            <w:tcBorders>
              <w:left w:val="nil"/>
              <w:right w:val="nil"/>
            </w:tcBorders>
            <w:vAlign w:val="center"/>
          </w:tcPr>
          <w:p w14:paraId="23F79E9A"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Categorical</w:t>
            </w:r>
          </w:p>
        </w:tc>
        <w:tc>
          <w:tcPr>
            <w:tcW w:w="2688" w:type="dxa"/>
            <w:tcBorders>
              <w:left w:val="nil"/>
            </w:tcBorders>
            <w:vAlign w:val="center"/>
          </w:tcPr>
          <w:p w14:paraId="6D8C4805"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German Aerospace </w:t>
            </w:r>
            <w:proofErr w:type="spellStart"/>
            <w:r w:rsidRPr="00D8616D">
              <w:rPr>
                <w:rFonts w:ascii="Times New Roman" w:hAnsi="Times New Roman" w:cs="Times New Roman"/>
                <w:sz w:val="20"/>
                <w:szCs w:val="20"/>
              </w:rPr>
              <w:t>Center</w:t>
            </w:r>
            <w:proofErr w:type="spellEnd"/>
            <w:r w:rsidRPr="00D8616D">
              <w:rPr>
                <w:rFonts w:ascii="Times New Roman" w:hAnsi="Times New Roman" w:cs="Times New Roman"/>
                <w:sz w:val="20"/>
                <w:szCs w:val="20"/>
              </w:rPr>
              <w:t xml:space="preserve"> (https://geoservice.dlr.de/) </w:t>
            </w:r>
          </w:p>
        </w:tc>
      </w:tr>
      <w:tr w:rsidR="00EF51D9" w:rsidRPr="00D8616D" w14:paraId="3BFCBF9A" w14:textId="77777777" w:rsidTr="00504E20">
        <w:trPr>
          <w:trHeight w:val="259"/>
        </w:trPr>
        <w:tc>
          <w:tcPr>
            <w:tcW w:w="1276" w:type="dxa"/>
            <w:vMerge w:val="restart"/>
            <w:tcBorders>
              <w:right w:val="nil"/>
            </w:tcBorders>
            <w:vAlign w:val="center"/>
          </w:tcPr>
          <w:p w14:paraId="41A5C9EE"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GHSL  </w:t>
            </w:r>
          </w:p>
        </w:tc>
        <w:tc>
          <w:tcPr>
            <w:tcW w:w="2127" w:type="dxa"/>
            <w:tcBorders>
              <w:left w:val="nil"/>
              <w:right w:val="nil"/>
            </w:tcBorders>
            <w:vAlign w:val="center"/>
          </w:tcPr>
          <w:p w14:paraId="10409691"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Residential built-up surface</w:t>
            </w:r>
          </w:p>
        </w:tc>
        <w:tc>
          <w:tcPr>
            <w:tcW w:w="1280" w:type="dxa"/>
            <w:vMerge w:val="restart"/>
            <w:tcBorders>
              <w:left w:val="nil"/>
              <w:right w:val="nil"/>
            </w:tcBorders>
            <w:vAlign w:val="center"/>
          </w:tcPr>
          <w:p w14:paraId="18DCE9C2"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2018</w:t>
            </w:r>
          </w:p>
        </w:tc>
        <w:tc>
          <w:tcPr>
            <w:tcW w:w="1134" w:type="dxa"/>
            <w:tcBorders>
              <w:left w:val="nil"/>
              <w:right w:val="nil"/>
            </w:tcBorders>
            <w:vAlign w:val="center"/>
          </w:tcPr>
          <w:p w14:paraId="6E0069FA"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w:t>
            </w:r>
          </w:p>
        </w:tc>
        <w:tc>
          <w:tcPr>
            <w:tcW w:w="1276" w:type="dxa"/>
            <w:vMerge w:val="restart"/>
            <w:tcBorders>
              <w:left w:val="nil"/>
              <w:right w:val="nil"/>
            </w:tcBorders>
            <w:vAlign w:val="center"/>
          </w:tcPr>
          <w:p w14:paraId="20EE85F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vMerge w:val="restart"/>
            <w:tcBorders>
              <w:left w:val="nil"/>
            </w:tcBorders>
          </w:tcPr>
          <w:p w14:paraId="799749F2"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JRC (https://ghsl.jrc.ec.europa.eu/download.php)</w:t>
            </w:r>
          </w:p>
        </w:tc>
      </w:tr>
      <w:tr w:rsidR="00EF51D9" w:rsidRPr="00D8616D" w14:paraId="6B4275E8" w14:textId="77777777" w:rsidTr="00504E20">
        <w:trPr>
          <w:trHeight w:val="259"/>
        </w:trPr>
        <w:tc>
          <w:tcPr>
            <w:tcW w:w="1276" w:type="dxa"/>
            <w:vMerge/>
            <w:tcBorders>
              <w:right w:val="nil"/>
            </w:tcBorders>
            <w:vAlign w:val="center"/>
          </w:tcPr>
          <w:p w14:paraId="6A4F45FE" w14:textId="77777777" w:rsidR="00EF51D9" w:rsidRPr="00D8616D" w:rsidRDefault="00EF51D9" w:rsidP="00504E20">
            <w:pPr>
              <w:rPr>
                <w:rFonts w:ascii="Times New Roman" w:hAnsi="Times New Roman" w:cs="Times New Roman"/>
                <w:sz w:val="20"/>
                <w:szCs w:val="20"/>
                <w:highlight w:val="yellow"/>
              </w:rPr>
            </w:pPr>
          </w:p>
        </w:tc>
        <w:tc>
          <w:tcPr>
            <w:tcW w:w="2127" w:type="dxa"/>
            <w:tcBorders>
              <w:left w:val="nil"/>
              <w:right w:val="nil"/>
            </w:tcBorders>
            <w:vAlign w:val="center"/>
          </w:tcPr>
          <w:p w14:paraId="7E3D135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Building height </w:t>
            </w:r>
          </w:p>
        </w:tc>
        <w:tc>
          <w:tcPr>
            <w:tcW w:w="1280" w:type="dxa"/>
            <w:vMerge/>
            <w:tcBorders>
              <w:left w:val="nil"/>
              <w:right w:val="nil"/>
            </w:tcBorders>
            <w:vAlign w:val="center"/>
          </w:tcPr>
          <w:p w14:paraId="081ACF70" w14:textId="77777777" w:rsidR="00EF51D9" w:rsidRPr="00D8616D" w:rsidRDefault="00EF51D9" w:rsidP="00504E20">
            <w:pPr>
              <w:rPr>
                <w:rFonts w:ascii="Times New Roman" w:hAnsi="Times New Roman" w:cs="Times New Roman"/>
                <w:sz w:val="20"/>
                <w:szCs w:val="20"/>
              </w:rPr>
            </w:pPr>
          </w:p>
        </w:tc>
        <w:tc>
          <w:tcPr>
            <w:tcW w:w="1134" w:type="dxa"/>
            <w:tcBorders>
              <w:left w:val="nil"/>
              <w:right w:val="nil"/>
            </w:tcBorders>
            <w:vAlign w:val="center"/>
          </w:tcPr>
          <w:p w14:paraId="0794BA68"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w:t>
            </w:r>
          </w:p>
        </w:tc>
        <w:tc>
          <w:tcPr>
            <w:tcW w:w="1276" w:type="dxa"/>
            <w:vMerge/>
            <w:tcBorders>
              <w:left w:val="nil"/>
              <w:right w:val="nil"/>
            </w:tcBorders>
            <w:vAlign w:val="center"/>
          </w:tcPr>
          <w:p w14:paraId="6FBFDC87" w14:textId="77777777" w:rsidR="00EF51D9" w:rsidRPr="00D8616D" w:rsidRDefault="00EF51D9" w:rsidP="00504E20">
            <w:pPr>
              <w:rPr>
                <w:rFonts w:ascii="Times New Roman" w:hAnsi="Times New Roman" w:cs="Times New Roman"/>
                <w:sz w:val="20"/>
                <w:szCs w:val="20"/>
              </w:rPr>
            </w:pPr>
          </w:p>
        </w:tc>
        <w:tc>
          <w:tcPr>
            <w:tcW w:w="2688" w:type="dxa"/>
            <w:vMerge/>
            <w:tcBorders>
              <w:left w:val="nil"/>
            </w:tcBorders>
          </w:tcPr>
          <w:p w14:paraId="2E7C2274" w14:textId="77777777" w:rsidR="00EF51D9" w:rsidRPr="00D8616D" w:rsidRDefault="00EF51D9" w:rsidP="00504E20">
            <w:pPr>
              <w:rPr>
                <w:rFonts w:ascii="Times New Roman" w:hAnsi="Times New Roman" w:cs="Times New Roman"/>
                <w:sz w:val="20"/>
                <w:szCs w:val="20"/>
              </w:rPr>
            </w:pPr>
          </w:p>
        </w:tc>
      </w:tr>
      <w:tr w:rsidR="00EF51D9" w:rsidRPr="00D8616D" w14:paraId="1DF9711A" w14:textId="77777777" w:rsidTr="00504E20">
        <w:trPr>
          <w:trHeight w:val="259"/>
        </w:trPr>
        <w:tc>
          <w:tcPr>
            <w:tcW w:w="1276" w:type="dxa"/>
            <w:tcBorders>
              <w:right w:val="nil"/>
            </w:tcBorders>
            <w:vAlign w:val="center"/>
          </w:tcPr>
          <w:p w14:paraId="6FB24734" w14:textId="77777777" w:rsidR="00EF51D9" w:rsidRPr="00D8616D" w:rsidRDefault="00EF51D9" w:rsidP="00504E20">
            <w:pPr>
              <w:rPr>
                <w:rFonts w:ascii="Times New Roman" w:hAnsi="Times New Roman" w:cs="Times New Roman"/>
                <w:sz w:val="20"/>
                <w:szCs w:val="20"/>
                <w:highlight w:val="yellow"/>
              </w:rPr>
            </w:pPr>
            <w:r w:rsidRPr="00D8616D">
              <w:rPr>
                <w:rFonts w:ascii="Times New Roman" w:hAnsi="Times New Roman" w:cs="Times New Roman"/>
                <w:sz w:val="20"/>
                <w:szCs w:val="20"/>
              </w:rPr>
              <w:t>Dynamic World</w:t>
            </w:r>
          </w:p>
        </w:tc>
        <w:tc>
          <w:tcPr>
            <w:tcW w:w="2127" w:type="dxa"/>
            <w:tcBorders>
              <w:left w:val="nil"/>
              <w:right w:val="nil"/>
            </w:tcBorders>
            <w:vAlign w:val="center"/>
          </w:tcPr>
          <w:p w14:paraId="256294E5"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Water, trees, flooded vegetation, crops, grass, bare ground, shrubland</w:t>
            </w:r>
          </w:p>
        </w:tc>
        <w:tc>
          <w:tcPr>
            <w:tcW w:w="1280" w:type="dxa"/>
            <w:tcBorders>
              <w:left w:val="nil"/>
              <w:right w:val="nil"/>
            </w:tcBorders>
            <w:vAlign w:val="center"/>
          </w:tcPr>
          <w:p w14:paraId="51F6EA8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2017 (DHS)</w:t>
            </w:r>
          </w:p>
          <w:p w14:paraId="08905F57"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2020 (MIS)</w:t>
            </w:r>
          </w:p>
        </w:tc>
        <w:tc>
          <w:tcPr>
            <w:tcW w:w="1134" w:type="dxa"/>
            <w:tcBorders>
              <w:left w:val="nil"/>
              <w:right w:val="nil"/>
            </w:tcBorders>
            <w:vAlign w:val="center"/>
          </w:tcPr>
          <w:p w14:paraId="25A650B8"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w:t>
            </w:r>
          </w:p>
        </w:tc>
        <w:tc>
          <w:tcPr>
            <w:tcW w:w="1276" w:type="dxa"/>
            <w:tcBorders>
              <w:left w:val="nil"/>
              <w:right w:val="nil"/>
            </w:tcBorders>
            <w:vAlign w:val="center"/>
          </w:tcPr>
          <w:p w14:paraId="78735A96"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Categorical</w:t>
            </w:r>
          </w:p>
        </w:tc>
        <w:tc>
          <w:tcPr>
            <w:tcW w:w="2688" w:type="dxa"/>
            <w:tcBorders>
              <w:left w:val="nil"/>
            </w:tcBorders>
            <w:vAlign w:val="center"/>
          </w:tcPr>
          <w:p w14:paraId="7C673216"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Google and the World Resources Institute (https://dynamicworld.app/)</w:t>
            </w:r>
          </w:p>
        </w:tc>
      </w:tr>
      <w:tr w:rsidR="00EF51D9" w:rsidRPr="00D8616D" w14:paraId="3B6CEC8A" w14:textId="77777777" w:rsidTr="00504E20">
        <w:trPr>
          <w:trHeight w:val="259"/>
        </w:trPr>
        <w:tc>
          <w:tcPr>
            <w:tcW w:w="1276" w:type="dxa"/>
            <w:tcBorders>
              <w:right w:val="nil"/>
            </w:tcBorders>
            <w:vAlign w:val="center"/>
          </w:tcPr>
          <w:p w14:paraId="0574B6B5"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VIIRS nighttime lights</w:t>
            </w:r>
          </w:p>
        </w:tc>
        <w:tc>
          <w:tcPr>
            <w:tcW w:w="2127" w:type="dxa"/>
            <w:tcBorders>
              <w:left w:val="nil"/>
              <w:right w:val="nil"/>
            </w:tcBorders>
            <w:vAlign w:val="center"/>
          </w:tcPr>
          <w:p w14:paraId="6992036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Average nighttime lights</w:t>
            </w:r>
          </w:p>
        </w:tc>
        <w:tc>
          <w:tcPr>
            <w:tcW w:w="1280" w:type="dxa"/>
            <w:tcBorders>
              <w:left w:val="nil"/>
              <w:right w:val="nil"/>
            </w:tcBorders>
            <w:vAlign w:val="center"/>
          </w:tcPr>
          <w:p w14:paraId="219AB6AE"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2017 (DHS)</w:t>
            </w:r>
          </w:p>
          <w:p w14:paraId="475F06A1"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2020 (MIS)</w:t>
            </w:r>
          </w:p>
        </w:tc>
        <w:tc>
          <w:tcPr>
            <w:tcW w:w="1134" w:type="dxa"/>
            <w:tcBorders>
              <w:left w:val="nil"/>
              <w:right w:val="nil"/>
            </w:tcBorders>
            <w:vAlign w:val="center"/>
          </w:tcPr>
          <w:p w14:paraId="238E2B07"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500</w:t>
            </w:r>
          </w:p>
        </w:tc>
        <w:tc>
          <w:tcPr>
            <w:tcW w:w="1276" w:type="dxa"/>
            <w:tcBorders>
              <w:left w:val="nil"/>
              <w:right w:val="nil"/>
            </w:tcBorders>
            <w:vAlign w:val="center"/>
          </w:tcPr>
          <w:p w14:paraId="20156B8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vAlign w:val="center"/>
          </w:tcPr>
          <w:p w14:paraId="70CB1EE3"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Earth Observation Group (https://eogdata.mines.edu/products/vnl/#annual_v2)</w:t>
            </w:r>
          </w:p>
        </w:tc>
      </w:tr>
      <w:tr w:rsidR="00EF51D9" w:rsidRPr="00D8616D" w14:paraId="63521582" w14:textId="77777777" w:rsidTr="00504E20">
        <w:trPr>
          <w:trHeight w:val="259"/>
        </w:trPr>
        <w:tc>
          <w:tcPr>
            <w:tcW w:w="1276" w:type="dxa"/>
            <w:tcBorders>
              <w:right w:val="nil"/>
            </w:tcBorders>
            <w:vAlign w:val="center"/>
          </w:tcPr>
          <w:p w14:paraId="5CBB508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Distances to OSM features</w:t>
            </w:r>
          </w:p>
        </w:tc>
        <w:tc>
          <w:tcPr>
            <w:tcW w:w="2127" w:type="dxa"/>
            <w:tcBorders>
              <w:left w:val="nil"/>
              <w:right w:val="nil"/>
            </w:tcBorders>
            <w:vAlign w:val="center"/>
          </w:tcPr>
          <w:p w14:paraId="190E6368"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Distance to major roads</w:t>
            </w:r>
          </w:p>
        </w:tc>
        <w:tc>
          <w:tcPr>
            <w:tcW w:w="1280" w:type="dxa"/>
            <w:tcBorders>
              <w:left w:val="nil"/>
              <w:right w:val="nil"/>
            </w:tcBorders>
            <w:vAlign w:val="center"/>
          </w:tcPr>
          <w:p w14:paraId="58083E02"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2023</w:t>
            </w:r>
          </w:p>
        </w:tc>
        <w:tc>
          <w:tcPr>
            <w:tcW w:w="1134" w:type="dxa"/>
            <w:tcBorders>
              <w:left w:val="nil"/>
              <w:right w:val="nil"/>
            </w:tcBorders>
            <w:vAlign w:val="center"/>
          </w:tcPr>
          <w:p w14:paraId="4F3FB987"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w:t>
            </w:r>
          </w:p>
        </w:tc>
        <w:tc>
          <w:tcPr>
            <w:tcW w:w="1276" w:type="dxa"/>
            <w:tcBorders>
              <w:left w:val="nil"/>
              <w:right w:val="nil"/>
            </w:tcBorders>
            <w:vAlign w:val="center"/>
          </w:tcPr>
          <w:p w14:paraId="5ABD51F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vAlign w:val="center"/>
          </w:tcPr>
          <w:p w14:paraId="2BFEA6CF" w14:textId="77777777" w:rsidR="00EF51D9" w:rsidRPr="00D8616D" w:rsidRDefault="00EF51D9" w:rsidP="00504E20">
            <w:pPr>
              <w:jc w:val="both"/>
              <w:rPr>
                <w:rFonts w:ascii="Times New Roman" w:hAnsi="Times New Roman" w:cs="Times New Roman"/>
                <w:sz w:val="20"/>
                <w:szCs w:val="20"/>
              </w:rPr>
            </w:pPr>
            <w:r w:rsidRPr="00D8616D">
              <w:rPr>
                <w:rFonts w:ascii="Times New Roman" w:hAnsi="Times New Roman" w:cs="Times New Roman"/>
                <w:sz w:val="20"/>
                <w:szCs w:val="20"/>
              </w:rPr>
              <w:t>OSM (</w:t>
            </w:r>
            <w:r w:rsidRPr="00D8616D">
              <w:rPr>
                <w:rFonts w:ascii="Times New Roman" w:hAnsi="Times New Roman" w:cs="Times New Roman"/>
                <w:sz w:val="20"/>
                <w:szCs w:val="20"/>
                <w:bdr w:val="none" w:sz="0" w:space="0" w:color="auto" w:frame="1"/>
              </w:rPr>
              <w:t>www.openstreetmap.or</w:t>
            </w:r>
            <w:r w:rsidRPr="00751F04">
              <w:rPr>
                <w:rFonts w:ascii="Times New Roman" w:hAnsi="Times New Roman" w:cs="Times New Roman"/>
                <w:sz w:val="20"/>
                <w:szCs w:val="20"/>
                <w:bdr w:val="none" w:sz="0" w:space="0" w:color="auto" w:frame="1"/>
              </w:rPr>
              <w:t>g</w:t>
            </w:r>
            <w:r w:rsidRPr="00751F04">
              <w:rPr>
                <w:rStyle w:val="Hyperlink"/>
                <w:rFonts w:ascii="Times New Roman" w:hAnsi="Times New Roman" w:cs="Times New Roman"/>
                <w:color w:val="auto"/>
                <w:sz w:val="20"/>
                <w:szCs w:val="20"/>
                <w:bdr w:val="none" w:sz="0" w:space="0" w:color="auto" w:frame="1"/>
              </w:rPr>
              <w:t xml:space="preserve">) </w:t>
            </w:r>
          </w:p>
        </w:tc>
      </w:tr>
      <w:tr w:rsidR="00EF51D9" w:rsidRPr="00D8616D" w14:paraId="6959DB5F" w14:textId="77777777" w:rsidTr="00504E20">
        <w:trPr>
          <w:trHeight w:val="852"/>
        </w:trPr>
        <w:tc>
          <w:tcPr>
            <w:tcW w:w="1276" w:type="dxa"/>
            <w:vMerge w:val="restart"/>
            <w:tcBorders>
              <w:right w:val="nil"/>
            </w:tcBorders>
            <w:vAlign w:val="center"/>
          </w:tcPr>
          <w:p w14:paraId="5F1012E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Accessibility maps</w:t>
            </w:r>
          </w:p>
        </w:tc>
        <w:tc>
          <w:tcPr>
            <w:tcW w:w="2127" w:type="dxa"/>
            <w:tcBorders>
              <w:left w:val="nil"/>
              <w:right w:val="nil"/>
            </w:tcBorders>
            <w:vAlign w:val="center"/>
          </w:tcPr>
          <w:p w14:paraId="06B26A1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Travel time to major cities</w:t>
            </w:r>
          </w:p>
        </w:tc>
        <w:tc>
          <w:tcPr>
            <w:tcW w:w="1280" w:type="dxa"/>
            <w:tcBorders>
              <w:left w:val="nil"/>
              <w:right w:val="nil"/>
            </w:tcBorders>
            <w:vAlign w:val="center"/>
          </w:tcPr>
          <w:p w14:paraId="059B8D21"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2015</w:t>
            </w:r>
          </w:p>
        </w:tc>
        <w:tc>
          <w:tcPr>
            <w:tcW w:w="1134" w:type="dxa"/>
            <w:vMerge w:val="restart"/>
            <w:tcBorders>
              <w:left w:val="nil"/>
              <w:right w:val="nil"/>
            </w:tcBorders>
            <w:vAlign w:val="center"/>
          </w:tcPr>
          <w:p w14:paraId="3B81EFFF"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1000</w:t>
            </w:r>
          </w:p>
        </w:tc>
        <w:tc>
          <w:tcPr>
            <w:tcW w:w="1276" w:type="dxa"/>
            <w:vMerge w:val="restart"/>
            <w:tcBorders>
              <w:left w:val="nil"/>
              <w:right w:val="nil"/>
            </w:tcBorders>
            <w:vAlign w:val="center"/>
          </w:tcPr>
          <w:p w14:paraId="02E0EEA5"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vMerge w:val="restart"/>
            <w:tcBorders>
              <w:left w:val="nil"/>
            </w:tcBorders>
            <w:vAlign w:val="center"/>
          </w:tcPr>
          <w:p w14:paraId="0A2FDDBA"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MAP (https://malariaatlas.org/project-resources/accessibility-to-healthcare/) </w:t>
            </w:r>
          </w:p>
        </w:tc>
      </w:tr>
      <w:tr w:rsidR="00EF51D9" w:rsidRPr="00D8616D" w14:paraId="5D9BF8CC" w14:textId="77777777" w:rsidTr="00504E20">
        <w:trPr>
          <w:trHeight w:val="852"/>
        </w:trPr>
        <w:tc>
          <w:tcPr>
            <w:tcW w:w="1276" w:type="dxa"/>
            <w:vMerge/>
            <w:tcBorders>
              <w:right w:val="nil"/>
            </w:tcBorders>
            <w:vAlign w:val="center"/>
          </w:tcPr>
          <w:p w14:paraId="3741C231" w14:textId="77777777" w:rsidR="00EF51D9" w:rsidRPr="00D8616D" w:rsidRDefault="00EF51D9" w:rsidP="00504E20">
            <w:pPr>
              <w:rPr>
                <w:rFonts w:ascii="Times New Roman" w:hAnsi="Times New Roman" w:cs="Times New Roman"/>
                <w:sz w:val="20"/>
                <w:szCs w:val="20"/>
                <w:highlight w:val="yellow"/>
              </w:rPr>
            </w:pPr>
          </w:p>
        </w:tc>
        <w:tc>
          <w:tcPr>
            <w:tcW w:w="2127" w:type="dxa"/>
            <w:tcBorders>
              <w:left w:val="nil"/>
              <w:right w:val="nil"/>
            </w:tcBorders>
            <w:vAlign w:val="center"/>
          </w:tcPr>
          <w:p w14:paraId="70C3919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Walking-only and motorized travel time to health facilities</w:t>
            </w:r>
          </w:p>
        </w:tc>
        <w:tc>
          <w:tcPr>
            <w:tcW w:w="1280" w:type="dxa"/>
            <w:tcBorders>
              <w:left w:val="nil"/>
              <w:right w:val="nil"/>
            </w:tcBorders>
            <w:vAlign w:val="center"/>
          </w:tcPr>
          <w:p w14:paraId="19B43142"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2019</w:t>
            </w:r>
          </w:p>
        </w:tc>
        <w:tc>
          <w:tcPr>
            <w:tcW w:w="1134" w:type="dxa"/>
            <w:vMerge/>
            <w:tcBorders>
              <w:left w:val="nil"/>
              <w:right w:val="nil"/>
            </w:tcBorders>
            <w:vAlign w:val="center"/>
          </w:tcPr>
          <w:p w14:paraId="30D272D7" w14:textId="77777777" w:rsidR="00EF51D9" w:rsidRPr="00D8616D" w:rsidRDefault="00EF51D9" w:rsidP="00504E20">
            <w:pPr>
              <w:jc w:val="center"/>
              <w:rPr>
                <w:rFonts w:ascii="Times New Roman" w:hAnsi="Times New Roman" w:cs="Times New Roman"/>
                <w:sz w:val="20"/>
                <w:szCs w:val="20"/>
              </w:rPr>
            </w:pPr>
          </w:p>
        </w:tc>
        <w:tc>
          <w:tcPr>
            <w:tcW w:w="1276" w:type="dxa"/>
            <w:vMerge/>
            <w:tcBorders>
              <w:left w:val="nil"/>
              <w:right w:val="nil"/>
            </w:tcBorders>
            <w:vAlign w:val="center"/>
          </w:tcPr>
          <w:p w14:paraId="148C6EFC" w14:textId="77777777" w:rsidR="00EF51D9" w:rsidRPr="00D8616D" w:rsidRDefault="00EF51D9" w:rsidP="00504E20">
            <w:pPr>
              <w:rPr>
                <w:rFonts w:ascii="Times New Roman" w:hAnsi="Times New Roman" w:cs="Times New Roman"/>
                <w:sz w:val="20"/>
                <w:szCs w:val="20"/>
                <w:highlight w:val="yellow"/>
              </w:rPr>
            </w:pPr>
          </w:p>
        </w:tc>
        <w:tc>
          <w:tcPr>
            <w:tcW w:w="2688" w:type="dxa"/>
            <w:vMerge/>
            <w:tcBorders>
              <w:left w:val="nil"/>
            </w:tcBorders>
            <w:vAlign w:val="center"/>
          </w:tcPr>
          <w:p w14:paraId="6A8A7AF5" w14:textId="77777777" w:rsidR="00EF51D9" w:rsidRPr="00D8616D" w:rsidRDefault="00EF51D9" w:rsidP="00504E20">
            <w:pPr>
              <w:rPr>
                <w:rFonts w:ascii="Times New Roman" w:hAnsi="Times New Roman" w:cs="Times New Roman"/>
                <w:sz w:val="20"/>
                <w:szCs w:val="20"/>
                <w:highlight w:val="yellow"/>
              </w:rPr>
            </w:pPr>
          </w:p>
        </w:tc>
      </w:tr>
      <w:tr w:rsidR="00EF51D9" w:rsidRPr="00D8616D" w14:paraId="3BE5B108" w14:textId="77777777" w:rsidTr="00504E20">
        <w:trPr>
          <w:trHeight w:val="246"/>
        </w:trPr>
        <w:tc>
          <w:tcPr>
            <w:tcW w:w="1276" w:type="dxa"/>
            <w:vMerge w:val="restart"/>
            <w:tcBorders>
              <w:right w:val="nil"/>
            </w:tcBorders>
            <w:vAlign w:val="center"/>
          </w:tcPr>
          <w:p w14:paraId="43A4844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WorldPop products</w:t>
            </w:r>
          </w:p>
        </w:tc>
        <w:tc>
          <w:tcPr>
            <w:tcW w:w="2127" w:type="dxa"/>
            <w:tcBorders>
              <w:left w:val="nil"/>
              <w:right w:val="nil"/>
            </w:tcBorders>
            <w:vAlign w:val="center"/>
          </w:tcPr>
          <w:p w14:paraId="1972526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Population counts, under-five children </w:t>
            </w:r>
          </w:p>
        </w:tc>
        <w:tc>
          <w:tcPr>
            <w:tcW w:w="1280" w:type="dxa"/>
            <w:tcBorders>
              <w:left w:val="nil"/>
              <w:right w:val="nil"/>
            </w:tcBorders>
            <w:vAlign w:val="center"/>
          </w:tcPr>
          <w:p w14:paraId="51D1353B"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2017 (DHS)</w:t>
            </w:r>
          </w:p>
          <w:p w14:paraId="61F3E828"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2020 (MIS)</w:t>
            </w:r>
          </w:p>
        </w:tc>
        <w:tc>
          <w:tcPr>
            <w:tcW w:w="1134" w:type="dxa"/>
            <w:tcBorders>
              <w:left w:val="nil"/>
              <w:right w:val="nil"/>
            </w:tcBorders>
            <w:vAlign w:val="center"/>
          </w:tcPr>
          <w:p w14:paraId="651E2A8F"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w:t>
            </w:r>
          </w:p>
        </w:tc>
        <w:tc>
          <w:tcPr>
            <w:tcW w:w="1276" w:type="dxa"/>
            <w:vMerge w:val="restart"/>
            <w:tcBorders>
              <w:left w:val="nil"/>
              <w:right w:val="nil"/>
            </w:tcBorders>
            <w:vAlign w:val="center"/>
          </w:tcPr>
          <w:p w14:paraId="51539C98"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vMerge w:val="restart"/>
            <w:tcBorders>
              <w:left w:val="nil"/>
            </w:tcBorders>
            <w:vAlign w:val="center"/>
          </w:tcPr>
          <w:p w14:paraId="0FAB5B9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WorldPop Project (https://www.worldpop.org/)</w:t>
            </w:r>
          </w:p>
        </w:tc>
      </w:tr>
      <w:tr w:rsidR="00EF51D9" w:rsidRPr="00D8616D" w14:paraId="4D368A28" w14:textId="77777777" w:rsidTr="00504E20">
        <w:trPr>
          <w:trHeight w:val="246"/>
        </w:trPr>
        <w:tc>
          <w:tcPr>
            <w:tcW w:w="1276" w:type="dxa"/>
            <w:vMerge/>
            <w:tcBorders>
              <w:right w:val="nil"/>
            </w:tcBorders>
            <w:vAlign w:val="center"/>
          </w:tcPr>
          <w:p w14:paraId="75C55F70" w14:textId="77777777" w:rsidR="00EF51D9" w:rsidRPr="00D8616D" w:rsidRDefault="00EF51D9" w:rsidP="00504E20">
            <w:pPr>
              <w:rPr>
                <w:rFonts w:ascii="Times New Roman" w:hAnsi="Times New Roman" w:cs="Times New Roman"/>
                <w:sz w:val="20"/>
                <w:szCs w:val="20"/>
                <w:highlight w:val="yellow"/>
              </w:rPr>
            </w:pPr>
          </w:p>
        </w:tc>
        <w:tc>
          <w:tcPr>
            <w:tcW w:w="2127" w:type="dxa"/>
            <w:tcBorders>
              <w:left w:val="nil"/>
              <w:right w:val="nil"/>
            </w:tcBorders>
            <w:vAlign w:val="center"/>
          </w:tcPr>
          <w:p w14:paraId="2FEB3C3B"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Pregnancies</w:t>
            </w:r>
          </w:p>
        </w:tc>
        <w:tc>
          <w:tcPr>
            <w:tcW w:w="1280" w:type="dxa"/>
            <w:tcBorders>
              <w:left w:val="nil"/>
              <w:right w:val="nil"/>
            </w:tcBorders>
            <w:vAlign w:val="center"/>
          </w:tcPr>
          <w:p w14:paraId="6E7276AD"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2015</w:t>
            </w:r>
          </w:p>
        </w:tc>
        <w:tc>
          <w:tcPr>
            <w:tcW w:w="1134" w:type="dxa"/>
            <w:tcBorders>
              <w:left w:val="nil"/>
              <w:right w:val="nil"/>
            </w:tcBorders>
            <w:vAlign w:val="center"/>
          </w:tcPr>
          <w:p w14:paraId="383FC37C"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1000</w:t>
            </w:r>
          </w:p>
        </w:tc>
        <w:tc>
          <w:tcPr>
            <w:tcW w:w="1276" w:type="dxa"/>
            <w:vMerge/>
            <w:tcBorders>
              <w:left w:val="nil"/>
              <w:right w:val="nil"/>
            </w:tcBorders>
            <w:vAlign w:val="center"/>
          </w:tcPr>
          <w:p w14:paraId="013B309C" w14:textId="77777777" w:rsidR="00EF51D9" w:rsidRPr="00D8616D" w:rsidRDefault="00EF51D9" w:rsidP="00504E20">
            <w:pPr>
              <w:rPr>
                <w:rFonts w:ascii="Times New Roman" w:hAnsi="Times New Roman" w:cs="Times New Roman"/>
                <w:sz w:val="20"/>
                <w:szCs w:val="20"/>
              </w:rPr>
            </w:pPr>
          </w:p>
        </w:tc>
        <w:tc>
          <w:tcPr>
            <w:tcW w:w="2688" w:type="dxa"/>
            <w:vMerge/>
            <w:tcBorders>
              <w:left w:val="nil"/>
            </w:tcBorders>
          </w:tcPr>
          <w:p w14:paraId="56C48BDD" w14:textId="77777777" w:rsidR="00EF51D9" w:rsidRPr="00D8616D" w:rsidRDefault="00EF51D9" w:rsidP="00504E20">
            <w:pPr>
              <w:rPr>
                <w:rFonts w:ascii="Times New Roman" w:hAnsi="Times New Roman" w:cs="Times New Roman"/>
                <w:sz w:val="20"/>
                <w:szCs w:val="20"/>
              </w:rPr>
            </w:pPr>
          </w:p>
        </w:tc>
      </w:tr>
      <w:tr w:rsidR="00EF51D9" w:rsidRPr="00D8616D" w14:paraId="371F3D22" w14:textId="77777777" w:rsidTr="00504E20">
        <w:trPr>
          <w:trHeight w:val="259"/>
        </w:trPr>
        <w:tc>
          <w:tcPr>
            <w:tcW w:w="1276" w:type="dxa"/>
            <w:tcBorders>
              <w:right w:val="nil"/>
            </w:tcBorders>
            <w:vAlign w:val="center"/>
          </w:tcPr>
          <w:p w14:paraId="405F02EA"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SIDE </w:t>
            </w:r>
          </w:p>
        </w:tc>
        <w:tc>
          <w:tcPr>
            <w:tcW w:w="2127" w:type="dxa"/>
            <w:tcBorders>
              <w:left w:val="nil"/>
              <w:right w:val="nil"/>
            </w:tcBorders>
            <w:vAlign w:val="center"/>
          </w:tcPr>
          <w:p w14:paraId="17FF9171"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Proportion of Wolof, </w:t>
            </w:r>
            <w:proofErr w:type="spellStart"/>
            <w:r w:rsidRPr="00D8616D">
              <w:rPr>
                <w:rFonts w:ascii="Times New Roman" w:hAnsi="Times New Roman" w:cs="Times New Roman"/>
                <w:sz w:val="20"/>
                <w:szCs w:val="20"/>
              </w:rPr>
              <w:t>Pulaar</w:t>
            </w:r>
            <w:proofErr w:type="spellEnd"/>
            <w:r w:rsidRPr="00D8616D">
              <w:rPr>
                <w:rFonts w:ascii="Times New Roman" w:hAnsi="Times New Roman" w:cs="Times New Roman"/>
                <w:sz w:val="20"/>
                <w:szCs w:val="20"/>
              </w:rPr>
              <w:t xml:space="preserve">, Serer, </w:t>
            </w:r>
            <w:proofErr w:type="spellStart"/>
            <w:r w:rsidRPr="00D8616D">
              <w:rPr>
                <w:rFonts w:ascii="Times New Roman" w:hAnsi="Times New Roman" w:cs="Times New Roman"/>
                <w:sz w:val="20"/>
                <w:szCs w:val="20"/>
              </w:rPr>
              <w:t>Diola</w:t>
            </w:r>
            <w:proofErr w:type="spellEnd"/>
            <w:r w:rsidRPr="00D8616D">
              <w:rPr>
                <w:rFonts w:ascii="Times New Roman" w:hAnsi="Times New Roman" w:cs="Times New Roman"/>
                <w:sz w:val="20"/>
                <w:szCs w:val="20"/>
              </w:rPr>
              <w:t xml:space="preserve">, </w:t>
            </w:r>
            <w:proofErr w:type="spellStart"/>
            <w:r w:rsidRPr="00D8616D">
              <w:rPr>
                <w:rFonts w:ascii="Times New Roman" w:hAnsi="Times New Roman" w:cs="Times New Roman"/>
                <w:sz w:val="20"/>
                <w:szCs w:val="20"/>
              </w:rPr>
              <w:t>Mandingue</w:t>
            </w:r>
            <w:proofErr w:type="spellEnd"/>
            <w:r w:rsidRPr="00D8616D">
              <w:rPr>
                <w:rFonts w:ascii="Times New Roman" w:hAnsi="Times New Roman" w:cs="Times New Roman"/>
                <w:sz w:val="20"/>
                <w:szCs w:val="20"/>
              </w:rPr>
              <w:t xml:space="preserve">, Soninke, not Senegalese and other ethnic groups </w:t>
            </w:r>
          </w:p>
        </w:tc>
        <w:tc>
          <w:tcPr>
            <w:tcW w:w="1280" w:type="dxa"/>
            <w:tcBorders>
              <w:left w:val="nil"/>
              <w:right w:val="nil"/>
            </w:tcBorders>
            <w:vAlign w:val="center"/>
          </w:tcPr>
          <w:p w14:paraId="427B6C0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2013</w:t>
            </w:r>
          </w:p>
        </w:tc>
        <w:tc>
          <w:tcPr>
            <w:tcW w:w="1134" w:type="dxa"/>
            <w:tcBorders>
              <w:left w:val="nil"/>
              <w:right w:val="nil"/>
            </w:tcBorders>
            <w:vAlign w:val="center"/>
          </w:tcPr>
          <w:p w14:paraId="13EB0E93"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1000</w:t>
            </w:r>
          </w:p>
        </w:tc>
        <w:tc>
          <w:tcPr>
            <w:tcW w:w="1276" w:type="dxa"/>
            <w:tcBorders>
              <w:left w:val="nil"/>
              <w:right w:val="nil"/>
            </w:tcBorders>
            <w:vAlign w:val="center"/>
          </w:tcPr>
          <w:p w14:paraId="3B9AD753"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vAlign w:val="center"/>
          </w:tcPr>
          <w:p w14:paraId="3E434E4A"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ETH Zurich (https://icr.ethz.ch/data/side/)</w:t>
            </w:r>
          </w:p>
        </w:tc>
      </w:tr>
      <w:tr w:rsidR="00EF51D9" w:rsidRPr="00D8616D" w14:paraId="7C035B2A" w14:textId="77777777" w:rsidTr="00504E20">
        <w:trPr>
          <w:trHeight w:val="259"/>
        </w:trPr>
        <w:tc>
          <w:tcPr>
            <w:tcW w:w="1276" w:type="dxa"/>
            <w:tcBorders>
              <w:right w:val="nil"/>
            </w:tcBorders>
            <w:shd w:val="clear" w:color="auto" w:fill="auto"/>
            <w:vAlign w:val="center"/>
          </w:tcPr>
          <w:p w14:paraId="4479096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SRTM </w:t>
            </w:r>
          </w:p>
        </w:tc>
        <w:tc>
          <w:tcPr>
            <w:tcW w:w="2127" w:type="dxa"/>
            <w:tcBorders>
              <w:left w:val="nil"/>
              <w:right w:val="nil"/>
            </w:tcBorders>
            <w:shd w:val="clear" w:color="auto" w:fill="auto"/>
            <w:vAlign w:val="center"/>
          </w:tcPr>
          <w:p w14:paraId="726BB71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Elevation </w:t>
            </w:r>
          </w:p>
        </w:tc>
        <w:tc>
          <w:tcPr>
            <w:tcW w:w="1280" w:type="dxa"/>
            <w:tcBorders>
              <w:left w:val="nil"/>
              <w:right w:val="nil"/>
            </w:tcBorders>
            <w:shd w:val="clear" w:color="auto" w:fill="auto"/>
            <w:vAlign w:val="center"/>
          </w:tcPr>
          <w:p w14:paraId="295D0B43"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2000</w:t>
            </w:r>
          </w:p>
        </w:tc>
        <w:tc>
          <w:tcPr>
            <w:tcW w:w="1134" w:type="dxa"/>
            <w:tcBorders>
              <w:left w:val="nil"/>
              <w:right w:val="nil"/>
            </w:tcBorders>
            <w:shd w:val="clear" w:color="auto" w:fill="auto"/>
            <w:vAlign w:val="center"/>
          </w:tcPr>
          <w:p w14:paraId="7185CB80"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30</w:t>
            </w:r>
          </w:p>
        </w:tc>
        <w:tc>
          <w:tcPr>
            <w:tcW w:w="1276" w:type="dxa"/>
            <w:tcBorders>
              <w:left w:val="nil"/>
              <w:right w:val="nil"/>
            </w:tcBorders>
            <w:shd w:val="clear" w:color="auto" w:fill="auto"/>
            <w:vAlign w:val="center"/>
          </w:tcPr>
          <w:p w14:paraId="34DCD640"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shd w:val="clear" w:color="auto" w:fill="auto"/>
          </w:tcPr>
          <w:p w14:paraId="17142CB2"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US Geological Survey (USGS) (http://eros.usgs.gov/elevation-products)</w:t>
            </w:r>
          </w:p>
        </w:tc>
      </w:tr>
      <w:tr w:rsidR="00EF51D9" w:rsidRPr="00D8616D" w14:paraId="5E405343" w14:textId="77777777" w:rsidTr="00504E20">
        <w:trPr>
          <w:trHeight w:val="259"/>
        </w:trPr>
        <w:tc>
          <w:tcPr>
            <w:tcW w:w="1276" w:type="dxa"/>
            <w:tcBorders>
              <w:right w:val="nil"/>
            </w:tcBorders>
            <w:vAlign w:val="center"/>
          </w:tcPr>
          <w:p w14:paraId="27CD446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GLW</w:t>
            </w:r>
          </w:p>
        </w:tc>
        <w:tc>
          <w:tcPr>
            <w:tcW w:w="2127" w:type="dxa"/>
            <w:tcBorders>
              <w:left w:val="nil"/>
              <w:right w:val="nil"/>
            </w:tcBorders>
            <w:vAlign w:val="center"/>
          </w:tcPr>
          <w:p w14:paraId="08C718A4"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Density of goat, cattle, pig, poultry, sheep</w:t>
            </w:r>
          </w:p>
        </w:tc>
        <w:tc>
          <w:tcPr>
            <w:tcW w:w="1280" w:type="dxa"/>
            <w:tcBorders>
              <w:left w:val="nil"/>
              <w:right w:val="nil"/>
            </w:tcBorders>
            <w:vAlign w:val="center"/>
          </w:tcPr>
          <w:p w14:paraId="5908F589"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2010</w:t>
            </w:r>
          </w:p>
        </w:tc>
        <w:tc>
          <w:tcPr>
            <w:tcW w:w="1134" w:type="dxa"/>
            <w:tcBorders>
              <w:left w:val="nil"/>
              <w:right w:val="nil"/>
            </w:tcBorders>
            <w:vAlign w:val="center"/>
          </w:tcPr>
          <w:p w14:paraId="47C07E2F" w14:textId="77777777" w:rsidR="00EF51D9" w:rsidRPr="00D8616D" w:rsidRDefault="00EF51D9" w:rsidP="00504E20">
            <w:pPr>
              <w:jc w:val="center"/>
              <w:rPr>
                <w:rFonts w:ascii="Times New Roman" w:hAnsi="Times New Roman" w:cs="Times New Roman"/>
                <w:sz w:val="20"/>
                <w:szCs w:val="20"/>
              </w:rPr>
            </w:pPr>
            <w:r w:rsidRPr="00D8616D">
              <w:rPr>
                <w:rFonts w:ascii="Times New Roman" w:hAnsi="Times New Roman" w:cs="Times New Roman"/>
                <w:sz w:val="20"/>
                <w:szCs w:val="20"/>
              </w:rPr>
              <w:t>1000</w:t>
            </w:r>
          </w:p>
        </w:tc>
        <w:tc>
          <w:tcPr>
            <w:tcW w:w="1276" w:type="dxa"/>
            <w:tcBorders>
              <w:left w:val="nil"/>
              <w:right w:val="nil"/>
            </w:tcBorders>
            <w:vAlign w:val="center"/>
          </w:tcPr>
          <w:p w14:paraId="3EB59CC1"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Continuous</w:t>
            </w:r>
          </w:p>
        </w:tc>
        <w:tc>
          <w:tcPr>
            <w:tcW w:w="2688" w:type="dxa"/>
            <w:tcBorders>
              <w:left w:val="nil"/>
            </w:tcBorders>
            <w:vAlign w:val="center"/>
          </w:tcPr>
          <w:p w14:paraId="584B5D1F" w14:textId="77777777" w:rsidR="00EF51D9" w:rsidRPr="00D8616D" w:rsidRDefault="00EF51D9" w:rsidP="00504E20">
            <w:pPr>
              <w:rPr>
                <w:rFonts w:ascii="Times New Roman" w:hAnsi="Times New Roman" w:cs="Times New Roman"/>
                <w:sz w:val="20"/>
                <w:szCs w:val="20"/>
              </w:rPr>
            </w:pPr>
            <w:r w:rsidRPr="00D8616D">
              <w:rPr>
                <w:rFonts w:ascii="Times New Roman" w:hAnsi="Times New Roman" w:cs="Times New Roman"/>
                <w:sz w:val="20"/>
                <w:szCs w:val="20"/>
              </w:rPr>
              <w:t xml:space="preserve">FAO in collaboration with ILRI, the University of Oxford </w:t>
            </w:r>
            <w:r w:rsidRPr="00D8616D">
              <w:rPr>
                <w:rFonts w:ascii="Times New Roman" w:hAnsi="Times New Roman" w:cs="Times New Roman"/>
                <w:sz w:val="20"/>
                <w:szCs w:val="20"/>
              </w:rPr>
              <w:lastRenderedPageBreak/>
              <w:t xml:space="preserve">and the </w:t>
            </w:r>
            <w:proofErr w:type="spellStart"/>
            <w:r w:rsidRPr="00D8616D">
              <w:rPr>
                <w:rFonts w:ascii="Times New Roman" w:hAnsi="Times New Roman" w:cs="Times New Roman"/>
                <w:sz w:val="20"/>
                <w:szCs w:val="20"/>
              </w:rPr>
              <w:t>Université</w:t>
            </w:r>
            <w:proofErr w:type="spellEnd"/>
            <w:r w:rsidRPr="00D8616D">
              <w:rPr>
                <w:rFonts w:ascii="Times New Roman" w:hAnsi="Times New Roman" w:cs="Times New Roman"/>
                <w:sz w:val="20"/>
                <w:szCs w:val="20"/>
              </w:rPr>
              <w:t xml:space="preserve"> </w:t>
            </w:r>
            <w:proofErr w:type="spellStart"/>
            <w:r w:rsidRPr="00D8616D">
              <w:rPr>
                <w:rFonts w:ascii="Times New Roman" w:hAnsi="Times New Roman" w:cs="Times New Roman"/>
                <w:sz w:val="20"/>
                <w:szCs w:val="20"/>
              </w:rPr>
              <w:t>Libre</w:t>
            </w:r>
            <w:proofErr w:type="spellEnd"/>
            <w:r w:rsidRPr="00D8616D">
              <w:rPr>
                <w:rFonts w:ascii="Times New Roman" w:hAnsi="Times New Roman" w:cs="Times New Roman"/>
                <w:sz w:val="20"/>
                <w:szCs w:val="20"/>
              </w:rPr>
              <w:t xml:space="preserve"> de </w:t>
            </w:r>
            <w:proofErr w:type="spellStart"/>
            <w:r w:rsidRPr="00D8616D">
              <w:rPr>
                <w:rFonts w:ascii="Times New Roman" w:hAnsi="Times New Roman" w:cs="Times New Roman"/>
                <w:sz w:val="20"/>
                <w:szCs w:val="20"/>
              </w:rPr>
              <w:t>Bruxelles</w:t>
            </w:r>
            <w:proofErr w:type="spellEnd"/>
            <w:r w:rsidRPr="00D8616D">
              <w:rPr>
                <w:rFonts w:ascii="Times New Roman" w:hAnsi="Times New Roman" w:cs="Times New Roman"/>
                <w:sz w:val="20"/>
                <w:szCs w:val="20"/>
              </w:rPr>
              <w:t xml:space="preserve"> (http://www.fao.org)</w:t>
            </w:r>
          </w:p>
        </w:tc>
      </w:tr>
    </w:tbl>
    <w:p w14:paraId="64C72BD8" w14:textId="0E1AE664" w:rsidR="00EF51D9" w:rsidRPr="00D8616D" w:rsidRDefault="00EF51D9" w:rsidP="00576270">
      <w:pPr>
        <w:pStyle w:val="Heading2"/>
      </w:pPr>
      <w:r w:rsidRPr="00D8616D">
        <w:lastRenderedPageBreak/>
        <w:t xml:space="preserve">CHELSA </w:t>
      </w:r>
    </w:p>
    <w:p w14:paraId="47E9FCFF"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We computed the mean year-monthly precipitation, temperature at 2 m, potential evapotranspiration and near-surface relative humidity over period 1988 – 2018 from CHELSA (</w:t>
      </w:r>
      <w:proofErr w:type="spellStart"/>
      <w:r w:rsidRPr="00D8616D">
        <w:rPr>
          <w:rFonts w:ascii="Times New Roman" w:hAnsi="Times New Roman" w:cs="Times New Roman"/>
          <w:bCs/>
          <w:sz w:val="24"/>
          <w:szCs w:val="24"/>
        </w:rPr>
        <w:t>Climatologies</w:t>
      </w:r>
      <w:proofErr w:type="spellEnd"/>
      <w:r w:rsidRPr="00D8616D">
        <w:rPr>
          <w:rFonts w:ascii="Times New Roman" w:hAnsi="Times New Roman" w:cs="Times New Roman"/>
          <w:bCs/>
          <w:sz w:val="24"/>
          <w:szCs w:val="24"/>
        </w:rPr>
        <w:t xml:space="preserve"> at high resolution for the earth’s land surface areas) v2.1 climate data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{"citationID":"C09RGLYJ","properties":{"formattedCitation":"[11]","plainCitation":"[11]","noteIndex":0},"citationItems":[{"id":1302,"uris":["http://zotero.org/users/10170906/items/HMEDZ8KY"],"itemData":{"id":1302,"type":"article-journal","abstract":"High-resolution information on climatic conditions is essential to many applications in environmental and ecological sciences. Here we present the CHELSA (Climatologies at high resolution for the earth’s land surface areas) data of downscaled model output temperature and precipitation estimates of the ERA-Interim climatic reanalysis to a high resolution of 30 arc sec. The temperature algorithm is based on statistical downscaling of atmospheric temperatures. The precipitation algorithm incorporates orographic predictors including wind fields, valley exposition, and boundary layer height, with a subsequent bias correction. The resulting data consist of a monthly temperature and precipitation climatology for the years 1979–2013. We compare the data derived from the CHELSA algorithm with other standard gridded products and station data from the Global Historical Climate Network. We compare the performance of the new climatologies in species distribution modelling and show that we can increase the accuracy of species range predictions. We further show that CHELSA climatological data has a similar accuracy as other products for temperature, but that its predictions of precipitation patterns are better.","container-title":"Scientific Data","DOI":"10.1038/sdata.2017.122","ISSN":"2052-4463","issue":"1","journalAbbreviation":"Sci Data","language":"en","license":"2017 The Author(s)","note":"number: 1\npublisher: Nature Publishing Group","page":"170122","source":"www.nature.com","title":"Climatologies at high resolution for the earth’s land surface areas","volume":"4","author":[{"family":"Karger","given":"Dirk Nikolaus"},{"family":"Conrad","given":"Olaf"},{"family":"Böhner","given":"Jürgen"},{"family":"Kawohl","given":"Tobias"},{"family":"Kreft","given":"Holger"},{"family":"Soria-Auza","given":"Rodrigo Wilber"},{"family":"Zimmermann","given":"Niklaus E."},{"family":"Linder","given":"H. Peter"},{"family":"Kessler","given":"Michael"}],"issued":{"date-parts":[["2017",9,5]]}}}],"schema":"https://github.com/citation-style-language/schema/raw/master/csl-citation.json"}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[11]</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CHELSA are statistically downscaled model output estimates at 30 arc sec (~1 km). While showing a similar accuracy with WorldClim temperature estimates, previous work shows that CHELSA precipitation data are more accurate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{"citationID":"M7y2kY4y","properties":{"formattedCitation":"[11]","plainCitation":"[11]","noteIndex":0},"citationItems":[{"id":1302,"uris":["http://zotero.org/users/10170906/items/HMEDZ8KY"],"itemData":{"id":1302,"type":"article-journal","abstract":"High-resolution information on climatic conditions is essential to many applications in environmental and ecological sciences. Here we present the CHELSA (Climatologies at high resolution for the earth’s land surface areas) data of downscaled model output temperature and precipitation estimates of the ERA-Interim climatic reanalysis to a high resolution of 30 arc sec. The temperature algorithm is based on statistical downscaling of atmospheric temperatures. The precipitation algorithm incorporates orographic predictors including wind fields, valley exposition, and boundary layer height, with a subsequent bias correction. The resulting data consist of a monthly temperature and precipitation climatology for the years 1979–2013. We compare the data derived from the CHELSA algorithm with other standard gridded products and station data from the Global Historical Climate Network. We compare the performance of the new climatologies in species distribution modelling and show that we can increase the accuracy of species range predictions. We further show that CHELSA climatological data has a similar accuracy as other products for temperature, but that its predictions of precipitation patterns are better.","container-title":"Scientific Data","DOI":"10.1038/sdata.2017.122","ISSN":"2052-4463","issue":"1","journalAbbreviation":"Sci Data","language":"en","license":"2017 The Author(s)","note":"number: 1\npublisher: Nature Publishing Group","page":"170122","source":"www.nature.com","title":"Climatologies at high resolution for the earth’s land surface areas","volume":"4","author":[{"family":"Karger","given":"Dirk Nikolaus"},{"family":"Conrad","given":"Olaf"},{"family":"Böhner","given":"Jürgen"},{"family":"Kawohl","given":"Tobias"},{"family":"Kreft","given":"Holger"},{"family":"Soria-Auza","given":"Rodrigo Wilber"},{"family":"Zimmermann","given":"Niklaus E."},{"family":"Linder","given":"H. Peter"},{"family":"Kessler","given":"Michael"}],"issued":{"date-parts":[["2017",9,5]]}}}],"schema":"https://github.com/citation-style-language/schema/raw/master/csl-citation.json"}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[11]</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and should be preferred over interpolated data (i.e. WorldClim) in areas where weather stations are sparsely distributed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{"citationID":"tWNOu9E0","properties":{"formattedCitation":"[11,12]","plainCitation":"[11,12]","noteIndex":0},"citationItems":[{"id":1302,"uris":["http://zotero.org/users/10170906/items/HMEDZ8KY"],"itemData":{"id":1302,"type":"article-journal","abstract":"High-resolution information on climatic conditions is essential to many applications in environmental and ecological sciences. Here we present the CHELSA (Climatologies at high resolution for the earth’s land surface areas) data of downscaled model output temperature and precipitation estimates of the ERA-Interim climatic reanalysis to a high resolution of 30 arc sec. The temperature algorithm is based on statistical downscaling of atmospheric temperatures. The precipitation algorithm incorporates orographic predictors including wind fields, valley exposition, and boundary layer height, with a subsequent bias correction. The resulting data consist of a monthly temperature and precipitation climatology for the years 1979–2013. We compare the data derived from the CHELSA algorithm with other standard gridded products and station data from the Global Historical Climate Network. We compare the performance of the new climatologies in species distribution modelling and show that we can increase the accuracy of species range predictions. We further show that CHELSA climatological data has a similar accuracy as other products for temperature, but that its predictions of precipitation patterns are better.","container-title":"Scientific Data","DOI":"10.1038/sdata.2017.122","ISSN":"2052-4463","issue":"1","journalAbbreviation":"Sci Data","language":"en","license":"2017 The Author(s)","note":"number: 1\npublisher: Nature Publishing Group","page":"170122","source":"www.nature.com","title":"Climatologies at high resolution for the earth’s land surface areas","volume":"4","author":[{"family":"Karger","given":"Dirk Nikolaus"},{"family":"Conrad","given":"Olaf"},{"family":"Böhner","given":"Jürgen"},{"family":"Kawohl","given":"Tobias"},{"family":"Kreft","given":"Holger"},{"family":"Soria-Auza","given":"Rodrigo Wilber"},{"family":"Zimmermann","given":"Niklaus E."},{"family":"Linder","given":"H. Peter"},{"family":"Kessler","given":"Michael"}],"issued":{"date-parts":[["2017",9,5]]}}},{"id":1300,"uris":["http://zotero.org/users/10170906/items/R3G9UYBX"],"itemData":{"id":1300,"type":"article-journal","abstract":"Mountainous regions are highly hazardous, and these hazards often lead to loss of human life. The Hindu Kush Himalaya (HKH), like many mountainous regions, is the site of multiple and overlapping natural hazards, but the distribution of multi-hazard risk and the populations exposed to it are poorly understood. Here, we present high-resolution transboundary models describing susceptibility to floods, landslides, and wildfires to understand population exposure to multi-hazard risk across the HKH. These models are created from historical remotely sensed data and hazard catalogs by the maximum entropy (Maxent) machine learning technique. Our results show that human settlements in the HKH are disproportionately concentrated in areas of high multi-hazard risk. In contrast, low-hazard areas are disproportionately unpopulated. Nearly half of the population in the region lives in areas that are highly susceptible to more than one hazard. Warm low-altitude foothill areas with perennially moist soils were identified as highly susceptible to multiple hazards. This area comprises only 31% of the study region, but is home to 49% of its population. The results also show that areas susceptible to multiple hazards are also major corridors of current migration and urban expansion, suggesting that current rates and patterns of urbanization will continue to put more people at risk. This study establishes that the population in the HKH is concentrated in areas susceptible to multiple hazards and suggests that current patterns of human movement will continue to increase exposure to multi-hazards in the HKH.","container-title":"Science of The Total Environment","DOI":"10.1016/j.scitotenv.2021.150039","ISSN":"0048-9697","journalAbbreviation":"Science of The Total Environment","language":"en","page":"150039","source":"ScienceDirect","title":"Multi-hazard susceptibility and exposure assessment of the Hindu Kush Himalaya","volume":"804","author":[{"family":"Rusk","given":"Jack"},{"family":"Maharjan","given":"Amina"},{"family":"Tiwari","given":"Prakash"},{"family":"Chen","given":"Tzu-Hsin Karen"},{"family":"Shneiderman","given":"Sara"},{"family":"Turin","given":"Mark"},{"family":"Seto","given":"Karen C."}],"issued":{"date-parts":[["2022",1,15]]}}}],"schema":"https://github.com/citation-style-language/schema/raw/master/csl-citation.json"}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[11,12]</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Hence, for replicability of this work beyond Senegal, we used CHELSA climate data over other existing products. </w:t>
      </w:r>
    </w:p>
    <w:p w14:paraId="769BA251" w14:textId="0217413C" w:rsidR="00EF51D9" w:rsidRPr="00D8616D" w:rsidRDefault="00EF51D9" w:rsidP="00576270">
      <w:pPr>
        <w:pStyle w:val="Heading2"/>
      </w:pPr>
      <w:r w:rsidRPr="00D8616D">
        <w:t xml:space="preserve">MODIS LST  </w:t>
      </w:r>
    </w:p>
    <w:p w14:paraId="4BAEFBE8"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From MODIS Aqua and Terra data collections (MYD11A1 v006 and MOD11A1 v006)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{"citationID":"uA3bVCdV","properties":{"formattedCitation":"[13,14]","plainCitation":"[13,14]","noteIndex":0},"citationItems":[{"id":1323,"uris":["http://zotero.org/users/10170906/items/A4RYI3RI"],"itemData":{"id":1323,"type":"report","publisher":"NASA EOSDIS Land Processes DAAC","source":"DOI.org (Datacite)","title":"MODIS/Terra Land Surface Temperature/Emissivity Daily L3 Global 1km SIN Grid V061 [dataset]","URL":"https://doi.org/10.5067/MODIS/MOD11A1.061","author":[{"family":"Wan","given":"Zhengming"},{"family":"Hook","given":"Simon"},{"family":"Hulley,","given":"Glynn"}],"accessed":{"date-parts":[["2023",5,10]]},"issued":{"date-parts":[["2021"]]}}},{"id":1324,"uris":["http://zotero.org/users/10170906/items/49R4WMXP"],"itemData":{"id":1324,"type":"report","publisher":"NASA EOSDIS Land Processes DAAC","source":"DOI.org (Datacite)","title":"MODIS/Aqua Land Surface Temperature/Emissivity Daily L3 Global 1km SIN Grid V061 [dataset]","URL":"https://doi.org/10.5067/MODIS/MYD11A1.061","author":[{"family":"Wan","given":"Zhengming"},{"family":"Hook","given":"Simon"},{"family":"Hulley,","given":"Glynn"}],"accessed":{"date-parts":[["2023",5,10]]},"issued":{"date-parts":[["2021"]]}}}],"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[13,14]</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we also extracted the mean monthly day and night land surface temperature (LST), and the mean daily LST range (the difference between the maximum and minimum daily LST) at 1 km resolution over 2017 (DHS) and 2020 (MIS). </w:t>
      </w:r>
    </w:p>
    <w:p w14:paraId="1302BE23" w14:textId="48E27939" w:rsidR="00EF51D9" w:rsidRPr="00D8616D" w:rsidRDefault="00EF51D9" w:rsidP="00576270">
      <w:pPr>
        <w:pStyle w:val="Heading2"/>
      </w:pPr>
      <w:r w:rsidRPr="00D8616D">
        <w:t xml:space="preserve">Vegetation indices </w:t>
      </w:r>
    </w:p>
    <w:p w14:paraId="6B4509CC"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Normalized difference vegetation, water and moisture indices (NDVI, NDWI, NDMI) were computed from the 2017 (DHS) and 2020 (MIS) Sentinel-2 L1C cloud-free composites (10 m resolution) of the Joint Research Centre (JRC)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{"citationID":"TtK5ZVzN","properties":{"formattedCitation":"[15]","plainCitation":"[15]","noteIndex":0},"citationItems":[{"id":1223,"uris":["http://zotero.org/users/10170906/items/728FACNU"],"itemData":{"id":1223,"type":"article-journal","container-title":"Data in Brief","DOI":"10.1016/j.dib.2021.107488","ISSN":"23523409","journalAbbreviation":"Data in Brief","language":"en","page":"107488","source":"DOI.org (Crossref)","title":"Pan-tropical Sentinel-2 cloud-free annual composite datasets","volume":"39","author":[{"family":"Simonetti","given":"D."},{"family":"Pimple","given":"U."},{"family":"Langner","given":"A."},{"family":"Marelli","given":"A."}],"issued":{"date-parts":[["2021",12]]}}}],"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[15]</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The methodology to create these Sentinel-2 L1C composites is tailored to the pan-tropical zone (e.g. Senegal) where the large cloud cover sometimes leads to the lack of cloud-free images for months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{"citationID":"iSSt7wzS","properties":{"formattedCitation":"[15]","plainCitation":"[15]","noteIndex":0},"citationItems":[{"id":1223,"uris":["http://zotero.org/users/10170906/items/728FACNU"],"itemData":{"id":1223,"type":"article-journal","container-title":"Data in Brief","DOI":"10.1016/j.dib.2021.107488","ISSN":"23523409","journalAbbreviation":"Data in Brief","language":"en","page":"107488","source":"DOI.org (Crossref)","title":"Pan-tropical Sentinel-2 cloud-free annual composite datasets","volume":"39","author":[{"family":"Simonetti","given":"D."},{"family":"Pimple","given":"U."},{"family":"Langner","given":"A."},{"family":"Marelli","given":"A."}],"issued":{"date-parts":[["2021",12]]}}}],"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[15]</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Although not atmospherically corrected, these composites can be used directly for extracting vegetation indices, as done in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{"citationID":"hdXdQnEH","properties":{"formattedCitation":"[16]","plainCitation":"[16]","noteIndex":0},"citationItems":[{"id":1250,"uris":["http://zotero.org/users/10170906/items/4TM369V7"],"itemData":{"id":1250,"type":"article-journal","abstract":"High-resolution Earth observation data is routinely used to monitor tropical forests. However, the seasonality and openness of the canopy of dry tropical forests remains a challenge for optical sensors. In this study, we demonstrate the potential of combining Sentinel-1 (S1) SAR and Sentinel-2 (S2) optical sensors in order to map the tree cover in East Africa. The overall methodology consists of: (i) the generation of S1 and S2 layers, (ii) the collection of an expert-based training/validation dataset and (iii) the classification of the satellite data. Three different classification workflows, together with different approaches to incorporating the spatial information to train the classifiers, are explored. Two types of maps were derived from these mapping approaches over Tanzania: (i) binary tree cover–no tree cover (TC/NTC) maps, and (ii) maps of the canopy cover classes. The overall accuracy of the maps is &gt;95% for the TC/NTC maps and &gt;85% for the forest types maps. Considering the neighboring pixels for training the classification improved the mapping of the areas that are covered by 1–10% tree cover. The study relied on open data and publicly available tools and can be integrated into national monitoring systems.","container-title":"Remote Sensing","DOI":"10.3390/rs14061522","ISSN":"2072-4292","issue":"6","language":"en","license":"http://creativecommons.org/licenses/by/3.0/","note":"number: 6\npublisher: Multidisciplinary Digital Publishing Institute","page":"1522","source":"www.mdpi.com","title":"Mapping Canopy Cover in African Dry Forests from the Combined Use of Sentinel-1 and Sentinel-2 Data: Application to Tanzania for the Year 2018","title-short":"Mapping Canopy Cover in African Dry Forests from the Combined Use of Sentinel-1 and Sentinel-2 Data","volume":"14","author":[{"family":"Verhegghen","given":"Astrid"},{"family":"Kuzelova","given":"Klara"},{"family":"Syrris","given":"Vasileios"},{"family":"Eva","given":"Hugh"},{"family":"Achard","given":"Frédéric"}],"issued":{"date-parts":[["2022",1]]}}}],"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[16]</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as these are less influenced by atmospheric effects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{"citationID":"4lXkTZfS","properties":{"formattedCitation":"[15,16]","plainCitation":"[15,16]","noteIndex":0},"citationItems":[{"id":1223,"uris":["http://zotero.org/users/10170906/items/728FACNU"],"itemData":{"id":1223,"type":"article-journal","container-title":"Data in Brief","DOI":"10.1016/j.dib.2021.107488","ISSN":"23523409","journalAbbreviation":"Data in Brief","language":"en","page":"107488","source":"DOI.org (Crossref)","title":"Pan-tropical Sentinel-2 cloud-free annual composite datasets","volume":"39","author":[{"family":"Simonetti","given":"D."},{"family":"Pimple","given":"U."},{"family":"Langner","given":"A."},{"family":"Marelli","given":"A."}],"issued":{"date-parts":[["2021",12]]}}},{"id":1250,"uris":["http://zotero.org/users/10170906/items/4TM369V7"],"itemData":{"id":1250,"type":"article-journal","abstract":"High-resolution Earth observation data is routinely used to monitor tropical forests. However, the seasonality and openness of the canopy of dry tropical forests remains a challenge for optical sensors. In this study, we demonstrate the potential of combining Sentinel-1 (S1) SAR and Sentinel-2 (S2) optical sensors in order to map the tree cover in East Africa. The overall methodology consists of: (i) the generation of S1 and S2 layers, (ii) the collection of an expert-based training/validation dataset and (iii) the classification of the satellite data. Three different classification workflows, together with different approaches to incorporating the spatial information to train the classifiers, are explored. Two types of maps were derived from these mapping approaches over Tanzania: (i) binary tree cover–no tree cover (TC/NTC) maps, and (ii) maps of the canopy cover classes. The overall accuracy of the maps is &gt;95% for the TC/NTC maps and &gt;85% for the forest types maps. Considering the neighboring pixels for training the classification improved the mapping of the areas that are covered by 1–10% tree cover. The study relied on open data and publicly available tools and can be integrated into national monitoring systems.","container-title":"Remote Sensing","DOI":"10.3390/rs14061522","ISSN":"2072-4292","issue":"6","language":"en","license":"http://creativecommons.org/licenses/by/3.0/","note":"number: 6\npublisher: Multidisciplinary Digital Publishing Institute","page":"1522","source":"www.mdpi.com","title":"Mapping Canopy Cover in African Dry Forests from the Combined Use of Sentinel-1 and Sentinel-2 Data: Application to Tanzania for the Year 2018","title-short":"Mapping Canopy Cover in African Dry Forests from the Combined Use of Sentinel-1 and Sentinel-2 Data","volume":"14","author":[{"family":"Verhegghen","given":"Astrid"},{"family":"Kuzelova","given":"Klara"},{"family":"Syrris","given":"Vasileios"},{"family":"Eva","given":"Hugh"},{"family":"Achard","given":"Frédéric"}],"issued":{"date-parts":[["2022",1]]}}}],"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[15,16]</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So far, existing Sentinel-2 L2A composites (e.g. the Sentinel-2 Global Mosaic service) are often prone to errors due to the quality of the scene classification of Sentinel-2 L2A data and cloud masks provided by the Copernicus service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{"citationID":"w33JL2Gb","properties":{"formattedCitation":"[15]","plainCitation":"[15]","noteIndex":0},"citationItems":[{"id":1223,"uris":["http://zotero.org/users/10170906/items/728FACNU"],"itemData":{"id":1223,"type":"article-journal","container-title":"Data in Brief","DOI":"10.1016/j.dib.2021.107488","ISSN":"23523409","journalAbbreviation":"Data in Brief","language":"en","page":"107488","source":"DOI.org (Crossref)","title":"Pan-tropical Sentinel-2 cloud-free annual composite datasets","volume":"39","author":[{"family":"Simonetti","given":"D."},{"family":"Pimple","given":"U."},{"family":"Langner","given":"A."},{"family":"Marelli","given":"A."}],"issued":{"date-parts":[["2021",12]]}}}],"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[15]</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t>
      </w:r>
    </w:p>
    <w:p w14:paraId="5295C315" w14:textId="472DB0AB" w:rsidR="00EF51D9" w:rsidRPr="00D8616D" w:rsidRDefault="00EF51D9" w:rsidP="00576270">
      <w:pPr>
        <w:pStyle w:val="Heading2"/>
      </w:pPr>
      <w:r w:rsidRPr="00D8616D">
        <w:t xml:space="preserve">World Settlement Footprint </w:t>
      </w:r>
    </w:p>
    <w:p w14:paraId="1A3A3C84" w14:textId="4A6991AC" w:rsidR="002B0004"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The World Settlement Footprint (WSF) is a global binary mask of human settlements available at 10 m spatial resolution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{"citationID":"uvDlDOCh","properties":{"formattedCitation":"[17]","plainCitation":"[17]","noteIndex":0},"citationItems":[{"id":1328,"uris":["http://zotero.org/users/10170906/items/RF4KAB4G"],"itemData":{"id":1328,"type":"article-journal","abstract":"Human settlements are the cause and consequence of most environmental and societal changes on Earth; however, their location and extent is still under debate. We provide here a new 10 m resolution (0.32 arc sec) global map of human settlements on Earth for the year 2015, namely the World Settlement Footprint 2015 (WSF2015). The raster dataset has been generated by means of an advanced classification system which, for the first time, jointly exploits open-and-free optical and radar satellite imagery. The WSF2015 has been validated against 900,000 samples labelled by crowdsourcing photointerpretation of very high resolution Google Earth imagery and outperforms all other similar existing layers; in particular, it considerably improves the detection of very small settlements in rural regions and better outlines scattered suburban areas. The dataset can be used at any scale of observation in support to all applications requiring detailed and accurate information on human presence (e.g., socioeconomic development, population distribution, risks assessment, etc.).","container-title":"Scientific Data","DOI":"10.1038/s41597-020-00580-5","ISSN":"2052-4463","issue":"1","journalAbbreviation":"Sci Data","language":"en","license":"2020 The Author(s)","note":"number: 1\npublisher: Nature Publishing Group","page":"242","source":"www.nature.com","title":"Outlining where humans live, the World Settlement Footprint 2015","volume":"7","author":[{"family":"Marconcini","given":"Mattia"},{"family":"Metz-Marconcini","given":"Annekatrin"},{"family":"Üreyen","given":"Soner"},{"family":"Palacios-Lopez","given":"Daniela"},{"family":"Hanke","given":"Wiebke"},{"family":"Bachofer","given":"Felix"},{"family":"Zeidler","given":"Julian"},{"family":"Esch","given":"Thomas"},{"family":"Gorelick","given":"Noel"},{"family":"Kakarla","given":"Ashwin"},{"family":"Paganini","given":"Marc"},{"family":"Strano","given":"Emanuele"}],"issued":{"date-parts":[["2020",7,20]]}}}],"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[17]</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t>
      </w:r>
      <w:r w:rsidR="008E4AE3" w:rsidRPr="00D8616D">
        <w:rPr>
          <w:rFonts w:ascii="Times New Roman" w:hAnsi="Times New Roman" w:cs="Times New Roman"/>
          <w:bCs/>
          <w:sz w:val="24"/>
          <w:szCs w:val="24"/>
        </w:rPr>
        <w:t xml:space="preserve">Here we used the WSF from the years 2015 (DHS) and 2019 (MIS). </w:t>
      </w:r>
      <w:r w:rsidRPr="00D8616D">
        <w:rPr>
          <w:rFonts w:ascii="Times New Roman" w:hAnsi="Times New Roman" w:cs="Times New Roman"/>
          <w:bCs/>
          <w:sz w:val="24"/>
          <w:szCs w:val="24"/>
        </w:rPr>
        <w:t>Th</w:t>
      </w:r>
      <w:r w:rsidR="009B246A">
        <w:rPr>
          <w:rFonts w:ascii="Times New Roman" w:hAnsi="Times New Roman" w:cs="Times New Roman"/>
          <w:bCs/>
          <w:sz w:val="24"/>
          <w:szCs w:val="24"/>
        </w:rPr>
        <w:t>ese</w:t>
      </w:r>
      <w:r w:rsidRPr="00D8616D">
        <w:rPr>
          <w:rFonts w:ascii="Times New Roman" w:hAnsi="Times New Roman" w:cs="Times New Roman"/>
          <w:bCs/>
          <w:sz w:val="24"/>
          <w:szCs w:val="24"/>
        </w:rPr>
        <w:t xml:space="preserve"> dataset</w:t>
      </w:r>
      <w:r w:rsidR="009B246A">
        <w:rPr>
          <w:rFonts w:ascii="Times New Roman" w:hAnsi="Times New Roman" w:cs="Times New Roman"/>
          <w:bCs/>
          <w:sz w:val="24"/>
          <w:szCs w:val="24"/>
        </w:rPr>
        <w:t>s</w:t>
      </w:r>
      <w:r w:rsidRPr="00D8616D">
        <w:rPr>
          <w:rFonts w:ascii="Times New Roman" w:hAnsi="Times New Roman" w:cs="Times New Roman"/>
          <w:bCs/>
          <w:sz w:val="24"/>
          <w:szCs w:val="24"/>
        </w:rPr>
        <w:t xml:space="preserve"> w</w:t>
      </w:r>
      <w:r w:rsidR="009B246A">
        <w:rPr>
          <w:rFonts w:ascii="Times New Roman" w:hAnsi="Times New Roman" w:cs="Times New Roman"/>
          <w:bCs/>
          <w:sz w:val="24"/>
          <w:szCs w:val="24"/>
        </w:rPr>
        <w:t>ere</w:t>
      </w:r>
      <w:r w:rsidRPr="00D8616D">
        <w:rPr>
          <w:rFonts w:ascii="Times New Roman" w:hAnsi="Times New Roman" w:cs="Times New Roman"/>
          <w:bCs/>
          <w:sz w:val="24"/>
          <w:szCs w:val="24"/>
        </w:rPr>
        <w:t xml:space="preserve"> created by the German Aerospace </w:t>
      </w:r>
      <w:proofErr w:type="spellStart"/>
      <w:r w:rsidRPr="00D8616D">
        <w:rPr>
          <w:rFonts w:ascii="Times New Roman" w:hAnsi="Times New Roman" w:cs="Times New Roman"/>
          <w:bCs/>
          <w:sz w:val="24"/>
          <w:szCs w:val="24"/>
        </w:rPr>
        <w:t>Center</w:t>
      </w:r>
      <w:proofErr w:type="spellEnd"/>
      <w:r w:rsidRPr="00D8616D">
        <w:rPr>
          <w:rFonts w:ascii="Times New Roman" w:hAnsi="Times New Roman" w:cs="Times New Roman"/>
          <w:bCs/>
          <w:sz w:val="24"/>
          <w:szCs w:val="24"/>
        </w:rPr>
        <w:t xml:space="preserve"> from Sentinel-1 radar </w:t>
      </w:r>
      <w:r w:rsidR="009B246A">
        <w:rPr>
          <w:rFonts w:ascii="Times New Roman" w:hAnsi="Times New Roman" w:cs="Times New Roman"/>
          <w:bCs/>
          <w:sz w:val="24"/>
          <w:szCs w:val="24"/>
        </w:rPr>
        <w:t>a</w:t>
      </w:r>
      <w:r w:rsidRPr="00D8616D">
        <w:rPr>
          <w:rFonts w:ascii="Times New Roman" w:hAnsi="Times New Roman" w:cs="Times New Roman"/>
          <w:bCs/>
          <w:sz w:val="24"/>
          <w:szCs w:val="24"/>
        </w:rPr>
        <w:t>nd Landsat-8 optical image</w:t>
      </w:r>
      <w:r w:rsidR="009B246A">
        <w:rPr>
          <w:rFonts w:ascii="Times New Roman" w:hAnsi="Times New Roman" w:cs="Times New Roman"/>
          <w:bCs/>
          <w:sz w:val="24"/>
          <w:szCs w:val="24"/>
        </w:rPr>
        <w:t xml:space="preserve">ry (2015) and </w:t>
      </w:r>
      <w:r w:rsidR="009B246A" w:rsidRPr="009B246A">
        <w:rPr>
          <w:rFonts w:ascii="Times New Roman" w:hAnsi="Times New Roman" w:cs="Times New Roman"/>
          <w:bCs/>
          <w:sz w:val="24"/>
          <w:szCs w:val="24"/>
        </w:rPr>
        <w:t>Sentinel-1 and Sentinel-2 imagery (2019</w:t>
      </w:r>
      <w:r w:rsidR="009B246A">
        <w:rPr>
          <w:rFonts w:ascii="Times New Roman" w:hAnsi="Times New Roman" w:cs="Times New Roman"/>
          <w:bCs/>
          <w:sz w:val="24"/>
          <w:szCs w:val="24"/>
        </w:rPr>
        <w:t>)</w:t>
      </w:r>
      <w:r w:rsidRPr="00D8616D">
        <w:rPr>
          <w:rFonts w:ascii="Times New Roman" w:hAnsi="Times New Roman" w:cs="Times New Roman"/>
          <w:bCs/>
          <w:sz w:val="24"/>
          <w:szCs w:val="24"/>
        </w:rPr>
        <w:t xml:space="preserve">. </w:t>
      </w:r>
    </w:p>
    <w:p w14:paraId="33DFDC14" w14:textId="6A146CF6" w:rsidR="00EF51D9" w:rsidRPr="00D8616D" w:rsidRDefault="00576270" w:rsidP="00576270">
      <w:pPr>
        <w:pStyle w:val="Heading2"/>
      </w:pPr>
      <w:r>
        <w:t>Global</w:t>
      </w:r>
      <w:r w:rsidR="00EF51D9" w:rsidRPr="00D8616D">
        <w:t xml:space="preserve"> Human Settlement Layer </w:t>
      </w:r>
    </w:p>
    <w:p w14:paraId="2E0AC34F"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As other human settlement data, we also used the 2018 Global Human Settlement Layer (GHSL) depicted as the built-up surfaces in terms of square meters for residential areas (GHS-BUILT-S (RES)). These data are derived from Sentinel-2 L1C cloud-free composites, and it is hence available at 10 m spatial resolution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{"citationID":"VCk3wPrl","properties":{"formattedCitation":"[18]","plainCitation":"[18]","noteIndex":0},"citationItems":[{"id":1119,"uris":["http://zotero.org/users/10170906/items/56FIPBUD"],"itemData":{"id":1119,"type":"article-journal","abstract":"A general framework for processing high and very-high resolution imagery in support of a Global Human Settlement Layer (GHSL) is presented together with a discussion on the results of the first operational test of the production workflow. The test involved the mapping of 24.3 million km2 of the Earth surface spread in four continents, corresponding to an estimated population of 1.3 billion people in 2010. The resolution of the input image data ranges from 0.5 to 10 meters, collected by a heterogeneous set of platforms including satellite SPOT (2 and 5), CBERS 2B, RapidEye (2 and 4), WorldView (1 and 2), GeoEye 1, QuickBird 2, Ikonos 2, and airborne sensors. Several imaging modes were tested including panchromatic, multispectral and pan-sharpened images. A new fully automatic image information extraction, generalization and mosaic workflow is presented that is based on multiscale textural and morphological image features extraction. New image feature compression and optimization are introduced, together with new learning and classification techniques allowing for the processing of HR/VHR image data using low-resolution thematic layers as reference. A new systematic approach for quality control and validation allowing global spatial and thematic consistency checking is proposed and applied. The quality of the results are discussed by sensor, band, resolution, and eco-regions. Critical points, lessons learned and next steps are highlighted.","DOI":"10.1109/JSTARS.2013.2271445","note":"event-title: IEEE Journal of Selected Topics in Applied Earth Observations and Remote Sensing","source":"IEEE Xplore","title":"A Global Human Settlement Layer From Optical HR/VHR RS Data: Concept and First Results","title-short":"A Global Human Settlement Layer From Optical HR/VHR RS Data","author":[{"family":"Pesaresi","given":"Martino"},{"family":"Huadong","given":"Guo"},{"family":"Blaes","given":"Xavier"},{"family":"Ehrlich","given":"Daniele"},{"family":"Ferri","given":"Stefano"},{"family":"Gueguen","given":"Lionel"},{"family":"Halkia","given":"Matina"},{"family":"Kauffmann","given":"Mayeul"},{"family":"Kemper","given":"Thomas"},{"family":"Lu","given":"Linlin"},{"family":"Marin-Herrera","given":"Mario A."},{"family":"Ouzounis","given":"Georgios K."},{"family":"Scavazzon","given":"Marco"},{"family":"Soille","given":"Pierre"},{"family":"Syrris","given":"Vasileios"},{"family":"Zanchetta","given":"Luigi"}],"issued":{"date-parts":[["2013",10]]}}}],"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[18]</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In addition, we also used the averaged building height (GHS-BUILT-H) from the same project, which is available at 100 m spatial resolution and is derived from digital elevation models (AW3D30, 2006-2011 and SRTM30, 2000) and Sentinel-2 cloud-free composites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{"citationID":"AArCad6T","properties":{"formattedCitation":"[19]","plainCitation":"[19]","noteIndex":0},"citationItems":[{"id":1397,"uris":["http://zotero.org/users/10170906/items/9AJZI7WR"],"itemData":{"id":1397,"type":"report","language":"en","note":"publisher: European Commission, Joint Research Centre (JRC)","publisher":"European Commission, Joint Research Centre (JRC)","source":"data.jrc.ec.europa.eu","title":"GHS-BUILT-H R2023A - GHS building height, derived from AW3D30, SRTM30, and Sentinel2 composite (2018) [dataset]","URL":"https://doi.org/10.2905/85005901-3A49-48DD-9D19-6261354F56FE","author":[{"family":"Pesaresi","given":"Martino"},{"family":"Politis","given":"Panagiotis"}],"accessed":{"date-parts":[["2023",5,23]]},"issued":{"date-parts":[["2023",5,8]]}}}],"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[19]</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t>
      </w:r>
    </w:p>
    <w:p w14:paraId="6DF37195" w14:textId="2B720D52" w:rsidR="00EF51D9" w:rsidRPr="00D8616D" w:rsidRDefault="00EF51D9" w:rsidP="00576270">
      <w:pPr>
        <w:pStyle w:val="Heading2"/>
      </w:pPr>
      <w:r w:rsidRPr="00D8616D">
        <w:lastRenderedPageBreak/>
        <w:t xml:space="preserve">Dynamic World </w:t>
      </w:r>
    </w:p>
    <w:p w14:paraId="2F5950B3"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Land use land cover (LULC) data were extracted from the Dynamic World global LULC dataset available in near-real time at 10 m spatial resolution. This dataset is derived from Sentinel-2 satellite imagery using deep learning algorithms. It provides the classification probability of nine LULC categories: water, trees, flooded vegetation, crops, grass, built area, bare ground, shrubland, and snow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{"citationID":"385LakrM","properties":{"formattedCitation":"[20]","plainCitation":"[20]","noteIndex":0},"citationItems":[{"id":202,"uris":["http://zotero.org/users/10170906/items/ULFDEEWI"],"itemData":{"id":202,"type":"article-journal","abstract":"Unlike satellite images, which are typically acquired and processed in near-real-time, global land cover products have historically been produced on an annual basis, often with substantial lag times between image processing and dataset release. We developed a new automated approach for globally consistent, high resolution, near real-time (NRT) land use land cover (LULC) classification leveraging deep learning on 10 m Sentinel-2 imagery. We utilize a highly scalable cloud-based system to apply this approach and provide an open, continuous feed of LULC predictions in parallel with Sentinel-2 acquisitions. This first-of-its-kind NRT product, which we collectively refer to as Dynamic World, accommodates a variety of user needs ranging from extremely up-to-date LULC data to custom global composites representing user-specified date ranges. Furthermore, the continuous nature of the product’s outputs enables refinement, extension, and even redefinition of the LULC classification. In combination, these unique attributes enable unprecedented flexibility for a diverse community of users across a variety of disciplines.","container-title":"Scientific Data","DOI":"10.1038/s41597-022-01307-4","ISSN":"2052-4463","issue":"1","journalAbbreviation":"Sci Data","language":"en","license":"2022 The Author(s)","note":"number: 1\npublisher: Nature Publishing Group","page":"251","source":"www.nature.com","title":"Dynamic World, Near real-time global 10 m land use land cover mapping","volume":"9","author":[{"family":"Brown","given":"Christopher F."},{"family":"Brumby","given":"Steven P."},{"family":"Guzder-Williams","given":"Brookie"},{"family":"Birch","given":"Tanya"},{"family":"Hyde","given":"Samantha Brooks"},{"family":"Mazzariello","given":"Joseph"},{"family":"Czerwinski","given":"Wanda"},{"family":"Pasquarella","given":"Valerie J."},{"family":"Haertel","given":"Robert"},{"family":"Ilyushchenko","given":"Simon"},{"family":"Schwehr","given":"Kurt"},{"family":"Weisse","given":"Mikaela"},{"family":"Stolle","given":"Fred"},{"family":"Hanson","given":"Craig"},{"family":"Guinan","given":"Oliver"},{"family":"Moore","given":"Rebecca"},{"family":"Tait","given":"Alexander M."}],"issued":{"date-parts":[["2022",6,9]]}}}],"schema":"https://github.com/citation-style-language/schema/raw/master/csl-citation.json"}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[20]</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In this study, the snow category was discarded, as well as the built area, due to overlap with other covariates (i.e. GHSL and WSF). All LULC data were aggregated over 2017 (DHS) and 2020 (MIS) using the most frequent LULC class on average. Classification validation shows an overall agreement of 73.8 % with experts, outperforming current global LULC products such as ESA CCI 2018 and ESA CGLS </w:t>
      </w:r>
      <w:proofErr w:type="spellStart"/>
      <w:r w:rsidRPr="00D8616D">
        <w:rPr>
          <w:rFonts w:ascii="Times New Roman" w:hAnsi="Times New Roman" w:cs="Times New Roman"/>
          <w:bCs/>
          <w:sz w:val="24"/>
          <w:szCs w:val="24"/>
        </w:rPr>
        <w:t>ProbaV</w:t>
      </w:r>
      <w:proofErr w:type="spellEnd"/>
      <w:r w:rsidRPr="00D8616D">
        <w:rPr>
          <w:rFonts w:ascii="Times New Roman" w:hAnsi="Times New Roman" w:cs="Times New Roman"/>
          <w:bCs/>
          <w:sz w:val="24"/>
          <w:szCs w:val="24"/>
        </w:rPr>
        <w:t xml:space="preserve"> 2019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{"citationID":"Qe8Ek0UB","properties":{"formattedCitation":"[20]","plainCitation":"[20]","noteIndex":0},"citationItems":[{"id":202,"uris":["http://zotero.org/users/10170906/items/ULFDEEWI"],"itemData":{"id":202,"type":"article-journal","abstract":"Unlike satellite images, which are typically acquired and processed in near-real-time, global land cover products have historically been produced on an annual basis, often with substantial lag times between image processing and dataset release. We developed a new automated approach for globally consistent, high resolution, near real-time (NRT) land use land cover (LULC) classification leveraging deep learning on 10 m Sentinel-2 imagery. We utilize a highly scalable cloud-based system to apply this approach and provide an open, continuous feed of LULC predictions in parallel with Sentinel-2 acquisitions. This first-of-its-kind NRT product, which we collectively refer to as Dynamic World, accommodates a variety of user needs ranging from extremely up-to-date LULC data to custom global composites representing user-specified date ranges. Furthermore, the continuous nature of the product’s outputs enables refinement, extension, and even redefinition of the LULC classification. In combination, these unique attributes enable unprecedented flexibility for a diverse community of users across a variety of disciplines.","container-title":"Scientific Data","DOI":"10.1038/s41597-022-01307-4","ISSN":"2052-4463","issue":"1","journalAbbreviation":"Sci Data","language":"en","license":"2022 The Author(s)","note":"number: 1\npublisher: Nature Publishing Group","page":"251","source":"www.nature.com","title":"Dynamic World, Near real-time global 10 m land use land cover mapping","volume":"9","author":[{"family":"Brown","given":"Christopher F."},{"family":"Brumby","given":"Steven P."},{"family":"Guzder-Williams","given":"Brookie"},{"family":"Birch","given":"Tanya"},{"family":"Hyde","given":"Samantha Brooks"},{"family":"Mazzariello","given":"Joseph"},{"family":"Czerwinski","given":"Wanda"},{"family":"Pasquarella","given":"Valerie J."},{"family":"Haertel","given":"Robert"},{"family":"Ilyushchenko","given":"Simon"},{"family":"Schwehr","given":"Kurt"},{"family":"Weisse","given":"Mikaela"},{"family":"Stolle","given":"Fred"},{"family":"Hanson","given":"Craig"},{"family":"Guinan","given":"Oliver"},{"family":"Moore","given":"Rebecca"},{"family":"Tait","given":"Alexander M."}],"issued":{"date-parts":[["2022",6,9]]}}}],"schema":"https://github.com/citation-style-language/schema/raw/master/csl-citation.json"}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[20]</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t>
      </w:r>
    </w:p>
    <w:p w14:paraId="1079A857" w14:textId="53765B5D" w:rsidR="00EF51D9" w:rsidRPr="00D8616D" w:rsidRDefault="00EF51D9" w:rsidP="00576270">
      <w:pPr>
        <w:pStyle w:val="Heading2"/>
      </w:pPr>
      <w:r w:rsidRPr="00D8616D">
        <w:t xml:space="preserve">VIIRS nighttime lights </w:t>
      </w:r>
    </w:p>
    <w:p w14:paraId="263BC5C2"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The average VIIRS nighttime lights over 2017 (DHS) and 2020 (MIS) were obtained from the Earth Observation Group (Annual VNL v2.1)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{"citationID":"cBW3c8bh","properties":{"formattedCitation":"[21]","plainCitation":"[21]","noteIndex":0},"citationItems":[{"id":1330,"uris":["http://zotero.org/users/10170906/items/IXJR7KPT"],"itemData":{"id":1330,"type":"article-journal","abstract":"A consistently processed annual global nighttime lights time series (2012–2019) was produced using monthly cloud-free radiance averages made from low light imaging day/night band (DNB) data collected by the NASA/NOAA Visible Infrared Imaging Radiometer Suite (VIIRS). The processing steps are modified from the original methods developed to produce annual nighttime lights products from nightly data. Only two years of VIIRS nighttime lights (VNL) were produced with the V.1 methods: 2015 and 2016. Here we report on methods used to produce a V.2 VNL time series from the monthly averages with filtering to remove extraneous features such as biomass burning, aurora, and background. In this case, outlier removal is achieved with a twelve-month median, which discards high and low radiance outliers, thus isolating the background to a narrow range of radiances under 1 nW/cm2/sr. Background areas with no detectable lighting are further isolated using a statistical measure of texture, 3 × 3 data range (DR). The DR threshold for zeroing out background rises as the number of cloud-free observations falls. The V.2 method extends the temporal leverage in the noise filtering by developing the DR threshold from a multiyear maximum DR and a multiyear percent cloud-free grid. Additional noise filtering is achieved by zeroing out grid cells that have low average radiances (&lt;0.6 nW/cm2/sr) and detection in only one or two years out of eight. The spatial extent and average radiance levels are compared for the V.1 and V.2 2015 VNL. For the vast majority of grid cells, the average radiances are nearly the same in the two products. However, the V.2 product has more areas of dim lighting detected. The key advantages of the V.2 time series include consistent processing and threshold levels across all years, thus optimizing the set for change detection analyses.","container-title":"Remote Sensing","DOI":"10.3390/rs13050922","ISSN":"2072-4292","issue":"5","language":"en","license":"http://creativecommons.org/licenses/by/3.0/","note":"number: 5\npublisher: Multidisciplinary Digital Publishing Institute","page":"922","source":"www.mdpi.com","title":"Annual Time Series of Global VIIRS Nighttime Lights Derived from Monthly Averages: 2012 to 2019","title-short":"Annual Time Series of Global VIIRS Nighttime Lights Derived from Monthly Averages","volume":"13","author":[{"family":"Elvidge","given":"Christopher D."},{"family":"Zhizhin","given":"Mikhail"},{"family":"Ghosh","given":"Tilottama"},{"family":"Hsu","given":"Feng-Chi"},{"family":"Taneja","given":"Jay"}],"issued":{"date-parts":[["2021",1]]}}}],"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[21]</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They are based on monthly cloud-free radiance averages made from NASA/NOAA VIIRS data. Compared to other existing nightlights products such as DMSP-OLS, VIIRS nighttime lights offer several improvements, including a higher radiometric and spatial resolution (500 m)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{"citationID":"piVrd3KB","properties":{"formattedCitation":"[22]","plainCitation":"[22]","noteIndex":0},"citationItems":[{"id":1333,"uris":["http://zotero.org/users/10170906/items/J4S94UF5"],"itemData":{"id":1333,"type":"paper-conference","abstract":"For more than forty years the U.S. Air Force Defense Meteorological Satellite Program (DMSP) Operational Linescan System (OLS) has been the only system collecting global low light imaging data. A series of twenty-four DMSP satellites have collected low light imaging data. The design of the OLS has not changed significantly since satellite F-4 flew in the late 1970’s and OLS data have relatively coarse spatial resolution, limited dynamic range, and lack in-flight calibration. In 2011 NASA and NOAA launched the Suomi National Polar Partnership (SNPP) satellite carrying the first Visible Infrared Imaging Radiometer Suite (VIIRS) instrument. The VIIRS collects low light imaging data and has several improvements over the OLS’ capabilities. In this paper we contrast the nighttime low light imaging collection capabilities of these two systems and compare their data products.","container-title":"Proceedings of the Asia-Pacific Advanced Network","DOI":"10.7125/APAN.35.7","language":"en","page":"62","source":"DOI.org (Crossref)","title":"Why VIIRS data are superior to DMSP for mapping nighttime lights","URL":"http://journals.sfu.ca/apan/index.php/apan/article/view/7","volume":"35","author":[{"family":"Elvidge","given":"Christopher D."},{"family":"Baugh","given":"Kimberly E."},{"family":"Zhizhin","given":"Mikhail"},{"family":"Hsu","given":"Feng-Chi"}],"accessed":{"date-parts":[["2023",5,11]]},"issued":{"date-parts":[["2013",6,10]]}}}],"schema":"https://github.com/citation-style-language/schema/raw/master/csl-citation.json"}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[22]</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t>
      </w:r>
    </w:p>
    <w:p w14:paraId="5E1E6723" w14:textId="6F734BCF" w:rsidR="00EF51D9" w:rsidRPr="00D8616D" w:rsidRDefault="00EF51D9" w:rsidP="00576270">
      <w:pPr>
        <w:pStyle w:val="Heading2"/>
      </w:pPr>
      <w:r w:rsidRPr="00D8616D">
        <w:t xml:space="preserve">Distances to OpenStreetMap features </w:t>
      </w:r>
    </w:p>
    <w:p w14:paraId="4F678461"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Distance (100 m resolution) to major roads (i.e. motorways, trunks, primary, secondary, and tertiary roads) was calculated using the most recent OpenStreetMap (OSM) data available at the time of the study. </w:t>
      </w:r>
    </w:p>
    <w:p w14:paraId="514E4ED6" w14:textId="686E1517" w:rsidR="00EF51D9" w:rsidRPr="00D8616D" w:rsidRDefault="00EF51D9" w:rsidP="00576270">
      <w:pPr>
        <w:pStyle w:val="Heading2"/>
      </w:pPr>
      <w:r w:rsidRPr="00D8616D">
        <w:t xml:space="preserve">Accessibility maps </w:t>
      </w:r>
    </w:p>
    <w:p w14:paraId="44333A2A"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The Malaria Atlas Project (MAP) provides an accessibility map for 2015 in terms of travel time to the nearest city, defined as a contiguous area with at least 1,500 inhabitants per square </w:t>
      </w:r>
      <w:proofErr w:type="spellStart"/>
      <w:r w:rsidRPr="00D8616D">
        <w:rPr>
          <w:rFonts w:ascii="Times New Roman" w:hAnsi="Times New Roman" w:cs="Times New Roman"/>
          <w:bCs/>
          <w:sz w:val="24"/>
          <w:szCs w:val="24"/>
        </w:rPr>
        <w:t>kilometer</w:t>
      </w:r>
      <w:proofErr w:type="spellEnd"/>
      <w:r w:rsidRPr="00D8616D">
        <w:rPr>
          <w:rFonts w:ascii="Times New Roman" w:hAnsi="Times New Roman" w:cs="Times New Roman"/>
          <w:bCs/>
          <w:sz w:val="24"/>
          <w:szCs w:val="24"/>
        </w:rPr>
        <w:t xml:space="preserve"> or a majority of built-up land cover coincident with a population centre of at least 50,000 inhabitants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Sh9rTbOj","properties":{"formattedCitation":"[23]","plainCitation":"[23]","noteIndex":0},"citationItems":[{"id":594,"uris":["http://zotero.org/users/10170906/items/AASQLWS7"],"itemData":{"id":594,"type":"article-journal","container-title":"Nature","DOI":"10.1038/nature25181","ISSN":"0028-0836, 1476-4687","issue":"7688","journalAbbreviation":"Nature","language":"en","page":"333-336","source":"DOI.org (Crossref)","title":"A global map of travel time to cities to assess inequalities in accessibility in 2015","volume":"553","author":[{"family":"Weiss","given":"D. J."},{"family":"Nelson","given":"A."},{"family":"Gibson","given":"H. S."},{"family":"Temperley","given":"W."},{"family":"Peedell","given":"S."},{"family":"Lieber","given":"A."},{"family":"Hancher","given":"M."},{"family":"Poyart","given":"E."},{"family":"Belchior","given":"S."},{"family":"Fullman","given":"N."},{"family":"Mappin","given":"B."},{"family":"Dalrymple","given":"U."},{"family":"Rozier","given":"J."},{"family":"Lucas","given":"T. C. D."},{"family":"Howes","given":"R. E."},{"family":"Tusting","given":"L. S."},{"family":"Kang","given":"S. Y."},{"family":"Cameron","given":"E."},{"family":"Bisanzio","given":"D."},{"family":"Battle","given":"K. E."},{"family":"Bhatt","given":"S."},{"family":"Gething","given":"P. W."}],"issued":{"date-parts":[["2018",1]]}}}],"schema":"https://github.com/citation-style-language/schema/raw/master/csl-citation.json"}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[23]</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Additionally, they also provide maps of the travel time to healthcare facilities for 2019, with and without access (i.e. walking-only) to motorized transport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{"citationID":"mgHIjl8Q","properties":{"formattedCitation":"[24]","plainCitation":"[24]","noteIndex":0},"citationItems":[{"id":1325,"uris":["http://zotero.org/users/10170906/items/YVEQL49P"],"itemData":{"id":1325,"type":"article-journal","abstract":"Access to healthcare is a requirement for human well-being that is constrained, in part, by the allocation of healthcare resources relative to the geographically dispersed human population1-3. Quantifying access to care globally is challenging due to the absence of a comprehensive database of healthcare facilities. We harness major data collection efforts underway by OpenStreetMap, Google Maps and academic researchers to compile the most complete collection of facility locations to date. Leveraging the geographically variable strengths of our facility datasets, we use an established methodology4 to characterize travel time to healthcare facilities in unprecedented detail. We produce maps of travel time with and without access to motorized transport, thus characterizing travel time to healthcare for populations distributed across the wealth spectrum. We find that just 8.9% of the global population (646 million people) cannot reach healthcare within one hour if they have access to motorized transport, and that 43.3% (3.16 billion people) cannot reach a healthcare facility by foot within one hour. Our maps highlight an additional vulnerability faced by poorer individuals in remote areas and can help to estimate whether individuals will seek healthcare when it is needed, as well as providing an evidence base for efficiently distributing limited healthcare and transportation resources to underserved populations both now and in the future.","container-title":"Nature Medicine","DOI":"10.1038/s41591-020-1059-1","ISSN":"1546-170X","issue":"12","journalAbbreviation":"Nat Med","language":"eng","note":"PMID: 32989313","page":"1835-1838","source":"PubMed","title":"Global maps of travel time to healthcare facilities","volume":"26","author":[{"family":"Weiss","given":"D. J."},{"family":"Nelson","given":"A."},{"family":"Vargas-Ruiz","given":"C. A."},{"family":"Gligorić","given":"K."},{"family":"Bavadekar","given":"S."},{"family":"Gabrilovich","given":"E."},{"family":"Bertozzi-Villa","given":"A."},{"family":"Rozier","given":"J."},{"family":"Gibson","given":"H. S."},{"family":"Shekel","given":"T."},{"family":"Kamath","given":"C."},{"family":"Lieber","given":"A."},{"family":"Schulman","given":"K."},{"family":"Shao","given":"Y."},{"family":"Qarkaxhija","given":"V."},{"family":"Nandi","given":"A. K."},{"family":"Keddie","given":"S. H."},{"family":"Rumisha","given":"S."},{"family":"Amratia","given":"P."},{"family":"Arambepola","given":"R."},{"family":"Chestnutt","given":"E. G."},{"family":"Millar","given":"J. J."},{"family":"Symons","given":"T. L."},{"family":"Cameron","given":"E."},{"family":"Battle","given":"K. E."},{"family":"Bhatt","given":"S."},{"family":"Gething","given":"P. W."}],"issued":{"date-parts":[["2020",12]]}}}],"schema":"https://github.com/citation-style-language/schema/raw/master/csl-citation.json"}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[24]</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These datasets are based on friction surfaces; maps of the overall speed required to cross any pixel, given several factors that influence the cost of moving through the landscape, i.e. roads, water channels, topography, landcover and national borders among others. These accessibility datasets are all available at 1 km spatial resolution. </w:t>
      </w:r>
    </w:p>
    <w:p w14:paraId="7C4B2F9A" w14:textId="2992A575" w:rsidR="00EF51D9" w:rsidRPr="00D8616D" w:rsidRDefault="00EF51D9" w:rsidP="00576270">
      <w:pPr>
        <w:pStyle w:val="Heading2"/>
      </w:pPr>
      <w:r w:rsidRPr="00D8616D">
        <w:t xml:space="preserve">WorldPop products </w:t>
      </w:r>
    </w:p>
    <w:p w14:paraId="6B6E18AF"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Gridded data on population counts and children under-five years of age were acquired from the WorldPop project for Senegal in 2017 (DHS) and 2020 (MIS). These grids available at 100 m spatial resolution are derived from the disaggregation of census data using Random Forest-based dasymetric redistribution with various geospatial covariates (e.g. land use and land cover, nighttime lights, etc.)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{"citationID":"qi8cBpWc","properties":{"formattedCitation":"[25,26]","plainCitation":"[25,26]","noteIndex":0},"citationItems":[{"id":4155,"uris":["http://zotero.org/users/10170906/items/YFWYJJKG"],"itemData":{"id":4155,"type":"dataset","abstract":"population counts","DOI":"https://dx.doi.org/10.5258/SOTON/WP00645","title":"Global High Resolution Population Denominators Project - Funded by The Bill and Melinda Gates Foundation (OPP1134076). DOI: 10.5258/SOTON/WP00645","author":[{"literal":"WorldPop (www.worldpop.org - School of Geography and Environmental Science, University of Southampton; Department of Geography and Geosciences, University of Louisville; Departement de Geographie, Universite de Namur)"},{"literal":"Center for International Earth Science Information Network (CIESIN), Columbia University"}],"issued":{"date-parts":[["2018"]]}},"label":"page"},{"id":4156,"uris":["http://zotero.org/users/10170906/items/C5VHQDX5"],"itemData":{"id":4156,"type":"dataset","abstract":"children under 5","DOI":"https://dx.doi.org/10.5258/SOTON/WP00646","title":"Global High Resolution Population Denominators Project - Funded by The Bill and Melinda Gates Foundation (OPP1134076). DOI: 10.5258/SOTON/WP00646","author":[{"literal":"WorldPop (www.worldpop.org - School of Geography and Environmental Science, University of Southampton; Department of Geography and Geosciences, University of Louisville; Departement de Geographie, Universite de Namur)"},{"literal":"Center for International Earth Science Information Network (CIESIN), Columbia University"}],"issued":{"date-parts":[["2018"]]}},"label":"page"}],"schema":"https://github.com/citation-style-language/schema/raw/master/csl-citation.json"}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[25,26]</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In addition, we also used gridded data on pregnancies available at 1 km spatial resolution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{"citationID":"jBZi87Dl","properties":{"formattedCitation":"[27]","plainCitation":"[27]","noteIndex":0},"citationItems":[{"id":4157,"uris":["http://zotero.org/users/10170906/items/GBDIQQ4Y"],"itemData":{"id":4157,"type":"dataset","title":"Senegal 1km pregnancies. Version 2.0 2015 estimates of numbers of pregnancies per grid square, with national totals adjusted to match national estimates on numbers of pregnancies made by the Guttmacher Institute (http://www.guttmacher.org). DOI: 10.5258/SOTON/WP00448","author":[{"literal":"WorldPop (www.worldpop.org - School of Geography and Environmental Science, University of Southampton)"}],"issued":{"date-parts":[["2017"]]}}}],"schema":"https://github.com/citation-style-language/schema/raw/master/csl-citation.json"}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[27]</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t>
      </w:r>
    </w:p>
    <w:p w14:paraId="79B5E795" w14:textId="1BB41A52" w:rsidR="00EF51D9" w:rsidRPr="00D8616D" w:rsidRDefault="00EF51D9" w:rsidP="00576270">
      <w:pPr>
        <w:pStyle w:val="Heading2"/>
      </w:pPr>
      <w:r w:rsidRPr="00D8616D">
        <w:t>Spatially Interpolated Data on Ethnicity</w:t>
      </w:r>
    </w:p>
    <w:p w14:paraId="528242A1"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Spatially Interpolated Data on Ethnicity (SIDE) is a collection of 1 km spatial resolution gridded maps of ethnic and religious settlement patterns in 47 low- and middle-income countries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{"citationID":"w4yIFVez","properties":{"formattedCitation":"[28]","plainCitation":"[28]","noteIndex":0},"citationItems":[{"id":914,"uris":["http://zotero.org/users/10170906/items/M7ZZJY3S"],"itemData":{"id":914,"type":"article-journal","abstract":"Research on ethnic politics and political violence has benefited substantially from the growing availability of cross-national, geo-coded data on ethnic settlement patterns. However, because existing datasets represent ethnic homelands using aggregate polygon features, they lack information on ethnic compositions at the local level. Addressing this gap, this article introduces the Spatially Interpolated Data on Ethnicity (SIDE) dataset, a collection of 253 near-continuous maps of local ethno-linguistic, religious and ethno-religious settlement patterns in 47 low- and middle-income countries. We create these data using spatial interpolation and machine learning methods to generalize the ethnicity-related information in the geo-coded Demographic and Health Surveys (DHS). For each DHS survey we provide the ethnic, religious and ethno-religious compositions of cells on a raster that covers the respective countries at a resolution of 30 arc-seconds. The resulting data are optimized for use with geographic information systems (GIS) software. Comparisons of SIDE with existing categorical datasets and district-level census data from Uganda and Senegal are used to assess the data?s accuracy. Finally, we use the new data to study the effects of local polarization between politically relevant ethnic groups, finding a positive effect on the risk of local violence such as riots and protests. However, local ethno-political polarization is not statistically associated with violent events pertaining to larger-scale processes such as civil wars.","container-title":"Journal of Peace Research","DOI":"10.1177/0022343318764254","ISSN":"0022-3433","issue":"5","language":"en","note":"publisher: SAGE Publications Ltd","page":"687-698","source":"SAGE Journals","title":"New spatial data on ethnicity: Introducing SIDE","title-short":"New spatial data on ethnicity","volume":"55","author":[{"family":"Müller-Crepon","given":"Carl"},{"family":"Hunziker","given":"Philipp"}],"issued":{"date-parts":[["2018",9,1]]}}}],"schema":"https://github.com/citation-style-language/schema/raw/master/csl-citation.json"}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[28]</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This dataset constitutes an improvement over the </w:t>
      </w:r>
      <w:proofErr w:type="spellStart"/>
      <w:r w:rsidRPr="00D8616D">
        <w:rPr>
          <w:rFonts w:ascii="Times New Roman" w:hAnsi="Times New Roman" w:cs="Times New Roman"/>
          <w:bCs/>
          <w:sz w:val="24"/>
          <w:szCs w:val="24"/>
        </w:rPr>
        <w:t>GeoEPR</w:t>
      </w:r>
      <w:proofErr w:type="spellEnd"/>
      <w:r w:rsidRPr="00D8616D">
        <w:rPr>
          <w:rFonts w:ascii="Times New Roman" w:hAnsi="Times New Roman" w:cs="Times New Roman"/>
          <w:bCs/>
          <w:sz w:val="24"/>
          <w:szCs w:val="24"/>
        </w:rPr>
        <w:t xml:space="preserve"> vector data, as it shows variations in ethnic settlements at a finer scale within regions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{"citationID":"S928xh8y","properties":{"formattedCitation":"[28]","plainCitation":"[28]","noteIndex":0},"citationItems":[{"id":914,"uris":["http://zotero.org/users/10170906/items/M7ZZJY3S"],"itemData":{"id":914,"type":"article-journal","abstract":"Research on ethnic politics and political violence has benefited substantially from the growing availability of cross-national, geo-coded data on ethnic settlement patterns. However, because existing datasets represent ethnic homelands using aggregate polygon features, they lack information on ethnic compositions at the local level. Addressing this gap, this article introduces the Spatially Interpolated Data on Ethnicity (SIDE) dataset, a collection of 253 near-continuous maps of local ethno-linguistic, religious and ethno-religious settlement patterns in 47 low- and middle-income countries. We create these data using spatial interpolation and machine learning methods to generalize the ethnicity-related information in the geo-coded Demographic and Health Surveys (DHS). For each DHS survey we provide the ethnic, religious and ethno-religious compositions of cells on a raster that covers the respective countries at a resolution of 30 arc-seconds. The resulting data are optimized for use with geographic information systems (GIS) software. Comparisons of SIDE with existing categorical datasets and district-level census data from Uganda and Senegal are used to assess the data?s accuracy. Finally, we use the new data to study the effects of local polarization between politically relevant ethnic groups, finding a positive effect on the risk of local violence such as riots and protests. However, local ethno-political polarization is not statistically associated with violent events pertaining to larger-scale processes such as civil wars.","container-title":"Journal of Peace Research","DOI":"10.1177/0022343318764254","ISSN":"0022-3433","issue":"5","language":"en","note":"publisher: SAGE Publications Ltd","page":"687-698","source":"SAGE Journals","title":"New spatial data on ethnicity: Introducing SIDE","title-short":"New spatial data on ethnicity","volume":"55","author":[{"family":"Müller-Crepon","given":"Carl"},{"family":"Hunziker","given":"Philipp"}],"issued":{"date-parts":[["2018",9,1]]}}}],"schema":"https://github.com/citation-style-language/schema/raw/master/csl-citation.json"}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[28]</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SIDE maps are based on spatial interpolation of ethnic/religious composition data from the Demographic and Health Surveys. Grid cells contain the proportion of people belonging to each ethnic or religious group for a specific country. Here, we used gridded maps of the different ethnic groups in Senegal for 2013, i.e. Wolof, </w:t>
      </w:r>
      <w:proofErr w:type="spellStart"/>
      <w:r w:rsidRPr="00D8616D">
        <w:rPr>
          <w:rFonts w:ascii="Times New Roman" w:hAnsi="Times New Roman" w:cs="Times New Roman"/>
          <w:bCs/>
          <w:sz w:val="24"/>
          <w:szCs w:val="24"/>
        </w:rPr>
        <w:t>Pulaar</w:t>
      </w:r>
      <w:proofErr w:type="spellEnd"/>
      <w:r w:rsidRPr="00D8616D">
        <w:rPr>
          <w:rFonts w:ascii="Times New Roman" w:hAnsi="Times New Roman" w:cs="Times New Roman"/>
          <w:bCs/>
          <w:sz w:val="24"/>
          <w:szCs w:val="24"/>
        </w:rPr>
        <w:t xml:space="preserve">, Serer, </w:t>
      </w:r>
      <w:proofErr w:type="spellStart"/>
      <w:r w:rsidRPr="00D8616D">
        <w:rPr>
          <w:rFonts w:ascii="Times New Roman" w:hAnsi="Times New Roman" w:cs="Times New Roman"/>
          <w:bCs/>
          <w:sz w:val="24"/>
          <w:szCs w:val="24"/>
        </w:rPr>
        <w:t>Diola</w:t>
      </w:r>
      <w:proofErr w:type="spellEnd"/>
      <w:r w:rsidRPr="00D8616D">
        <w:rPr>
          <w:rFonts w:ascii="Times New Roman" w:hAnsi="Times New Roman" w:cs="Times New Roman"/>
          <w:bCs/>
          <w:sz w:val="24"/>
          <w:szCs w:val="24"/>
        </w:rPr>
        <w:t xml:space="preserve">, </w:t>
      </w:r>
      <w:proofErr w:type="spellStart"/>
      <w:r w:rsidRPr="00D8616D">
        <w:rPr>
          <w:rFonts w:ascii="Times New Roman" w:hAnsi="Times New Roman" w:cs="Times New Roman"/>
          <w:bCs/>
          <w:sz w:val="24"/>
          <w:szCs w:val="24"/>
        </w:rPr>
        <w:t>Mandingue</w:t>
      </w:r>
      <w:proofErr w:type="spellEnd"/>
      <w:r w:rsidRPr="00D8616D">
        <w:rPr>
          <w:rFonts w:ascii="Times New Roman" w:hAnsi="Times New Roman" w:cs="Times New Roman"/>
          <w:bCs/>
          <w:sz w:val="24"/>
          <w:szCs w:val="24"/>
        </w:rPr>
        <w:t xml:space="preserve">, Soninke, not Senegalese and other ethnic groups. </w:t>
      </w:r>
    </w:p>
    <w:p w14:paraId="6A42EBEF" w14:textId="1C58EA1C" w:rsidR="00EF51D9" w:rsidRPr="00D8616D" w:rsidRDefault="00EF51D9" w:rsidP="00576270">
      <w:pPr>
        <w:pStyle w:val="Heading2"/>
      </w:pPr>
      <w:r w:rsidRPr="00D8616D">
        <w:t xml:space="preserve">SRTM </w:t>
      </w:r>
    </w:p>
    <w:p w14:paraId="24621AAD"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A Digital Elevation Model at 30 m spatial resolution was obtained from the NASA Shuttle Radar Topography Mission (SRTM)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{"citationID":"NKVKUia4","properties":{"formattedCitation":"[29]","plainCitation":"[29]","noteIndex":0},"citationItems":[{"id":1348,"uris":["http://zotero.org/users/10170906/items/988HIFMR"],"itemData":{"id":1348,"type":"article-journal","abstract":"The Shuttle Radar Topography Mission produced the most complete, highest-resolution digital elevation model of the Earth. The project was a joint endeavor of NASA, the National Geospatial-Intelligence Agency, and the German and Italian Space Agencies and flew in February 2000. It used dual radar antennas to acquire interferometric radar data, processed to digital topographic data at 1 arc sec resolution. Details of the development, flight operations, data processing, and products are provided for users of this revolutionary data set.","container-title":"Reviews of Geophysics","DOI":"10.1029/2005RG000183","ISSN":"1944-9208","issue":"2","language":"en","note":"_eprint: https://onlinelibrary.wiley.com/doi/pdf/10.1029/2005RG000183","page":"RG2004","source":"Wiley Online Library","title":"The Shuttle Radar Topography Mission","volume":"45","author":[{"family":"Farr","given":"Tom G."},{"family":"Rosen","given":"Paul A."},{"family":"Caro","given":"Edward"},{"family":"Crippen","given":"Robert"},{"family":"Duren","given":"Riley"},{"family":"Hensley","given":"Scott"},{"family":"Kobrick","given":"Michael"},{"family":"Paller","given":"Mimi"},{"family":"Rodriguez","given":"Ernesto"},{"family":"Roth","given":"Ladislav"},{"family":"Seal","given":"David"},{"family":"Shaffer","given":"Scott"},{"family":"Shimada","given":"Joanne"},{"family":"Umland","given":"Jeffrey"},{"family":"Werner","given":"Marian"},{"family":"Oskin","given":"Michael"},{"family":"Burbank","given":"Douglas"},{"family":"Alsdorf","given":"Douglas"}],"issued":{"date-parts":[["2007"]]}}}],"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[29]</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 xml:space="preserve">. </w:t>
      </w:r>
    </w:p>
    <w:p w14:paraId="62A61312" w14:textId="387CB334" w:rsidR="00EF51D9" w:rsidRPr="00D8616D" w:rsidRDefault="00EF51D9" w:rsidP="00576270">
      <w:pPr>
        <w:pStyle w:val="Heading2"/>
      </w:pPr>
      <w:r w:rsidRPr="00D8616D">
        <w:t>Gridded Livestock of the World</w:t>
      </w:r>
    </w:p>
    <w:p w14:paraId="18368A89" w14:textId="77777777" w:rsidR="00EF51D9" w:rsidRPr="00D8616D" w:rsidRDefault="00EF51D9" w:rsidP="00EF51D9">
      <w:pPr>
        <w:jc w:val="both"/>
        <w:rPr>
          <w:rFonts w:ascii="Times New Roman" w:hAnsi="Times New Roman" w:cs="Times New Roman"/>
          <w:bCs/>
          <w:sz w:val="24"/>
          <w:szCs w:val="24"/>
        </w:rPr>
      </w:pPr>
      <w:r w:rsidRPr="00D8616D">
        <w:rPr>
          <w:rFonts w:ascii="Times New Roman" w:hAnsi="Times New Roman" w:cs="Times New Roman"/>
          <w:bCs/>
          <w:sz w:val="24"/>
          <w:szCs w:val="24"/>
        </w:rPr>
        <w:t xml:space="preserve">We acquired gridded maps on the distribution of goats, cattle, pigs, poultry, and sheep at 1 km spatial resolution for 2010 from the Gridded Livestock of the World (v2.01) project (GLW). These maps are based on the disaggregation of sub-national census data using machine learning and correlated environmental factors in similar agro-ecological zones </w:t>
      </w:r>
      <w:r w:rsidRPr="00D8616D">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{"citationID":"WifH8y9M","properties":{"formattedCitation":"[30]","plainCitation":"[30]","noteIndex":0},"citationItems":[{"id":1351,"uris":["http://zotero.org/users/10170906/items/L3AQB5H3"],"itemData":{"id":1351,"type":"article-journal","abstract":"Livestock contributes directly to the livelihoods and food security of almost a billion people and affects the diet and health of many more. With estimated standing populations of 1.43 billion cattle, 1.87 billion sheep and goats, 0.98 billion pigs, and 19.60 billion chickens, reliable and accessible information on the distribution and abundance of livestock is needed for a many reasons. These include analyses of the social and economic aspects of the livestock sector; the environmental impacts of livestock such as the production and management of waste, greenhouse gas emissions and livestock-related land-use change; and large-scale public health and epidemiological investigations. The Gridded Livestock of the World (GLW) database, produced in 2007, provided modelled livestock densities of the world, adjusted to match official (FAOSTAT) national estimates for the reference year 2005, at a spatial resolution of 3 minutes of arc (about 5×5 km at the equator). Recent methodological improvements have significantly enhanced these distributions: more up-to date and detailed sub-national livestock statistics have been collected; a new, higher resolution set of predictor variables is used; and the analytical procedure has been revised and extended to include a more systematic assessment of model accuracy and the representation of uncertainties associated with the predictions. This paper describes the current approach in detail and presents new global distribution maps at 1 km resolution for cattle, pigs and chickens, and a partial distribution map for ducks. These digital layers are made publically available via the Livestock Geo-Wiki (http://www.livestock.geo-wiki.org), as will be the maps of other livestock types as they are produced.","container-title":"PLOS ONE","DOI":"10.1371/journal.pone.0096084","ISSN":"1932-6203","issue":"5","journalAbbreviation":"PLOS ONE","language":"en","note":"publisher: Public Library of Science","page":"e96084","source":"PLoS Journals","title":"Mapping the Global Distribution of Livestock","volume":"9","author":[{"family":"Robinson","given":"Timothy P."},{"family":"Wint","given":"G. R. William"},{"family":"Conchedda","given":"Giulia"},{"family":"Boeckel","given":"Thomas P. Van"},{"family":"Ercoli","given":"Valentina"},{"family":"Palamara","given":"Elisa"},{"family":"Cinardi","given":"Giuseppina"},{"family":"D'Aietti","given":"Laura"},{"family":"Hay","given":"Simon I."},{"family":"Gilbert","given":"Marius"}],"issued":{"date-parts":[["2014"]],"season":"mai"}}}],"schema":"https://github.com/citation-style-language/schema/raw/master/csl-citation.json"} </w:instrText>
      </w:r>
      <w:r w:rsidRPr="00D8616D">
        <w:rPr>
          <w:rFonts w:ascii="Times New Roman" w:hAnsi="Times New Roman" w:cs="Times New Roman"/>
          <w:bCs/>
          <w:sz w:val="24"/>
          <w:szCs w:val="24"/>
        </w:rPr>
        <w:fldChar w:fldCharType="separate"/>
      </w:r>
      <w:r w:rsidRPr="00846FC6">
        <w:rPr>
          <w:rFonts w:ascii="Times New Roman" w:hAnsi="Times New Roman" w:cs="Times New Roman"/>
          <w:sz w:val="24"/>
        </w:rPr>
        <w:t>[30]</w:t>
      </w:r>
      <w:r w:rsidRPr="00D8616D">
        <w:rPr>
          <w:rFonts w:ascii="Times New Roman" w:hAnsi="Times New Roman" w:cs="Times New Roman"/>
          <w:bCs/>
          <w:sz w:val="24"/>
          <w:szCs w:val="24"/>
        </w:rPr>
        <w:fldChar w:fldCharType="end"/>
      </w:r>
      <w:r w:rsidRPr="00D8616D">
        <w:rPr>
          <w:rFonts w:ascii="Times New Roman" w:hAnsi="Times New Roman" w:cs="Times New Roman"/>
          <w:bCs/>
          <w:sz w:val="24"/>
          <w:szCs w:val="24"/>
        </w:rPr>
        <w:t>.</w:t>
      </w:r>
    </w:p>
    <w:p w14:paraId="22FA9B21" w14:textId="1CC16F4E" w:rsidR="00EF51D9" w:rsidRDefault="00576270" w:rsidP="00576270">
      <w:pPr>
        <w:pStyle w:val="Heading1"/>
      </w:pPr>
      <w:r>
        <w:t xml:space="preserve">References </w:t>
      </w:r>
    </w:p>
    <w:p w14:paraId="7CBF0034"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fldChar w:fldCharType="begin"/>
      </w:r>
      <w:r w:rsidRPr="00576270">
        <w:rPr>
          <w:rFonts w:ascii="Times New Roman" w:hAnsi="Times New Roman" w:cs="Times New Roman"/>
        </w:rPr>
        <w:instrText xml:space="preserve"> ADDIN ZOTERO_BIBL {"uncited":[],"omitted":[],"custom":[]} CSL_BIBLIOGRAPHY </w:instrText>
      </w:r>
      <w:r w:rsidRPr="00576270">
        <w:rPr>
          <w:rFonts w:ascii="Times New Roman" w:hAnsi="Times New Roman" w:cs="Times New Roman"/>
        </w:rPr>
        <w:fldChar w:fldCharType="separate"/>
      </w:r>
      <w:r w:rsidRPr="00576270">
        <w:rPr>
          <w:rFonts w:ascii="Times New Roman" w:hAnsi="Times New Roman" w:cs="Times New Roman"/>
        </w:rPr>
        <w:t>1.</w:t>
      </w:r>
      <w:r w:rsidRPr="00576270">
        <w:rPr>
          <w:rFonts w:ascii="Times New Roman" w:hAnsi="Times New Roman" w:cs="Times New Roman"/>
        </w:rPr>
        <w:tab/>
        <w:t xml:space="preserve">Croft TN, Marshall AMJ, Allen CK. Guide to DHS Statistics 7. Rockville, Maryland, USA: ICF International; 2018. </w:t>
      </w:r>
    </w:p>
    <w:p w14:paraId="4677CD6A"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w:t>
      </w:r>
      <w:r w:rsidRPr="00576270">
        <w:rPr>
          <w:rFonts w:ascii="Times New Roman" w:hAnsi="Times New Roman" w:cs="Times New Roman"/>
        </w:rPr>
        <w:tab/>
        <w:t xml:space="preserve">Gething P, Tatem A, Bird T, Burgert-Brucker CR. Creating Spatial Interpolation Surfaces with DHS Data. Rockville, Maryland, USA: ICF International; 2015. (DHS Spatial Analysis Reports No. 11). </w:t>
      </w:r>
    </w:p>
    <w:p w14:paraId="7D104587"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3.</w:t>
      </w:r>
      <w:r w:rsidRPr="00576270">
        <w:rPr>
          <w:rFonts w:ascii="Times New Roman" w:hAnsi="Times New Roman" w:cs="Times New Roman"/>
        </w:rPr>
        <w:tab/>
        <w:t xml:space="preserve">World Health Organization (WHO), United Nations Children’s Fund (UNICEF). Progress on drinking water, sanitation and hygiene: 2017 update and SDG baselines. Geneva: WHO and UNICEF; 2017. </w:t>
      </w:r>
    </w:p>
    <w:p w14:paraId="74484D11"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4.</w:t>
      </w:r>
      <w:r w:rsidRPr="00576270">
        <w:rPr>
          <w:rFonts w:ascii="Times New Roman" w:hAnsi="Times New Roman" w:cs="Times New Roman"/>
        </w:rPr>
        <w:tab/>
        <w:t xml:space="preserve">Georganos S, Gadiaga AN, Linard C, Grippa T, Vanhuysse S, Mboga N, et al. Modelling the Wealth Index of Demographic and Health Surveys within Cities Using Very High-Resolution Remotely Sensed Information. Remote Sens. 2019 Oct 29;11(21):2543. </w:t>
      </w:r>
    </w:p>
    <w:p w14:paraId="14C17D4A"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5.</w:t>
      </w:r>
      <w:r w:rsidRPr="00576270">
        <w:rPr>
          <w:rFonts w:ascii="Times New Roman" w:hAnsi="Times New Roman" w:cs="Times New Roman"/>
        </w:rPr>
        <w:tab/>
        <w:t xml:space="preserve">Bosco C, Alegana V, Bird T, Pezzulo C, Bengtsson L, Sorichetta A, et al. Exploring the high-resolution mapping of gender-disaggregated development indicators. J R Soc Interface. 2017 Apr 30;14(129):20160825. </w:t>
      </w:r>
    </w:p>
    <w:p w14:paraId="5DF039F3"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6.</w:t>
      </w:r>
      <w:r w:rsidRPr="00576270">
        <w:rPr>
          <w:rFonts w:ascii="Times New Roman" w:hAnsi="Times New Roman" w:cs="Times New Roman"/>
        </w:rPr>
        <w:tab/>
        <w:t xml:space="preserve">MEASURE Evaluation, The Demographic and Health Surveys Program, President’s Malaria Initiative, Roll Back Malaria Partnership, United Nations Children’s Fund, World Health Organization,. Household Survey Indicators for Malaria Control. 2018. </w:t>
      </w:r>
    </w:p>
    <w:p w14:paraId="63EC16B6"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7.</w:t>
      </w:r>
      <w:r w:rsidRPr="00576270">
        <w:rPr>
          <w:rFonts w:ascii="Times New Roman" w:hAnsi="Times New Roman" w:cs="Times New Roman"/>
        </w:rPr>
        <w:tab/>
        <w:t xml:space="preserve">Adigun AB, Gajere EN, Oresanya O, Vounatsou P. Malaria risk in Nigeria: Bayesian geostatistical modelling of 2010 malaria indicator survey data. Malar J. 2015 Apr 14;14(1):156. </w:t>
      </w:r>
    </w:p>
    <w:p w14:paraId="7330327C"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8.</w:t>
      </w:r>
      <w:r w:rsidRPr="00576270">
        <w:rPr>
          <w:rFonts w:ascii="Times New Roman" w:hAnsi="Times New Roman" w:cs="Times New Roman"/>
        </w:rPr>
        <w:tab/>
        <w:t xml:space="preserve">Ssempiira J, Nambuusi B, Kissa J, Agaba B, Makumbi F, Kasasa S, et al. Geostatistical modelling of malaria indicator survey data to assess the effects of interventions on the geographical distribution of malaria prevalence in children less than 5 years in Uganda. PLOS ONE. 2017 Apr 4;12(4):e0174948. </w:t>
      </w:r>
    </w:p>
    <w:p w14:paraId="1B0DAE3E"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9.</w:t>
      </w:r>
      <w:r w:rsidRPr="00576270">
        <w:rPr>
          <w:rFonts w:ascii="Times New Roman" w:hAnsi="Times New Roman" w:cs="Times New Roman"/>
        </w:rPr>
        <w:tab/>
        <w:t xml:space="preserve">Riedel N, Vounatsou P, Miller JM, Gosoniu L, Chizema-Kawesha E, Mukonka V, et al. Geographical patterns and predictors of malaria risk in Zambia: Bayesian geostatistical modelling of the 2006 Zambia national malaria indicator survey (ZMIS). Malar J. 2010 Feb 1;9(1):37. </w:t>
      </w:r>
    </w:p>
    <w:p w14:paraId="76E24947"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10.</w:t>
      </w:r>
      <w:r w:rsidRPr="00576270">
        <w:rPr>
          <w:rFonts w:ascii="Times New Roman" w:hAnsi="Times New Roman" w:cs="Times New Roman"/>
        </w:rPr>
        <w:tab/>
        <w:t xml:space="preserve">Giardina F, Kasasa S, Sié A, Utzinger J, Tanner M, Vounatsou P. Effects of vector-control interventions on changes in risk of malaria parasitaemia in sub-Saharan Africa: a spatial and temporal analysis. The Lancet Global Health. 2014 Oct 1;2(10):e601–15. </w:t>
      </w:r>
    </w:p>
    <w:p w14:paraId="622210F1"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11.</w:t>
      </w:r>
      <w:r w:rsidRPr="00576270">
        <w:rPr>
          <w:rFonts w:ascii="Times New Roman" w:hAnsi="Times New Roman" w:cs="Times New Roman"/>
        </w:rPr>
        <w:tab/>
        <w:t xml:space="preserve">Karger DN, Conrad O, Böhner J, Kawohl T, Kreft H, Soria-Auza RW, et al. Climatologies at high resolution for the earth’s land surface areas. Sci Data. 2017 Sep 5;4(1):170122. </w:t>
      </w:r>
    </w:p>
    <w:p w14:paraId="4FF0D9F9"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12.</w:t>
      </w:r>
      <w:r w:rsidRPr="00576270">
        <w:rPr>
          <w:rFonts w:ascii="Times New Roman" w:hAnsi="Times New Roman" w:cs="Times New Roman"/>
        </w:rPr>
        <w:tab/>
        <w:t xml:space="preserve">Rusk J, Maharjan A, Tiwari P, Chen THK, Shneiderman S, Turin M, et al. Multi-hazard susceptibility and exposure assessment of the Hindu Kush Himalaya. Science of The Total Environment. 2022 Jan 15;804:150039. </w:t>
      </w:r>
    </w:p>
    <w:p w14:paraId="65E6F8ED"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13.</w:t>
      </w:r>
      <w:r w:rsidRPr="00576270">
        <w:rPr>
          <w:rFonts w:ascii="Times New Roman" w:hAnsi="Times New Roman" w:cs="Times New Roman"/>
        </w:rPr>
        <w:tab/>
        <w:t xml:space="preserve">Wan Z, Hook S, Hulley, G. MODIS/Terra Land Surface Temperature/Emissivity Daily L3 Global 1km SIN Grid V061 [dataset]. NASA EOSDIS Land Processes DAAC; 2021. https://doi.org/10.5067/MODIS/MOD11A1.061. </w:t>
      </w:r>
    </w:p>
    <w:p w14:paraId="68E88346"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14.</w:t>
      </w:r>
      <w:r w:rsidRPr="00576270">
        <w:rPr>
          <w:rFonts w:ascii="Times New Roman" w:hAnsi="Times New Roman" w:cs="Times New Roman"/>
        </w:rPr>
        <w:tab/>
        <w:t xml:space="preserve">Wan Z, Hook S, Hulley, G. MODIS/Aqua Land Surface Temperature/Emissivity Daily L3 Global 1km SIN Grid V061 [dataset]. NASA EOSDIS Land Processes DAAC; 2021. https://doi.org/10.5067/MODIS/MYD11A1.061. </w:t>
      </w:r>
    </w:p>
    <w:p w14:paraId="3B00F2D7"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15.</w:t>
      </w:r>
      <w:r w:rsidRPr="00576270">
        <w:rPr>
          <w:rFonts w:ascii="Times New Roman" w:hAnsi="Times New Roman" w:cs="Times New Roman"/>
        </w:rPr>
        <w:tab/>
        <w:t xml:space="preserve">Simonetti D, Pimple U, Langner A, Marelli A. Pan-tropical Sentinel-2 cloud-free annual composite datasets. Data in Brief. 2021 Dec;39:107488. </w:t>
      </w:r>
    </w:p>
    <w:p w14:paraId="2E70F6DA"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16.</w:t>
      </w:r>
      <w:r w:rsidRPr="00576270">
        <w:rPr>
          <w:rFonts w:ascii="Times New Roman" w:hAnsi="Times New Roman" w:cs="Times New Roman"/>
        </w:rPr>
        <w:tab/>
        <w:t xml:space="preserve">Verhegghen A, Kuzelova K, Syrris V, Eva H, Achard F. Mapping Canopy Cover in African Dry Forests from the Combined Use of Sentinel-1 and Sentinel-2 Data: Application to Tanzania for the Year 2018. Remote Sensing. 2022 Jan;14(6):1522. </w:t>
      </w:r>
    </w:p>
    <w:p w14:paraId="3EBACD61"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17.</w:t>
      </w:r>
      <w:r w:rsidRPr="00576270">
        <w:rPr>
          <w:rFonts w:ascii="Times New Roman" w:hAnsi="Times New Roman" w:cs="Times New Roman"/>
        </w:rPr>
        <w:tab/>
        <w:t xml:space="preserve">Marconcini M, Metz-Marconcini A, Üreyen S, Palacios-Lopez D, Hanke W, Bachofer F, et al. Outlining where humans live, the World Settlement Footprint 2015. Sci Data. 2020 Jul 20;7(1):242. </w:t>
      </w:r>
    </w:p>
    <w:p w14:paraId="1F65E752"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18.</w:t>
      </w:r>
      <w:r w:rsidRPr="00576270">
        <w:rPr>
          <w:rFonts w:ascii="Times New Roman" w:hAnsi="Times New Roman" w:cs="Times New Roman"/>
        </w:rPr>
        <w:tab/>
        <w:t xml:space="preserve">Pesaresi M, Huadong G, Blaes X, Ehrlich D, Ferri S, Gueguen L, et al. A Global Human Settlement Layer From Optical HR/VHR RS Data: Concept and First Results. 2013 Oct; </w:t>
      </w:r>
    </w:p>
    <w:p w14:paraId="2367E98A"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19.</w:t>
      </w:r>
      <w:r w:rsidRPr="00576270">
        <w:rPr>
          <w:rFonts w:ascii="Times New Roman" w:hAnsi="Times New Roman" w:cs="Times New Roman"/>
        </w:rPr>
        <w:tab/>
        <w:t xml:space="preserve">Pesaresi M, Politis P. GHS-BUILT-H R2023A - GHS building height, derived from AW3D30, SRTM30, and Sentinel2 composite (2018) [dataset]. European Commission, Joint Research Centre (JRC); 2023 May. https://doi.org/10.2905/85005901-3A49-48DD-9D19-6261354F56FE. </w:t>
      </w:r>
    </w:p>
    <w:p w14:paraId="6477282D"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20.</w:t>
      </w:r>
      <w:r w:rsidRPr="00576270">
        <w:rPr>
          <w:rFonts w:ascii="Times New Roman" w:hAnsi="Times New Roman" w:cs="Times New Roman"/>
        </w:rPr>
        <w:tab/>
        <w:t xml:space="preserve">Brown CF, Brumby SP, Guzder-Williams B, Birch T, Hyde SB, Mazzariello J, et al. Dynamic World, Near real-time global 10 m land use land cover mapping. Sci Data. 2022 Jun 9;9(1):251. </w:t>
      </w:r>
    </w:p>
    <w:p w14:paraId="4A4D2668"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21.</w:t>
      </w:r>
      <w:r w:rsidRPr="00576270">
        <w:rPr>
          <w:rFonts w:ascii="Times New Roman" w:hAnsi="Times New Roman" w:cs="Times New Roman"/>
        </w:rPr>
        <w:tab/>
        <w:t xml:space="preserve">Elvidge CD, Zhizhin M, Ghosh T, Hsu FC, Taneja J. Annual Time Series of Global VIIRS Nighttime Lights Derived from Monthly Averages: 2012 to 2019. Remote Sensing. 2021 Jan;13(5):922. </w:t>
      </w:r>
    </w:p>
    <w:p w14:paraId="0CC73861"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22.</w:t>
      </w:r>
      <w:r w:rsidRPr="00576270">
        <w:rPr>
          <w:rFonts w:ascii="Times New Roman" w:hAnsi="Times New Roman" w:cs="Times New Roman"/>
        </w:rPr>
        <w:tab/>
        <w:t xml:space="preserve">Elvidge CD, Baugh KE, Zhizhin M, Hsu FC. Why VIIRS data are superior to DMSP for mapping nighttime lights. In: Proceedings of the Asia-Pacific Advanced Network [Internet]. 2013. p. 62. </w:t>
      </w:r>
    </w:p>
    <w:p w14:paraId="51CA977C"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23.</w:t>
      </w:r>
      <w:r w:rsidRPr="00576270">
        <w:rPr>
          <w:rFonts w:ascii="Times New Roman" w:hAnsi="Times New Roman" w:cs="Times New Roman"/>
        </w:rPr>
        <w:tab/>
        <w:t xml:space="preserve">Weiss DJ, Nelson A, Gibson HS, Temperley W, Peedell S, Lieber A, et al. A global map of travel time to cities to assess inequalities in accessibility in 2015. Nature. 2018 Jan;553(7688):333–6. </w:t>
      </w:r>
    </w:p>
    <w:p w14:paraId="64225D5E"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24.</w:t>
      </w:r>
      <w:r w:rsidRPr="00576270">
        <w:rPr>
          <w:rFonts w:ascii="Times New Roman" w:hAnsi="Times New Roman" w:cs="Times New Roman"/>
        </w:rPr>
        <w:tab/>
        <w:t xml:space="preserve">Weiss DJ, Nelson A, Vargas-Ruiz CA, Gligorić K, Bavadekar S, Gabrilovich E, et al. Global maps of travel time to healthcare facilities. Nat Med. 2020 Dec;26(12):1835–8. </w:t>
      </w:r>
    </w:p>
    <w:p w14:paraId="1564B984"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25.</w:t>
      </w:r>
      <w:r w:rsidRPr="00576270">
        <w:rPr>
          <w:rFonts w:ascii="Times New Roman" w:hAnsi="Times New Roman" w:cs="Times New Roman"/>
        </w:rPr>
        <w:tab/>
        <w:t xml:space="preserve">WorldPop (www.worldpop.org - School of Geography and Environmental Science, University of Southampton; Department of Geography and Geosciences, University of Louisville; Departement de Geographie, Universite de Namur), Center for International Earth Science Information Network (CIESIN), Columbia University. Global High Resolution Population Denominators Project - Funded by The Bill and Melinda Gates Foundation (OPP1134076). DOI: 10.5258/SOTON/WP00645. 2018. </w:t>
      </w:r>
    </w:p>
    <w:p w14:paraId="542DB2AD"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26.</w:t>
      </w:r>
      <w:r w:rsidRPr="00576270">
        <w:rPr>
          <w:rFonts w:ascii="Times New Roman" w:hAnsi="Times New Roman" w:cs="Times New Roman"/>
        </w:rPr>
        <w:tab/>
        <w:t xml:space="preserve">WorldPop (www.worldpop.org - School of Geography and Environmental Science, University of Southampton; Department of Geography and Geosciences, University of Louisville; Departement de Geographie, Universite de Namur), Center for International Earth Science Information Network (CIESIN), Columbia University. Global High Resolution Population Denominators Project - Funded by The Bill and Melinda Gates Foundation (OPP1134076). DOI: 10.5258/SOTON/WP00646. 2018. </w:t>
      </w:r>
    </w:p>
    <w:p w14:paraId="782C79C0"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27.</w:t>
      </w:r>
      <w:r w:rsidRPr="00576270">
        <w:rPr>
          <w:rFonts w:ascii="Times New Roman" w:hAnsi="Times New Roman" w:cs="Times New Roman"/>
        </w:rPr>
        <w:tab/>
        <w:t xml:space="preserve">WorldPop (www.worldpop.org - School of Geography and Environmental Science, University of Southampton). Senegal 1km pregnancies. Version 2.0 2015 estimates of numbers of pregnancies per grid square, with national totals adjusted to match national estimates on numbers of pregnancies made by the Guttmacher Institute (http://www.guttmacher.org). DOI: 10.5258/SOTON/WP00448. 2017. </w:t>
      </w:r>
    </w:p>
    <w:p w14:paraId="5D47B1F6"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28.</w:t>
      </w:r>
      <w:r w:rsidRPr="00576270">
        <w:rPr>
          <w:rFonts w:ascii="Times New Roman" w:hAnsi="Times New Roman" w:cs="Times New Roman"/>
        </w:rPr>
        <w:tab/>
        <w:t xml:space="preserve">Müller-Crepon C, Hunziker P. New spatial data on ethnicity: Introducing SIDE. Journal of Peace Research. 2018 Sep 1;55(5):687–98. </w:t>
      </w:r>
    </w:p>
    <w:p w14:paraId="228303E9"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29.</w:t>
      </w:r>
      <w:r w:rsidRPr="00576270">
        <w:rPr>
          <w:rFonts w:ascii="Times New Roman" w:hAnsi="Times New Roman" w:cs="Times New Roman"/>
        </w:rPr>
        <w:tab/>
        <w:t xml:space="preserve">Farr TG, Rosen PA, Caro E, Crippen R, Duren R, Hensley S, et al. The Shuttle Radar Topography Mission. Reviews of Geophysics. 2007;45(2):RG2004. </w:t>
      </w:r>
    </w:p>
    <w:p w14:paraId="1739B772" w14:textId="77777777" w:rsidR="00576270" w:rsidRPr="00576270" w:rsidRDefault="00576270" w:rsidP="00576270">
      <w:pPr>
        <w:pStyle w:val="Bibliography"/>
        <w:rPr>
          <w:rFonts w:ascii="Times New Roman" w:hAnsi="Times New Roman" w:cs="Times New Roman"/>
        </w:rPr>
      </w:pPr>
      <w:r w:rsidRPr="00576270">
        <w:rPr>
          <w:rFonts w:ascii="Times New Roman" w:hAnsi="Times New Roman" w:cs="Times New Roman"/>
        </w:rPr>
        <w:t>30.</w:t>
      </w:r>
      <w:r w:rsidRPr="00576270">
        <w:rPr>
          <w:rFonts w:ascii="Times New Roman" w:hAnsi="Times New Roman" w:cs="Times New Roman"/>
        </w:rPr>
        <w:tab/>
        <w:t xml:space="preserve">Robinson TP, Wint GRW, Conchedda G, Boeckel TPV, Ercoli V, Palamara E, et al. Mapping the Global Distribution of Livestock. PLOS ONE. 2014 mai;9(5):e96084. </w:t>
      </w:r>
    </w:p>
    <w:p w14:paraId="48B7B6C4" w14:textId="0298B37F" w:rsidR="00576270" w:rsidRPr="00576270" w:rsidRDefault="00576270" w:rsidP="00576270">
      <w:pPr>
        <w:rPr>
          <w:rFonts w:ascii="Times New Roman" w:hAnsi="Times New Roman" w:cs="Times New Roman"/>
        </w:rPr>
      </w:pPr>
      <w:r w:rsidRPr="00576270">
        <w:rPr>
          <w:rFonts w:ascii="Times New Roman" w:hAnsi="Times New Roman" w:cs="Times New Roman"/>
        </w:rPr>
        <w:fldChar w:fldCharType="end"/>
      </w:r>
    </w:p>
    <w:sectPr w:rsidR="00576270" w:rsidRPr="005762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D3EB8"/>
    <w:multiLevelType w:val="hybridMultilevel"/>
    <w:tmpl w:val="D276AC7C"/>
    <w:lvl w:ilvl="0" w:tplc="8C78532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D693D2C"/>
    <w:multiLevelType w:val="multilevel"/>
    <w:tmpl w:val="FDEE352E"/>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 w15:restartNumberingAfterBreak="0">
    <w:nsid w:val="6025281E"/>
    <w:multiLevelType w:val="hybridMultilevel"/>
    <w:tmpl w:val="400EC3EE"/>
    <w:lvl w:ilvl="0" w:tplc="E7DED192">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DB31F17"/>
    <w:multiLevelType w:val="multilevel"/>
    <w:tmpl w:val="2000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D9"/>
    <w:rsid w:val="00082D3C"/>
    <w:rsid w:val="00292BB8"/>
    <w:rsid w:val="002B0004"/>
    <w:rsid w:val="004C436E"/>
    <w:rsid w:val="004E4877"/>
    <w:rsid w:val="004F103B"/>
    <w:rsid w:val="005225C5"/>
    <w:rsid w:val="0057015A"/>
    <w:rsid w:val="00576270"/>
    <w:rsid w:val="0065004F"/>
    <w:rsid w:val="00696FB6"/>
    <w:rsid w:val="006B2DF3"/>
    <w:rsid w:val="006B5F50"/>
    <w:rsid w:val="0088796B"/>
    <w:rsid w:val="008B0144"/>
    <w:rsid w:val="008E1751"/>
    <w:rsid w:val="008E4AE3"/>
    <w:rsid w:val="00960E82"/>
    <w:rsid w:val="009B246A"/>
    <w:rsid w:val="00A17AA9"/>
    <w:rsid w:val="00B15C50"/>
    <w:rsid w:val="00B31B5A"/>
    <w:rsid w:val="00B531F9"/>
    <w:rsid w:val="00BD3B2C"/>
    <w:rsid w:val="00C21B2E"/>
    <w:rsid w:val="00C47C93"/>
    <w:rsid w:val="00C51EBE"/>
    <w:rsid w:val="00CF6419"/>
    <w:rsid w:val="00D4690E"/>
    <w:rsid w:val="00E9312C"/>
    <w:rsid w:val="00EB68EB"/>
    <w:rsid w:val="00EF51D9"/>
    <w:rsid w:val="00EF64CD"/>
    <w:rsid w:val="00F1192B"/>
    <w:rsid w:val="00F226C7"/>
    <w:rsid w:val="00F748C4"/>
    <w:rsid w:val="00FB174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7E60E"/>
  <w15:chartTrackingRefBased/>
  <w15:docId w15:val="{B164BF95-05E2-4A82-8C47-79C2EC5E8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70"/>
    <w:pPr>
      <w:spacing w:line="259" w:lineRule="auto"/>
    </w:pPr>
    <w:rPr>
      <w:rFonts w:eastAsiaTheme="minorEastAsia"/>
      <w:kern w:val="0"/>
      <w:sz w:val="22"/>
      <w:szCs w:val="22"/>
      <w:lang w:val="en-GB" w:eastAsia="zh-CN"/>
      <w14:ligatures w14:val="none"/>
    </w:rPr>
  </w:style>
  <w:style w:type="paragraph" w:styleId="Heading1">
    <w:name w:val="heading 1"/>
    <w:basedOn w:val="Normal"/>
    <w:next w:val="Normal"/>
    <w:link w:val="Heading1Char"/>
    <w:uiPriority w:val="9"/>
    <w:qFormat/>
    <w:rsid w:val="00576270"/>
    <w:pPr>
      <w:keepNext/>
      <w:keepLines/>
      <w:numPr>
        <w:numId w:val="4"/>
      </w:numPr>
      <w:spacing w:before="360" w:after="80"/>
      <w:outlineLvl w:val="0"/>
    </w:pPr>
    <w:rPr>
      <w:rFonts w:ascii="Times New Roman" w:eastAsiaTheme="majorEastAsia" w:hAnsi="Times New Roman" w:cstheme="majorBidi"/>
      <w:b/>
      <w:sz w:val="32"/>
      <w:szCs w:val="40"/>
    </w:rPr>
  </w:style>
  <w:style w:type="paragraph" w:styleId="Heading2">
    <w:name w:val="heading 2"/>
    <w:basedOn w:val="Normal"/>
    <w:next w:val="Normal"/>
    <w:link w:val="Heading2Char"/>
    <w:uiPriority w:val="9"/>
    <w:unhideWhenUsed/>
    <w:qFormat/>
    <w:rsid w:val="00576270"/>
    <w:pPr>
      <w:keepNext/>
      <w:keepLines/>
      <w:numPr>
        <w:ilvl w:val="1"/>
        <w:numId w:val="4"/>
      </w:numPr>
      <w:spacing w:before="160" w:after="80"/>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semiHidden/>
    <w:unhideWhenUsed/>
    <w:qFormat/>
    <w:rsid w:val="00EF51D9"/>
    <w:pPr>
      <w:keepNext/>
      <w:keepLines/>
      <w:numPr>
        <w:ilvl w:val="2"/>
        <w:numId w:val="4"/>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1D9"/>
    <w:pPr>
      <w:keepNext/>
      <w:keepLines/>
      <w:numPr>
        <w:ilvl w:val="3"/>
        <w:numId w:val="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1D9"/>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1D9"/>
    <w:pPr>
      <w:keepNext/>
      <w:keepLines/>
      <w:numPr>
        <w:ilvl w:val="5"/>
        <w:numId w:val="4"/>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1D9"/>
    <w:pPr>
      <w:keepNext/>
      <w:keepLines/>
      <w:numPr>
        <w:ilvl w:val="6"/>
        <w:numId w:val="4"/>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1D9"/>
    <w:pPr>
      <w:keepNext/>
      <w:keepLines/>
      <w:numPr>
        <w:ilvl w:val="7"/>
        <w:numId w:val="4"/>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1D9"/>
    <w:pPr>
      <w:keepNext/>
      <w:keepLines/>
      <w:numPr>
        <w:ilvl w:val="8"/>
        <w:numId w:val="4"/>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70"/>
    <w:rPr>
      <w:rFonts w:ascii="Times New Roman" w:eastAsiaTheme="majorEastAsia" w:hAnsi="Times New Roman" w:cstheme="majorBidi"/>
      <w:b/>
      <w:kern w:val="0"/>
      <w:sz w:val="32"/>
      <w:szCs w:val="40"/>
      <w:lang w:val="en-GB" w:eastAsia="zh-CN"/>
      <w14:ligatures w14:val="none"/>
    </w:rPr>
  </w:style>
  <w:style w:type="character" w:customStyle="1" w:styleId="Heading2Char">
    <w:name w:val="Heading 2 Char"/>
    <w:basedOn w:val="DefaultParagraphFont"/>
    <w:link w:val="Heading2"/>
    <w:uiPriority w:val="9"/>
    <w:rsid w:val="00576270"/>
    <w:rPr>
      <w:rFonts w:ascii="Times New Roman" w:eastAsiaTheme="majorEastAsia" w:hAnsi="Times New Roman" w:cstheme="majorBidi"/>
      <w:b/>
      <w:kern w:val="0"/>
      <w:sz w:val="28"/>
      <w:szCs w:val="32"/>
      <w:lang w:val="en-GB" w:eastAsia="zh-CN"/>
      <w14:ligatures w14:val="none"/>
    </w:rPr>
  </w:style>
  <w:style w:type="character" w:customStyle="1" w:styleId="Heading3Char">
    <w:name w:val="Heading 3 Char"/>
    <w:basedOn w:val="DefaultParagraphFont"/>
    <w:link w:val="Heading3"/>
    <w:uiPriority w:val="9"/>
    <w:semiHidden/>
    <w:rsid w:val="00EF5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1D9"/>
    <w:rPr>
      <w:rFonts w:eastAsiaTheme="majorEastAsia" w:cstheme="majorBidi"/>
      <w:color w:val="272727" w:themeColor="text1" w:themeTint="D8"/>
    </w:rPr>
  </w:style>
  <w:style w:type="paragraph" w:styleId="Title">
    <w:name w:val="Title"/>
    <w:basedOn w:val="Normal"/>
    <w:next w:val="Normal"/>
    <w:link w:val="TitleChar"/>
    <w:uiPriority w:val="10"/>
    <w:qFormat/>
    <w:rsid w:val="00EF5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1D9"/>
    <w:pPr>
      <w:spacing w:before="160"/>
      <w:jc w:val="center"/>
    </w:pPr>
    <w:rPr>
      <w:i/>
      <w:iCs/>
      <w:color w:val="404040" w:themeColor="text1" w:themeTint="BF"/>
    </w:rPr>
  </w:style>
  <w:style w:type="character" w:customStyle="1" w:styleId="QuoteChar">
    <w:name w:val="Quote Char"/>
    <w:basedOn w:val="DefaultParagraphFont"/>
    <w:link w:val="Quote"/>
    <w:uiPriority w:val="29"/>
    <w:rsid w:val="00EF51D9"/>
    <w:rPr>
      <w:i/>
      <w:iCs/>
      <w:color w:val="404040" w:themeColor="text1" w:themeTint="BF"/>
    </w:rPr>
  </w:style>
  <w:style w:type="paragraph" w:styleId="ListParagraph">
    <w:name w:val="List Paragraph"/>
    <w:basedOn w:val="Normal"/>
    <w:uiPriority w:val="34"/>
    <w:qFormat/>
    <w:rsid w:val="00EF51D9"/>
    <w:pPr>
      <w:ind w:left="720"/>
      <w:contextualSpacing/>
    </w:pPr>
  </w:style>
  <w:style w:type="character" w:styleId="IntenseEmphasis">
    <w:name w:val="Intense Emphasis"/>
    <w:basedOn w:val="DefaultParagraphFont"/>
    <w:uiPriority w:val="21"/>
    <w:qFormat/>
    <w:rsid w:val="00EF51D9"/>
    <w:rPr>
      <w:i/>
      <w:iCs/>
      <w:color w:val="0F4761" w:themeColor="accent1" w:themeShade="BF"/>
    </w:rPr>
  </w:style>
  <w:style w:type="paragraph" w:styleId="IntenseQuote">
    <w:name w:val="Intense Quote"/>
    <w:basedOn w:val="Normal"/>
    <w:next w:val="Normal"/>
    <w:link w:val="IntenseQuoteChar"/>
    <w:uiPriority w:val="30"/>
    <w:qFormat/>
    <w:rsid w:val="00EF5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1D9"/>
    <w:rPr>
      <w:i/>
      <w:iCs/>
      <w:color w:val="0F4761" w:themeColor="accent1" w:themeShade="BF"/>
    </w:rPr>
  </w:style>
  <w:style w:type="character" w:styleId="IntenseReference">
    <w:name w:val="Intense Reference"/>
    <w:basedOn w:val="DefaultParagraphFont"/>
    <w:uiPriority w:val="32"/>
    <w:qFormat/>
    <w:rsid w:val="00EF51D9"/>
    <w:rPr>
      <w:b/>
      <w:bCs/>
      <w:smallCaps/>
      <w:color w:val="0F4761" w:themeColor="accent1" w:themeShade="BF"/>
      <w:spacing w:val="5"/>
    </w:rPr>
  </w:style>
  <w:style w:type="paragraph" w:customStyle="1" w:styleId="Heading-Main">
    <w:name w:val="Heading-Main"/>
    <w:basedOn w:val="Normal"/>
    <w:rsid w:val="00EF51D9"/>
    <w:pPr>
      <w:keepNext/>
      <w:spacing w:before="240" w:after="120" w:line="240" w:lineRule="auto"/>
      <w:outlineLvl w:val="0"/>
    </w:pPr>
    <w:rPr>
      <w:rFonts w:ascii="Times New Roman" w:eastAsia="Times New Roman" w:hAnsi="Times New Roman" w:cs="Times New Roman"/>
      <w:b/>
      <w:bCs/>
      <w:kern w:val="28"/>
      <w:sz w:val="24"/>
      <w:szCs w:val="24"/>
      <w:lang w:eastAsia="en-US"/>
    </w:rPr>
  </w:style>
  <w:style w:type="paragraph" w:customStyle="1" w:styleId="Heading-Secondary">
    <w:name w:val="Heading-Secondary"/>
    <w:basedOn w:val="Normal"/>
    <w:qFormat/>
    <w:rsid w:val="00EF51D9"/>
    <w:pPr>
      <w:keepNext/>
      <w:spacing w:before="240" w:after="120" w:line="240" w:lineRule="auto"/>
      <w:ind w:left="720"/>
      <w:outlineLvl w:val="0"/>
    </w:pPr>
    <w:rPr>
      <w:rFonts w:ascii="Times New Roman" w:eastAsia="Times New Roman" w:hAnsi="Times New Roman" w:cs="Times New Roman"/>
      <w:bCs/>
      <w:kern w:val="28"/>
      <w:sz w:val="24"/>
      <w:szCs w:val="24"/>
      <w:lang w:eastAsia="en-US"/>
    </w:rPr>
  </w:style>
  <w:style w:type="table" w:styleId="TableGrid">
    <w:name w:val="Table Grid"/>
    <w:basedOn w:val="TableNormal"/>
    <w:uiPriority w:val="39"/>
    <w:rsid w:val="00EF51D9"/>
    <w:pPr>
      <w:spacing w:after="0" w:line="240" w:lineRule="auto"/>
    </w:pPr>
    <w:rPr>
      <w:rFonts w:eastAsia="SimSun"/>
      <w:kern w:val="0"/>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F51D9"/>
    <w:rPr>
      <w:color w:val="467886" w:themeColor="hyperlink"/>
      <w:u w:val="single"/>
    </w:rPr>
  </w:style>
  <w:style w:type="paragraph" w:styleId="Caption">
    <w:name w:val="caption"/>
    <w:basedOn w:val="Normal"/>
    <w:next w:val="Normal"/>
    <w:uiPriority w:val="35"/>
    <w:unhideWhenUsed/>
    <w:qFormat/>
    <w:rsid w:val="00EF51D9"/>
    <w:pPr>
      <w:spacing w:after="200" w:line="240" w:lineRule="auto"/>
    </w:pPr>
    <w:rPr>
      <w:i/>
      <w:iCs/>
      <w:color w:val="0E2841" w:themeColor="text2"/>
      <w:sz w:val="18"/>
      <w:szCs w:val="18"/>
    </w:rPr>
  </w:style>
  <w:style w:type="paragraph" w:customStyle="1" w:styleId="Text">
    <w:name w:val="Text"/>
    <w:basedOn w:val="Normal"/>
    <w:link w:val="TextChar"/>
    <w:rsid w:val="00EF51D9"/>
    <w:pPr>
      <w:spacing w:before="120" w:after="0" w:line="240" w:lineRule="auto"/>
      <w:ind w:firstLine="720"/>
    </w:pPr>
    <w:rPr>
      <w:rFonts w:ascii="Times New Roman" w:eastAsia="Times New Roman" w:hAnsi="Times New Roman" w:cs="Times New Roman"/>
      <w:sz w:val="24"/>
      <w:szCs w:val="24"/>
      <w:lang w:eastAsia="en-US"/>
    </w:rPr>
  </w:style>
  <w:style w:type="character" w:customStyle="1" w:styleId="TextChar">
    <w:name w:val="Text Char"/>
    <w:basedOn w:val="DefaultParagraphFont"/>
    <w:link w:val="Text"/>
    <w:rsid w:val="00EF51D9"/>
    <w:rPr>
      <w:rFonts w:ascii="Times New Roman" w:eastAsia="Times New Roman" w:hAnsi="Times New Roman" w:cs="Times New Roman"/>
      <w:kern w:val="0"/>
      <w:lang w:val="en-GB"/>
      <w14:ligatures w14:val="none"/>
    </w:rPr>
  </w:style>
  <w:style w:type="table" w:styleId="PlainTable2">
    <w:name w:val="Plain Table 2"/>
    <w:basedOn w:val="TableNormal"/>
    <w:uiPriority w:val="42"/>
    <w:rsid w:val="00EF51D9"/>
    <w:pPr>
      <w:spacing w:after="0" w:line="240" w:lineRule="auto"/>
    </w:pPr>
    <w:rPr>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576270"/>
    <w:pPr>
      <w:tabs>
        <w:tab w:val="left" w:pos="384"/>
      </w:tabs>
      <w:spacing w:after="240" w:line="240" w:lineRule="auto"/>
      <w:ind w:left="384" w:hanging="384"/>
    </w:pPr>
  </w:style>
  <w:style w:type="paragraph" w:styleId="Revision">
    <w:name w:val="Revision"/>
    <w:hidden/>
    <w:uiPriority w:val="99"/>
    <w:semiHidden/>
    <w:rsid w:val="00E9312C"/>
    <w:pPr>
      <w:spacing w:after="0" w:line="240" w:lineRule="auto"/>
    </w:pPr>
    <w:rPr>
      <w:rFonts w:eastAsiaTheme="minorEastAsia"/>
      <w:kern w:val="0"/>
      <w:sz w:val="22"/>
      <w:szCs w:val="22"/>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14757</Words>
  <Characters>84119</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Morlighem</dc:creator>
  <cp:keywords/>
  <dc:description/>
  <cp:lastModifiedBy>Mahalakshmi V</cp:lastModifiedBy>
  <cp:revision>29</cp:revision>
  <dcterms:created xsi:type="dcterms:W3CDTF">2024-06-27T14:20:00Z</dcterms:created>
  <dcterms:modified xsi:type="dcterms:W3CDTF">2025-08-13T05:46:00Z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id="b0iw7VaQ"/&gt;&lt;style id="http://www.zotero.org/styles/vancouver" locale="en-GB" hasBibliography="1" bibliographyStyleHasBeenSet="1"/&gt;&lt;prefs&gt;&lt;pref name="fieldType" value="Field"/&gt;&lt;/prefs&gt;&lt;/data&gt;</vt:lpwstr>
  </property>
</Properties>
</file>