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326CCC" w14:textId="1B281645" w:rsidR="0018174E" w:rsidRPr="0078258F" w:rsidRDefault="00B575D5" w:rsidP="0018174E">
      <w:pPr>
        <w:jc w:val="center"/>
        <w:rPr>
          <w:rFonts w:ascii="Times New Roman" w:eastAsia="Times New Roman" w:hAnsi="Times New Roman" w:cs="Times New Roman"/>
          <w:b/>
          <w:bCs/>
          <w:sz w:val="32"/>
          <w:szCs w:val="32"/>
        </w:rPr>
      </w:pPr>
      <w:r w:rsidRPr="00B575D5">
        <w:rPr>
          <w:rFonts w:ascii="Times New Roman" w:eastAsia="Calibri" w:hAnsi="Times New Roman" w:cs="Times New Roman"/>
          <w:b/>
          <w:bCs/>
          <w:sz w:val="32"/>
          <w:szCs w:val="32"/>
        </w:rPr>
        <w:t>Supplementary material</w:t>
      </w:r>
      <w:bookmarkStart w:id="0" w:name="_GoBack"/>
      <w:bookmarkEnd w:id="0"/>
      <w:r w:rsidR="0018174E" w:rsidRPr="0078258F">
        <w:rPr>
          <w:rFonts w:ascii="Times New Roman" w:eastAsia="Calibri" w:hAnsi="Times New Roman" w:cs="Times New Roman"/>
          <w:b/>
          <w:bCs/>
          <w:sz w:val="32"/>
          <w:szCs w:val="32"/>
        </w:rPr>
        <w:t xml:space="preserve"> 3</w:t>
      </w:r>
      <w:bookmarkStart w:id="1" w:name="_Hlk141259760"/>
      <w:bookmarkStart w:id="2" w:name="_Hlk141259728"/>
      <w:r w:rsidR="0018174E" w:rsidRPr="0078258F">
        <w:rPr>
          <w:rFonts w:ascii="Times New Roman" w:eastAsia="Calibri" w:hAnsi="Times New Roman" w:cs="Times New Roman"/>
          <w:b/>
          <w:bCs/>
          <w:sz w:val="32"/>
          <w:szCs w:val="32"/>
        </w:rPr>
        <w:t xml:space="preserve">: </w:t>
      </w:r>
      <w:r w:rsidR="0018174E" w:rsidRPr="0078258F">
        <w:rPr>
          <w:rFonts w:ascii="Times New Roman" w:hAnsi="Times New Roman" w:cs="Times New Roman"/>
          <w:b/>
          <w:bCs/>
          <w:sz w:val="32"/>
          <w:szCs w:val="32"/>
        </w:rPr>
        <w:t>Bayesian geostatistical models</w:t>
      </w:r>
      <w:r w:rsidR="0018174E" w:rsidRPr="0078258F">
        <w:rPr>
          <w:rFonts w:ascii="Times New Roman" w:hAnsi="Times New Roman" w:cs="Times New Roman"/>
          <w:b/>
          <w:bCs/>
        </w:rPr>
        <w:t xml:space="preserve">  </w:t>
      </w:r>
    </w:p>
    <w:p w14:paraId="578485A1" w14:textId="77777777" w:rsidR="0018174E" w:rsidRPr="0078258F" w:rsidRDefault="0018174E" w:rsidP="0018174E">
      <w:pPr>
        <w:spacing w:before="120"/>
        <w:jc w:val="both"/>
        <w:rPr>
          <w:rFonts w:ascii="Times New Roman" w:hAnsi="Times New Roman" w:cs="Times New Roman"/>
          <w:sz w:val="24"/>
          <w:szCs w:val="24"/>
        </w:rPr>
      </w:pPr>
      <w:r w:rsidRPr="0078258F">
        <w:rPr>
          <w:rFonts w:ascii="Times New Roman" w:hAnsi="Times New Roman" w:cs="Times New Roman"/>
          <w:sz w:val="24"/>
          <w:szCs w:val="24"/>
        </w:rPr>
        <w:t xml:space="preserve">INLA assumes that behind each geostatistical process </w:t>
      </w:r>
      <m:oMath>
        <m:r>
          <w:rPr>
            <w:rFonts w:ascii="Cambria Math" w:hAnsi="Cambria Math" w:cs="Times New Roman"/>
            <w:sz w:val="24"/>
            <w:szCs w:val="24"/>
          </w:rPr>
          <m:t>z(s)</m:t>
        </m:r>
      </m:oMath>
      <w:r w:rsidRPr="0078258F">
        <w:rPr>
          <w:rFonts w:ascii="Times New Roman" w:hAnsi="Times New Roman" w:cs="Times New Roman"/>
          <w:sz w:val="24"/>
          <w:szCs w:val="24"/>
        </w:rPr>
        <w:t xml:space="preserve"> there is an underlying stationary Gaussian random field, or Gaussian Process (GP), which represents the correlated spatial variation </w:t>
      </w:r>
      <w:bookmarkEnd w:id="1"/>
      <w:r w:rsidRPr="0078258F">
        <w:rPr>
          <w:rFonts w:ascii="Times New Roman" w:hAnsi="Times New Roman" w:cs="Times New Roman"/>
          <w:sz w:val="24"/>
          <w:szCs w:val="24"/>
        </w:rPr>
        <w:fldChar w:fldCharType="begin"/>
      </w:r>
      <w:r w:rsidRPr="0078258F">
        <w:rPr>
          <w:rFonts w:ascii="Times New Roman" w:hAnsi="Times New Roman" w:cs="Times New Roman"/>
          <w:sz w:val="24"/>
          <w:szCs w:val="24"/>
        </w:rPr>
        <w:instrText xml:space="preserve"> ADDIN ZOTERO_ITEM CSL_CITATION {"citationID":"Qsf6jmYR","properties":{"formattedCitation":"[1]","plainCitation":"[1]","noteIndex":0},"citationItems":[{"id":1519,"uris":["http://zotero.org/users/10170906/items/WCHDLASZ"],"itemData":{"id":1519,"type":"article-journal","abstract":"Summary. Structured additive regression models are perhaps the most commonly used class of models in statistical applications. It includes, among others, (generalized) linear models, (generalized) additive models, smoothing spline models, state space models, semiparametric regression, spatial and spatiotemporal models, log-Gaussian Cox processes and geostatistical and geoadditive models. We consider approximate Bayesian inference in a popular subset of structured additive regression models, latent Gaussian models, where the latent field is Gaussian, controlled by a few hyperparameters and with non-Gaussian response variables. The posterior marginals are not available in closed form owing to the non-Gaussian response variables. For such models, Markov chain Monte Carlo methods can be implemented, but they are not without problems, in terms of both convergence and computational time. In some practical applications, the extent of these problems is such that Markov chain Monte Carlo sampling is simply not an appropriate tool for routine analysis. We show that, by using an integrated nested Laplace approximation and its simplified version, we can directly compute very accurate approximations to the posterior marginals. The main benefit of these approximations is computational: where Markov chain Monte Carlo algorithms need hours or days to run, our approximations provide more precise estimates in seconds or minutes. Another advantage with our approach is its generality, which makes it possible to perform Bayesian analysis in an automatic, streamlined way, and to compute model comparison criteria and various predictive measures so that models can be compared and the model under study can be challenged.","container-title":"Journal of the Royal Statistical Society: Series B (Statistical Methodology)","DOI":"10.1111/j.1467-9868.2008.00700.x","ISSN":"1467-9868","issue":"2","language":"en","license":"© 2009 Royal Statistical Society","note":"_eprint: https://onlinelibrary.wiley.com/doi/pdf/10.1111/j.1467-9868.2008.00700.x","page":"319-392","source":"Wiley Online Library","title":"Approximate Bayesian inference for latent Gaussian models by using integrated nested Laplace approximations","volume":"71","author":[{"family":"Rue","given":"Håvard"},{"family":"Martino","given":"Sara"},{"family":"Chopin","given":"Nicolas"}],"issued":{"date-parts":[["2009"]]}}}],"schema":"https://github.com/citation-style-language/schema/raw/master/csl-citation.json"} </w:instrText>
      </w:r>
      <w:r w:rsidRPr="0078258F">
        <w:rPr>
          <w:rFonts w:ascii="Times New Roman" w:hAnsi="Times New Roman" w:cs="Times New Roman"/>
          <w:sz w:val="24"/>
          <w:szCs w:val="24"/>
        </w:rPr>
        <w:fldChar w:fldCharType="separate"/>
      </w:r>
      <w:r w:rsidRPr="0078258F">
        <w:rPr>
          <w:rFonts w:ascii="Times New Roman" w:hAnsi="Times New Roman" w:cs="Times New Roman"/>
          <w:sz w:val="24"/>
        </w:rPr>
        <w:t>[1]</w:t>
      </w:r>
      <w:r w:rsidRPr="0078258F">
        <w:rPr>
          <w:rFonts w:ascii="Times New Roman" w:hAnsi="Times New Roman" w:cs="Times New Roman"/>
          <w:sz w:val="24"/>
          <w:szCs w:val="24"/>
        </w:rPr>
        <w:fldChar w:fldCharType="end"/>
      </w:r>
      <w:r w:rsidRPr="0078258F">
        <w:rPr>
          <w:rFonts w:ascii="Times New Roman" w:hAnsi="Times New Roman" w:cs="Times New Roman"/>
          <w:sz w:val="24"/>
          <w:szCs w:val="24"/>
        </w:rPr>
        <w:t xml:space="preserve">. By approximating the GP with a Gaussian Markov random field (GMRF), INLA </w:t>
      </w:r>
      <w:bookmarkEnd w:id="2"/>
      <w:r w:rsidRPr="0078258F">
        <w:rPr>
          <w:rFonts w:ascii="Times New Roman" w:hAnsi="Times New Roman" w:cs="Times New Roman"/>
          <w:sz w:val="24"/>
          <w:szCs w:val="24"/>
        </w:rPr>
        <w:t xml:space="preserve">offers the advantage of working with a sparse precision matrix (due to Markov independence properties), which allows for efficient computations. A GP with Matérn covariance function is a solution to the following linear SPDE </w:t>
      </w:r>
      <w:r w:rsidRPr="0078258F">
        <w:rPr>
          <w:rFonts w:ascii="Times New Roman" w:hAnsi="Times New Roman" w:cs="Times New Roman"/>
          <w:sz w:val="24"/>
          <w:szCs w:val="24"/>
        </w:rPr>
        <w:fldChar w:fldCharType="begin"/>
      </w:r>
      <w:r w:rsidRPr="0078258F">
        <w:rPr>
          <w:rFonts w:ascii="Times New Roman" w:hAnsi="Times New Roman" w:cs="Times New Roman"/>
          <w:sz w:val="24"/>
          <w:szCs w:val="24"/>
        </w:rPr>
        <w:instrText xml:space="preserve"> ADDIN ZOTERO_ITEM CSL_CITATION {"citationID":"SOw9fQwW","properties":{"formattedCitation":"[2]","plainCitation":"[2]","noteIndex":0},"citationItems":[{"id":1525,"uris":["http://zotero.org/users/10170906/items/K4IT4NC3"],"itemData":{"id":1525,"type":"article-journal","abstract":"Continuously indexed Gaussian ﬁelds (GFs) are the most important ingredient in spatial statistical modelling and geostatistics. The speciﬁcation through the covariance function gives an intuitive interpretation of the ﬁeld properties. On the computational side, GFs are hampered with the big n problem, since the cost of factorizing dense matrices is cubic in the dimension. Although computational power today is at an all time high, this fact seems still to be a computational bottleneck in many applications. Along with GFs, there is the class of Gaussian Markov random ﬁelds (GMRFs) which are discretely indexed. The Markov property makes the precision matrix involved sparse, which enables the use of numerical algorithms for sparse matrices, that for ﬁelds in R2 only use the square root of the time required by general algorithms. The speciﬁcation of a GMRF is through its full conditional distributions but its marginal properties are not transparent in such a parameterization. We show that, using an approximate stochastic weak solution to (linear) stochastic partial differential equations, we can, for some GFs in the Matérn class, provide an explicit link , for any triangulation of Rd , between GFs and GMRFs, formulated as a basis function representation. The consequence is that we can take the best from the two worlds and do the modelling by using GFs but do the computations by using GMRFs. Perhaps more importantly, our approach generalizes to other covariance functions generated by SPDEs, including oscillating and non-stationary GFs, as well as GFs on manifolds. We illustrate our approach by analysing global temperature data with a non-stationary model deﬁned on a sphere.","container-title":"Journal of the Royal Statistical Society Series B: Statistical Methodology","DOI":"10.1111/j.1467-9868.2011.00777.x","ISSN":"1369-7412, 1467-9868","issue":"4","language":"en","page":"423-498","source":"DOI.org (Crossref)","title":"An Explicit Link between Gaussian Fields and Gaussian Markov Random Fields: The Stochastic Partial Differential Equation Approach","title-short":"An Explicit Link between Gaussian Fields and Gaussian Markov Random Fields","volume":"73","author":[{"family":"Lindgren","given":"Finn"},{"family":"Rue","given":"Håvard"},{"family":"Lindström","given":"Johan"}],"issued":{"date-parts":[["2011",9,1]]}}}],"schema":"https://github.com/citation-style-language/schema/raw/master/csl-citation.json"} </w:instrText>
      </w:r>
      <w:r w:rsidRPr="0078258F">
        <w:rPr>
          <w:rFonts w:ascii="Times New Roman" w:hAnsi="Times New Roman" w:cs="Times New Roman"/>
          <w:sz w:val="24"/>
          <w:szCs w:val="24"/>
        </w:rPr>
        <w:fldChar w:fldCharType="separate"/>
      </w:r>
      <w:r w:rsidRPr="0078258F">
        <w:rPr>
          <w:rFonts w:ascii="Times New Roman" w:hAnsi="Times New Roman" w:cs="Times New Roman"/>
          <w:sz w:val="24"/>
        </w:rPr>
        <w:t>[2]</w:t>
      </w:r>
      <w:r w:rsidRPr="0078258F">
        <w:rPr>
          <w:rFonts w:ascii="Times New Roman" w:hAnsi="Times New Roman" w:cs="Times New Roman"/>
          <w:sz w:val="24"/>
          <w:szCs w:val="24"/>
        </w:rPr>
        <w:fldChar w:fldCharType="end"/>
      </w:r>
      <w:r w:rsidRPr="0078258F">
        <w:rPr>
          <w:rFonts w:ascii="Times New Roman" w:hAnsi="Times New Roman" w:cs="Times New Roman"/>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6516"/>
        <w:gridCol w:w="1224"/>
      </w:tblGrid>
      <w:tr w:rsidR="0018174E" w:rsidRPr="0078258F" w14:paraId="5752E215" w14:textId="77777777" w:rsidTr="00CE28C2">
        <w:tc>
          <w:tcPr>
            <w:tcW w:w="1276" w:type="dxa"/>
          </w:tcPr>
          <w:p w14:paraId="1207622F" w14:textId="77777777" w:rsidR="0018174E" w:rsidRPr="0078258F" w:rsidRDefault="0018174E" w:rsidP="00CE28C2">
            <w:pPr>
              <w:jc w:val="both"/>
              <w:rPr>
                <w:rFonts w:ascii="Times New Roman" w:hAnsi="Times New Roman" w:cs="Times New Roman"/>
                <w:sz w:val="24"/>
                <w:szCs w:val="24"/>
              </w:rPr>
            </w:pPr>
          </w:p>
        </w:tc>
        <w:tc>
          <w:tcPr>
            <w:tcW w:w="6516" w:type="dxa"/>
            <w:vAlign w:val="center"/>
          </w:tcPr>
          <w:p w14:paraId="404E5FBE" w14:textId="354B745D" w:rsidR="0018174E" w:rsidRPr="0078258F" w:rsidRDefault="00B575D5" w:rsidP="00CE28C2">
            <w:pPr>
              <w:jc w:val="center"/>
              <w:rPr>
                <w:rFonts w:ascii="Times New Roman" w:hAnsi="Times New Roman" w:cs="Times New Roman"/>
                <w:sz w:val="24"/>
                <w:szCs w:val="24"/>
              </w:rPr>
            </w:pPr>
            <m:oMathPara>
              <m:oMathParaPr>
                <m:jc m:val="center"/>
              </m:oMathParaPr>
              <m:oMath>
                <m:sSup>
                  <m:sSupPr>
                    <m:ctrlPr>
                      <w:rPr>
                        <w:rFonts w:ascii="Cambria Math" w:hAnsi="Cambria Math" w:cs="Times New Roman"/>
                        <w:i/>
                        <w:sz w:val="24"/>
                        <w:szCs w:val="24"/>
                      </w:rPr>
                    </m:ctrlPr>
                  </m:sSupPr>
                  <m:e>
                    <m:d>
                      <m:dPr>
                        <m:ctrlPr>
                          <w:rPr>
                            <w:rFonts w:ascii="Cambria Math" w:hAnsi="Cambria Math" w:cs="Times New Roman"/>
                            <w:i/>
                            <w:sz w:val="24"/>
                            <w:szCs w:val="24"/>
                          </w:rPr>
                        </m:ctrlPr>
                      </m:dPr>
                      <m:e>
                        <m:sSup>
                          <m:sSupPr>
                            <m:ctrlPr>
                              <w:rPr>
                                <w:rFonts w:ascii="Cambria Math" w:hAnsi="Cambria Math" w:cs="Times New Roman"/>
                                <w:i/>
                                <w:sz w:val="24"/>
                                <w:szCs w:val="24"/>
                              </w:rPr>
                            </m:ctrlPr>
                          </m:sSupPr>
                          <m:e>
                            <m:r>
                              <w:rPr>
                                <w:rFonts w:ascii="Cambria Math" w:hAnsi="Cambria Math" w:cs="Times New Roman"/>
                                <w:sz w:val="24"/>
                                <w:szCs w:val="24"/>
                              </w:rPr>
                              <m:t>κ</m:t>
                            </m:r>
                          </m:e>
                          <m:sup>
                            <m:r>
                              <w:rPr>
                                <w:rFonts w:ascii="Cambria Math" w:hAnsi="Cambria Math" w:cs="Times New Roman"/>
                                <w:sz w:val="24"/>
                                <w:szCs w:val="24"/>
                              </w:rPr>
                              <m:t>2</m:t>
                            </m:r>
                          </m:sup>
                        </m:sSup>
                        <m:r>
                          <w:rPr>
                            <w:rFonts w:ascii="Cambria Math" w:hAnsi="Cambria Math" w:cs="Times New Roman"/>
                            <w:sz w:val="24"/>
                            <w:szCs w:val="24"/>
                          </w:rPr>
                          <m:t>-</m:t>
                        </m:r>
                        <m:r>
                          <m:rPr>
                            <m:sty m:val="p"/>
                          </m:rPr>
                          <w:rPr>
                            <w:rFonts w:ascii="Cambria Math" w:hAnsi="Cambria Math" w:cs="Times New Roman"/>
                            <w:sz w:val="24"/>
                            <w:szCs w:val="24"/>
                          </w:rPr>
                          <m:t>Δ</m:t>
                        </m:r>
                      </m:e>
                    </m:d>
                  </m:e>
                  <m:sup>
                    <m:f>
                      <m:fPr>
                        <m:ctrlPr>
                          <w:rPr>
                            <w:rFonts w:ascii="Cambria Math" w:hAnsi="Cambria Math" w:cs="Times New Roman"/>
                            <w:i/>
                            <w:sz w:val="24"/>
                            <w:szCs w:val="24"/>
                          </w:rPr>
                        </m:ctrlPr>
                      </m:fPr>
                      <m:num>
                        <m:r>
                          <w:rPr>
                            <w:rFonts w:ascii="Cambria Math" w:hAnsi="Cambria Math" w:cs="Times New Roman"/>
                            <w:sz w:val="24"/>
                            <w:szCs w:val="24"/>
                          </w:rPr>
                          <m:t>α</m:t>
                        </m:r>
                      </m:num>
                      <m:den>
                        <m:r>
                          <w:rPr>
                            <w:rFonts w:ascii="Cambria Math" w:hAnsi="Cambria Math" w:cs="Times New Roman"/>
                            <w:sz w:val="24"/>
                            <w:szCs w:val="24"/>
                          </w:rPr>
                          <m:t>2</m:t>
                        </m:r>
                      </m:den>
                    </m:f>
                  </m:sup>
                </m:sSup>
                <m:r>
                  <w:rPr>
                    <w:rFonts w:ascii="Cambria Math" w:hAnsi="Cambria Math" w:cs="Times New Roman"/>
                    <w:sz w:val="24"/>
                    <w:szCs w:val="24"/>
                  </w:rPr>
                  <m:t xml:space="preserve"> u</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i</m:t>
                        </m:r>
                      </m:sub>
                    </m:sSub>
                  </m:e>
                </m:d>
                <m:r>
                  <w:rPr>
                    <w:rFonts w:ascii="Cambria Math" w:hAnsi="Cambria Math" w:cs="Times New Roman"/>
                    <w:sz w:val="24"/>
                    <w:szCs w:val="24"/>
                  </w:rPr>
                  <m:t>=W</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i</m:t>
                        </m:r>
                      </m:sub>
                    </m:sSub>
                  </m:e>
                </m:d>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i</m:t>
                    </m:r>
                  </m:sub>
                </m:sSub>
                <m:r>
                  <w:rPr>
                    <w:rFonts w:ascii="Cambria Math" w:hAnsi="Cambria Math" w:cs="Times New Roman"/>
                    <w:sz w:val="24"/>
                    <w:szCs w:val="24"/>
                  </w:rPr>
                  <m:t xml:space="preserve">∈ </m:t>
                </m:r>
                <m:sSup>
                  <m:sSupPr>
                    <m:ctrlPr>
                      <w:rPr>
                        <w:rFonts w:ascii="Cambria Math" w:hAnsi="Cambria Math" w:cs="Times New Roman"/>
                        <w:i/>
                        <w:sz w:val="24"/>
                        <w:szCs w:val="24"/>
                      </w:rPr>
                    </m:ctrlPr>
                  </m:sSupPr>
                  <m:e>
                    <m:r>
                      <m:rPr>
                        <m:scr m:val="double-struck"/>
                      </m:rPr>
                      <w:rPr>
                        <w:rFonts w:ascii="Cambria Math" w:hAnsi="Cambria Math" w:cs="Times New Roman"/>
                        <w:sz w:val="24"/>
                        <w:szCs w:val="24"/>
                      </w:rPr>
                      <m:t>R</m:t>
                    </m:r>
                  </m:e>
                  <m:sup>
                    <m:r>
                      <w:rPr>
                        <w:rFonts w:ascii="Cambria Math" w:hAnsi="Cambria Math" w:cs="Times New Roman"/>
                        <w:sz w:val="24"/>
                        <w:szCs w:val="24"/>
                      </w:rPr>
                      <m:t>d</m:t>
                    </m:r>
                  </m:sup>
                </m:sSup>
                <m:r>
                  <w:rPr>
                    <w:rFonts w:ascii="Cambria Math" w:hAnsi="Cambria Math" w:cs="Times New Roman"/>
                    <w:sz w:val="24"/>
                    <w:szCs w:val="24"/>
                  </w:rPr>
                  <m:t>, α=ν+</m:t>
                </m:r>
                <m:f>
                  <m:fPr>
                    <m:ctrlPr>
                      <w:rPr>
                        <w:rFonts w:ascii="Cambria Math" w:hAnsi="Cambria Math" w:cs="Times New Roman"/>
                        <w:i/>
                        <w:sz w:val="24"/>
                        <w:szCs w:val="24"/>
                      </w:rPr>
                    </m:ctrlPr>
                  </m:fPr>
                  <m:num>
                    <m:r>
                      <w:rPr>
                        <w:rFonts w:ascii="Cambria Math" w:hAnsi="Cambria Math" w:cs="Times New Roman"/>
                        <w:sz w:val="24"/>
                        <w:szCs w:val="24"/>
                      </w:rPr>
                      <m:t>d</m:t>
                    </m:r>
                  </m:num>
                  <m:den>
                    <m:r>
                      <w:rPr>
                        <w:rFonts w:ascii="Cambria Math" w:hAnsi="Cambria Math" w:cs="Times New Roman"/>
                        <w:sz w:val="24"/>
                        <w:szCs w:val="24"/>
                      </w:rPr>
                      <m:t>2</m:t>
                    </m:r>
                  </m:den>
                </m:f>
              </m:oMath>
            </m:oMathPara>
          </w:p>
        </w:tc>
        <w:tc>
          <w:tcPr>
            <w:tcW w:w="1224" w:type="dxa"/>
            <w:vAlign w:val="center"/>
          </w:tcPr>
          <w:p w14:paraId="19BBDE7B" w14:textId="77777777" w:rsidR="0018174E" w:rsidRPr="0078258F" w:rsidRDefault="0018174E" w:rsidP="00CE28C2">
            <w:pPr>
              <w:pStyle w:val="Caption"/>
              <w:jc w:val="right"/>
              <w:rPr>
                <w:rFonts w:ascii="Times New Roman" w:hAnsi="Times New Roman" w:cs="Times New Roman"/>
                <w:sz w:val="24"/>
                <w:szCs w:val="24"/>
              </w:rPr>
            </w:pPr>
            <w:r w:rsidRPr="0078258F">
              <w:rPr>
                <w:rFonts w:ascii="Times New Roman" w:hAnsi="Times New Roman" w:cs="Times New Roman"/>
                <w:i w:val="0"/>
                <w:iCs w:val="0"/>
                <w:color w:val="auto"/>
                <w:sz w:val="24"/>
                <w:szCs w:val="24"/>
              </w:rPr>
              <w:t>(</w:t>
            </w:r>
            <w:r w:rsidRPr="0078258F">
              <w:rPr>
                <w:rFonts w:ascii="Times New Roman" w:hAnsi="Times New Roman" w:cs="Times New Roman"/>
                <w:i w:val="0"/>
                <w:iCs w:val="0"/>
                <w:color w:val="auto"/>
                <w:sz w:val="24"/>
                <w:szCs w:val="24"/>
              </w:rPr>
              <w:fldChar w:fldCharType="begin"/>
            </w:r>
            <w:r w:rsidRPr="0078258F">
              <w:rPr>
                <w:rFonts w:ascii="Times New Roman" w:hAnsi="Times New Roman" w:cs="Times New Roman"/>
                <w:i w:val="0"/>
                <w:iCs w:val="0"/>
                <w:color w:val="auto"/>
                <w:sz w:val="24"/>
                <w:szCs w:val="24"/>
              </w:rPr>
              <w:instrText xml:space="preserve"> SEQ ( \* ARABIC </w:instrText>
            </w:r>
            <w:r w:rsidRPr="0078258F">
              <w:rPr>
                <w:rFonts w:ascii="Times New Roman" w:hAnsi="Times New Roman" w:cs="Times New Roman"/>
                <w:i w:val="0"/>
                <w:iCs w:val="0"/>
                <w:color w:val="auto"/>
                <w:sz w:val="24"/>
                <w:szCs w:val="24"/>
              </w:rPr>
              <w:fldChar w:fldCharType="separate"/>
            </w:r>
            <w:r w:rsidRPr="0078258F">
              <w:rPr>
                <w:rFonts w:ascii="Times New Roman" w:hAnsi="Times New Roman" w:cs="Times New Roman"/>
                <w:i w:val="0"/>
                <w:iCs w:val="0"/>
                <w:noProof/>
                <w:color w:val="auto"/>
                <w:sz w:val="24"/>
                <w:szCs w:val="24"/>
              </w:rPr>
              <w:t>1</w:t>
            </w:r>
            <w:r w:rsidRPr="0078258F">
              <w:rPr>
                <w:rFonts w:ascii="Times New Roman" w:hAnsi="Times New Roman" w:cs="Times New Roman"/>
                <w:i w:val="0"/>
                <w:iCs w:val="0"/>
                <w:color w:val="auto"/>
                <w:sz w:val="24"/>
                <w:szCs w:val="24"/>
              </w:rPr>
              <w:fldChar w:fldCharType="end"/>
            </w:r>
            <w:r w:rsidRPr="0078258F">
              <w:rPr>
                <w:rFonts w:ascii="Times New Roman" w:hAnsi="Times New Roman" w:cs="Times New Roman"/>
                <w:i w:val="0"/>
                <w:iCs w:val="0"/>
                <w:color w:val="auto"/>
                <w:sz w:val="24"/>
                <w:szCs w:val="24"/>
              </w:rPr>
              <w:t>)</w:t>
            </w:r>
          </w:p>
        </w:tc>
      </w:tr>
    </w:tbl>
    <w:p w14:paraId="21B831D2" w14:textId="77777777" w:rsidR="0018174E" w:rsidRPr="0078258F" w:rsidRDefault="0018174E" w:rsidP="0018174E">
      <w:pPr>
        <w:spacing w:before="120"/>
        <w:jc w:val="both"/>
        <w:rPr>
          <w:rFonts w:ascii="Times New Roman" w:hAnsi="Times New Roman" w:cs="Times New Roman"/>
          <w:sz w:val="24"/>
          <w:szCs w:val="24"/>
        </w:rPr>
      </w:pPr>
      <w:r w:rsidRPr="0078258F">
        <w:rPr>
          <w:rFonts w:ascii="Times New Roman" w:hAnsi="Times New Roman" w:cs="Times New Roman"/>
          <w:sz w:val="24"/>
          <w:szCs w:val="24"/>
        </w:rPr>
        <w:t xml:space="preserve">where </w:t>
      </w:r>
      <m:oMath>
        <m:r>
          <w:rPr>
            <w:rFonts w:ascii="Cambria Math" w:hAnsi="Cambria Math" w:cs="Times New Roman"/>
            <w:sz w:val="24"/>
            <w:szCs w:val="24"/>
            <w:lang w:val="fr-FR"/>
          </w:rPr>
          <m:t>κ</m:t>
        </m:r>
        <m:r>
          <w:rPr>
            <w:rFonts w:ascii="Cambria Math" w:hAnsi="Cambria Math" w:cs="Times New Roman"/>
            <w:sz w:val="24"/>
            <w:szCs w:val="24"/>
            <w:lang w:val="en-US"/>
          </w:rPr>
          <m:t>&gt;0</m:t>
        </m:r>
      </m:oMath>
      <w:r w:rsidRPr="0078258F">
        <w:rPr>
          <w:rFonts w:ascii="Times New Roman" w:hAnsi="Times New Roman" w:cs="Times New Roman"/>
          <w:sz w:val="24"/>
          <w:szCs w:val="24"/>
          <w:lang w:val="en-US"/>
        </w:rPr>
        <w:t xml:space="preserve"> is a scale parameter controlling the range, i.e. the distance from which there is no more spatial autocorrelation in the data,</w:t>
      </w:r>
      <w:r w:rsidRPr="0078258F">
        <w:rPr>
          <w:rFonts w:ascii="Times New Roman" w:hAnsi="Times New Roman" w:cs="Times New Roman"/>
          <w:sz w:val="24"/>
          <w:szCs w:val="24"/>
        </w:rPr>
        <w:t xml:space="preserve"> </w:t>
      </w:r>
      <m:oMath>
        <m:r>
          <m:rPr>
            <m:sty m:val="p"/>
          </m:rPr>
          <w:rPr>
            <w:rFonts w:ascii="Cambria Math" w:hAnsi="Cambria Math" w:cs="Times New Roman"/>
            <w:sz w:val="24"/>
            <w:szCs w:val="24"/>
          </w:rPr>
          <m:t>Δ</m:t>
        </m:r>
      </m:oMath>
      <w:r w:rsidRPr="0078258F">
        <w:rPr>
          <w:rFonts w:ascii="Times New Roman" w:hAnsi="Times New Roman" w:cs="Times New Roman"/>
          <w:sz w:val="24"/>
          <w:szCs w:val="24"/>
        </w:rPr>
        <w:t xml:space="preserve"> is the Laplacian operator,</w:t>
      </w:r>
      <w:r w:rsidRPr="0078258F">
        <w:rPr>
          <w:rFonts w:ascii="Times New Roman" w:hAnsi="Times New Roman" w:cs="Times New Roman"/>
          <w:i/>
          <w:sz w:val="24"/>
          <w:szCs w:val="24"/>
        </w:rPr>
        <w:t xml:space="preserve"> </w:t>
      </w:r>
      <m:oMath>
        <m:r>
          <w:rPr>
            <w:rFonts w:ascii="Cambria Math" w:hAnsi="Cambria Math" w:cs="Times New Roman"/>
            <w:sz w:val="24"/>
            <w:szCs w:val="24"/>
          </w:rPr>
          <m:t>ν&gt;0</m:t>
        </m:r>
      </m:oMath>
      <w:r w:rsidRPr="0078258F">
        <w:rPr>
          <w:rFonts w:ascii="Times New Roman" w:hAnsi="Times New Roman" w:cs="Times New Roman"/>
          <w:sz w:val="24"/>
          <w:szCs w:val="24"/>
        </w:rPr>
        <w:t xml:space="preserve"> controls the smoothness of the spatial process, </w:t>
      </w:r>
      <m:oMath>
        <m:r>
          <w:rPr>
            <w:rFonts w:ascii="Cambria Math" w:hAnsi="Cambria Math" w:cs="Times New Roman"/>
            <w:sz w:val="24"/>
            <w:szCs w:val="24"/>
          </w:rPr>
          <m:t>u</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i</m:t>
                </m:r>
              </m:sub>
            </m:sSub>
          </m:e>
        </m:d>
      </m:oMath>
      <w:r w:rsidRPr="0078258F">
        <w:rPr>
          <w:rFonts w:ascii="Times New Roman" w:hAnsi="Times New Roman" w:cs="Times New Roman"/>
          <w:sz w:val="24"/>
          <w:szCs w:val="24"/>
        </w:rPr>
        <w:t xml:space="preserve"> is the GP for locations </w:t>
      </w: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s</m:t>
            </m:r>
          </m:e>
          <m:sub>
            <m:r>
              <w:rPr>
                <w:rFonts w:ascii="Cambria Math" w:hAnsi="Cambria Math" w:cs="Times New Roman"/>
                <w:sz w:val="24"/>
                <w:szCs w:val="24"/>
                <w:lang w:val="en-US"/>
              </w:rPr>
              <m:t>i</m:t>
            </m:r>
          </m:sub>
        </m:sSub>
        <m:d>
          <m:dPr>
            <m:ctrlPr>
              <w:rPr>
                <w:rFonts w:ascii="Cambria Math" w:hAnsi="Cambria Math" w:cs="Times New Roman"/>
                <w:i/>
                <w:sz w:val="24"/>
                <w:szCs w:val="24"/>
                <w:lang w:val="en-US"/>
              </w:rPr>
            </m:ctrlPr>
          </m:dPr>
          <m:e>
            <m:r>
              <w:rPr>
                <w:rFonts w:ascii="Cambria Math" w:hAnsi="Cambria Math" w:cs="Times New Roman"/>
                <w:sz w:val="24"/>
                <w:szCs w:val="24"/>
                <w:lang w:val="en-US"/>
              </w:rPr>
              <m:t>i=1,…,n</m:t>
            </m:r>
          </m:e>
        </m:d>
      </m:oMath>
      <w:r w:rsidRPr="0078258F">
        <w:rPr>
          <w:rFonts w:ascii="Times New Roman" w:hAnsi="Times New Roman" w:cs="Times New Roman"/>
          <w:sz w:val="24"/>
          <w:szCs w:val="24"/>
          <w:lang w:val="en-US"/>
        </w:rPr>
        <w:t xml:space="preserve">, and </w:t>
      </w:r>
      <m:oMath>
        <m:r>
          <w:rPr>
            <w:rFonts w:ascii="Cambria Math" w:hAnsi="Cambria Math" w:cs="Times New Roman"/>
            <w:sz w:val="24"/>
            <w:szCs w:val="24"/>
          </w:rPr>
          <m:t>W(</m:t>
        </m:r>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i</m:t>
            </m:r>
          </m:sub>
        </m:sSub>
        <m:r>
          <w:rPr>
            <w:rFonts w:ascii="Cambria Math" w:hAnsi="Cambria Math" w:cs="Times New Roman"/>
            <w:sz w:val="24"/>
            <w:szCs w:val="24"/>
          </w:rPr>
          <m:t>)</m:t>
        </m:r>
      </m:oMath>
      <w:r w:rsidRPr="0078258F">
        <w:rPr>
          <w:rFonts w:ascii="Times New Roman" w:hAnsi="Times New Roman" w:cs="Times New Roman"/>
          <w:sz w:val="24"/>
          <w:szCs w:val="24"/>
        </w:rPr>
        <w:t xml:space="preserve"> represents the Gaussian white noise. </w:t>
      </w:r>
    </w:p>
    <w:p w14:paraId="325C183C" w14:textId="77777777" w:rsidR="0018174E" w:rsidRPr="0078258F" w:rsidRDefault="0018174E" w:rsidP="0018174E">
      <w:pPr>
        <w:spacing w:before="120"/>
        <w:jc w:val="both"/>
        <w:rPr>
          <w:rFonts w:ascii="Times New Roman" w:hAnsi="Times New Roman" w:cs="Times New Roman"/>
          <w:sz w:val="24"/>
          <w:szCs w:val="24"/>
        </w:rPr>
      </w:pPr>
      <w:r w:rsidRPr="0078258F">
        <w:rPr>
          <w:rFonts w:ascii="Times New Roman" w:hAnsi="Times New Roman" w:cs="Times New Roman"/>
          <w:sz w:val="24"/>
          <w:szCs w:val="24"/>
        </w:rPr>
        <w:t xml:space="preserve">This SPDE is solved using the finite element method, which tessellates the study area into a set of non-intersecting triangles, i.e. a mesh. The GP is approximated by a set of </w:t>
      </w:r>
      <w:proofErr w:type="spellStart"/>
      <w:r w:rsidRPr="0078258F">
        <w:rPr>
          <w:rFonts w:ascii="Times New Roman" w:hAnsi="Times New Roman" w:cs="Times New Roman"/>
          <w:sz w:val="24"/>
          <w:szCs w:val="24"/>
        </w:rPr>
        <w:t>basis</w:t>
      </w:r>
      <w:proofErr w:type="spellEnd"/>
      <w:r w:rsidRPr="0078258F">
        <w:rPr>
          <w:rFonts w:ascii="Times New Roman" w:hAnsi="Times New Roman" w:cs="Times New Roman"/>
          <w:sz w:val="24"/>
          <w:szCs w:val="24"/>
        </w:rPr>
        <w:t xml:space="preserve"> functions that are fitted to the mesh vertices </w:t>
      </w:r>
      <w:r w:rsidRPr="0078258F">
        <w:rPr>
          <w:rFonts w:ascii="Times New Roman" w:hAnsi="Times New Roman" w:cs="Times New Roman"/>
          <w:sz w:val="24"/>
          <w:szCs w:val="24"/>
        </w:rPr>
        <w:fldChar w:fldCharType="begin"/>
      </w:r>
      <w:r w:rsidRPr="0078258F">
        <w:rPr>
          <w:rFonts w:ascii="Times New Roman" w:hAnsi="Times New Roman" w:cs="Times New Roman"/>
          <w:sz w:val="24"/>
          <w:szCs w:val="24"/>
        </w:rPr>
        <w:instrText xml:space="preserve"> ADDIN ZOTERO_ITEM CSL_CITATION {"citationID":"n7W73bWE","properties":{"formattedCitation":"[2]","plainCitation":"[2]","noteIndex":0},"citationItems":[{"id":1525,"uris":["http://zotero.org/users/10170906/items/K4IT4NC3"],"itemData":{"id":1525,"type":"article-journal","abstract":"Continuously indexed Gaussian ﬁelds (GFs) are the most important ingredient in spatial statistical modelling and geostatistics. The speciﬁcation through the covariance function gives an intuitive interpretation of the ﬁeld properties. On the computational side, GFs are hampered with the big n problem, since the cost of factorizing dense matrices is cubic in the dimension. Although computational power today is at an all time high, this fact seems still to be a computational bottleneck in many applications. Along with GFs, there is the class of Gaussian Markov random ﬁelds (GMRFs) which are discretely indexed. The Markov property makes the precision matrix involved sparse, which enables the use of numerical algorithms for sparse matrices, that for ﬁelds in R2 only use the square root of the time required by general algorithms. The speciﬁcation of a GMRF is through its full conditional distributions but its marginal properties are not transparent in such a parameterization. We show that, using an approximate stochastic weak solution to (linear) stochastic partial differential equations, we can, for some GFs in the Matérn class, provide an explicit link , for any triangulation of Rd , between GFs and GMRFs, formulated as a basis function representation. The consequence is that we can take the best from the two worlds and do the modelling by using GFs but do the computations by using GMRFs. Perhaps more importantly, our approach generalizes to other covariance functions generated by SPDEs, including oscillating and non-stationary GFs, as well as GFs on manifolds. We illustrate our approach by analysing global temperature data with a non-stationary model deﬁned on a sphere.","container-title":"Journal of the Royal Statistical Society Series B: Statistical Methodology","DOI":"10.1111/j.1467-9868.2011.00777.x","ISSN":"1369-7412, 1467-9868","issue":"4","language":"en","page":"423-498","source":"DOI.org (Crossref)","title":"An Explicit Link between Gaussian Fields and Gaussian Markov Random Fields: The Stochastic Partial Differential Equation Approach","title-short":"An Explicit Link between Gaussian Fields and Gaussian Markov Random Fields","volume":"73","author":[{"family":"Lindgren","given":"Finn"},{"family":"Rue","given":"Håvard"},{"family":"Lindström","given":"Johan"}],"issued":{"date-parts":[["2011",9,1]]}}}],"schema":"https://github.com/citation-style-language/schema/raw/master/csl-citation.json"} </w:instrText>
      </w:r>
      <w:r w:rsidRPr="0078258F">
        <w:rPr>
          <w:rFonts w:ascii="Times New Roman" w:hAnsi="Times New Roman" w:cs="Times New Roman"/>
          <w:sz w:val="24"/>
          <w:szCs w:val="24"/>
        </w:rPr>
        <w:fldChar w:fldCharType="separate"/>
      </w:r>
      <w:r w:rsidRPr="0078258F">
        <w:rPr>
          <w:rFonts w:ascii="Times New Roman" w:hAnsi="Times New Roman" w:cs="Times New Roman"/>
          <w:sz w:val="24"/>
        </w:rPr>
        <w:t>[2]</w:t>
      </w:r>
      <w:r w:rsidRPr="0078258F">
        <w:rPr>
          <w:rFonts w:ascii="Times New Roman" w:hAnsi="Times New Roman" w:cs="Times New Roman"/>
          <w:sz w:val="24"/>
          <w:szCs w:val="24"/>
        </w:rPr>
        <w:fldChar w:fldCharType="end"/>
      </w:r>
      <w:r w:rsidRPr="0078258F">
        <w:rPr>
          <w:rFonts w:ascii="Times New Roman" w:hAnsi="Times New Roman" w:cs="Times New Roman"/>
          <w:sz w:val="24"/>
          <w:szCs w:val="24"/>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6516"/>
        <w:gridCol w:w="1224"/>
      </w:tblGrid>
      <w:tr w:rsidR="0018174E" w:rsidRPr="0078258F" w14:paraId="78E299B0" w14:textId="77777777" w:rsidTr="00CE28C2">
        <w:tc>
          <w:tcPr>
            <w:tcW w:w="1276" w:type="dxa"/>
          </w:tcPr>
          <w:p w14:paraId="121A9290" w14:textId="77777777" w:rsidR="0018174E" w:rsidRPr="0078258F" w:rsidRDefault="0018174E" w:rsidP="00CE28C2">
            <w:pPr>
              <w:jc w:val="both"/>
              <w:rPr>
                <w:rFonts w:ascii="Times New Roman" w:hAnsi="Times New Roman" w:cs="Times New Roman"/>
                <w:sz w:val="24"/>
                <w:szCs w:val="24"/>
              </w:rPr>
            </w:pPr>
          </w:p>
        </w:tc>
        <w:tc>
          <w:tcPr>
            <w:tcW w:w="6516" w:type="dxa"/>
            <w:vAlign w:val="center"/>
          </w:tcPr>
          <w:p w14:paraId="20754CD8" w14:textId="77777777" w:rsidR="0018174E" w:rsidRPr="0078258F" w:rsidRDefault="0018174E" w:rsidP="00CE28C2">
            <w:pPr>
              <w:jc w:val="center"/>
              <w:rPr>
                <w:rFonts w:ascii="Times New Roman" w:hAnsi="Times New Roman" w:cs="Times New Roman"/>
                <w:sz w:val="24"/>
                <w:szCs w:val="24"/>
              </w:rPr>
            </w:pPr>
            <m:oMathPara>
              <m:oMathParaPr>
                <m:jc m:val="center"/>
              </m:oMathParaPr>
              <m:oMath>
                <m:r>
                  <w:rPr>
                    <w:rFonts w:ascii="Cambria Math" w:hAnsi="Cambria Math" w:cs="Times New Roman"/>
                    <w:sz w:val="24"/>
                    <w:szCs w:val="24"/>
                  </w:rPr>
                  <m:t>u</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i</m:t>
                        </m:r>
                      </m:sub>
                    </m:sSub>
                  </m:e>
                </m:d>
                <m:r>
                  <w:rPr>
                    <w:rFonts w:ascii="Cambria Math" w:hAnsi="Cambria Math" w:cs="Times New Roman"/>
                    <w:sz w:val="24"/>
                    <w:szCs w:val="24"/>
                  </w:rPr>
                  <m:t xml:space="preserve">= </m:t>
                </m:r>
                <m:nary>
                  <m:naryPr>
                    <m:chr m:val="∑"/>
                    <m:limLoc m:val="undOvr"/>
                    <m:ctrlPr>
                      <w:rPr>
                        <w:rFonts w:ascii="Cambria Math" w:hAnsi="Cambria Math" w:cs="Times New Roman"/>
                        <w:i/>
                        <w:sz w:val="24"/>
                        <w:szCs w:val="24"/>
                      </w:rPr>
                    </m:ctrlPr>
                  </m:naryPr>
                  <m:sub>
                    <m:r>
                      <w:rPr>
                        <w:rFonts w:ascii="Cambria Math" w:hAnsi="Cambria Math" w:cs="Times New Roman"/>
                        <w:sz w:val="24"/>
                        <w:szCs w:val="24"/>
                      </w:rPr>
                      <m:t>k=1</m:t>
                    </m:r>
                  </m:sub>
                  <m:sup>
                    <m:r>
                      <w:rPr>
                        <w:rFonts w:ascii="Cambria Math" w:hAnsi="Cambria Math" w:cs="Times New Roman"/>
                        <w:sz w:val="24"/>
                        <w:szCs w:val="24"/>
                      </w:rPr>
                      <m:t>m</m:t>
                    </m:r>
                  </m:sup>
                  <m:e>
                    <m:sSub>
                      <m:sSubPr>
                        <m:ctrlPr>
                          <w:rPr>
                            <w:rFonts w:ascii="Cambria Math" w:hAnsi="Cambria Math" w:cs="Times New Roman"/>
                            <w:i/>
                            <w:sz w:val="24"/>
                            <w:szCs w:val="24"/>
                          </w:rPr>
                        </m:ctrlPr>
                      </m:sSubPr>
                      <m:e>
                        <m:r>
                          <w:rPr>
                            <w:rFonts w:ascii="Cambria Math" w:hAnsi="Cambria Math" w:cs="Times New Roman"/>
                            <w:sz w:val="24"/>
                            <w:szCs w:val="24"/>
                          </w:rPr>
                          <m:t>ψ</m:t>
                        </m:r>
                      </m:e>
                      <m:sub>
                        <m:r>
                          <w:rPr>
                            <w:rFonts w:ascii="Cambria Math" w:hAnsi="Cambria Math" w:cs="Times New Roman"/>
                            <w:sz w:val="24"/>
                            <w:szCs w:val="24"/>
                          </w:rPr>
                          <m:t>k</m:t>
                        </m:r>
                      </m:sub>
                    </m:sSub>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i</m:t>
                            </m:r>
                          </m:sub>
                        </m:sSub>
                      </m:e>
                    </m:d>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k</m:t>
                        </m:r>
                      </m:sub>
                    </m:sSub>
                  </m:e>
                </m:nary>
              </m:oMath>
            </m:oMathPara>
          </w:p>
        </w:tc>
        <w:tc>
          <w:tcPr>
            <w:tcW w:w="1224" w:type="dxa"/>
            <w:vAlign w:val="center"/>
          </w:tcPr>
          <w:p w14:paraId="4F11CC97" w14:textId="77777777" w:rsidR="0018174E" w:rsidRPr="0078258F" w:rsidRDefault="0018174E" w:rsidP="00CE28C2">
            <w:pPr>
              <w:pStyle w:val="Caption"/>
              <w:jc w:val="right"/>
              <w:rPr>
                <w:rFonts w:ascii="Times New Roman" w:hAnsi="Times New Roman" w:cs="Times New Roman"/>
                <w:sz w:val="24"/>
                <w:szCs w:val="24"/>
              </w:rPr>
            </w:pPr>
            <w:r w:rsidRPr="0078258F">
              <w:rPr>
                <w:rFonts w:ascii="Times New Roman" w:hAnsi="Times New Roman" w:cs="Times New Roman"/>
                <w:i w:val="0"/>
                <w:iCs w:val="0"/>
                <w:color w:val="auto"/>
                <w:sz w:val="24"/>
                <w:szCs w:val="24"/>
              </w:rPr>
              <w:t>(</w:t>
            </w:r>
            <w:r w:rsidRPr="0078258F">
              <w:rPr>
                <w:rFonts w:ascii="Times New Roman" w:hAnsi="Times New Roman" w:cs="Times New Roman"/>
                <w:i w:val="0"/>
                <w:iCs w:val="0"/>
                <w:color w:val="auto"/>
                <w:sz w:val="24"/>
                <w:szCs w:val="24"/>
              </w:rPr>
              <w:fldChar w:fldCharType="begin"/>
            </w:r>
            <w:r w:rsidRPr="0078258F">
              <w:rPr>
                <w:rFonts w:ascii="Times New Roman" w:hAnsi="Times New Roman" w:cs="Times New Roman"/>
                <w:i w:val="0"/>
                <w:iCs w:val="0"/>
                <w:color w:val="auto"/>
                <w:sz w:val="24"/>
                <w:szCs w:val="24"/>
              </w:rPr>
              <w:instrText xml:space="preserve"> SEQ ( \* ARABIC </w:instrText>
            </w:r>
            <w:r w:rsidRPr="0078258F">
              <w:rPr>
                <w:rFonts w:ascii="Times New Roman" w:hAnsi="Times New Roman" w:cs="Times New Roman"/>
                <w:i w:val="0"/>
                <w:iCs w:val="0"/>
                <w:color w:val="auto"/>
                <w:sz w:val="24"/>
                <w:szCs w:val="24"/>
              </w:rPr>
              <w:fldChar w:fldCharType="separate"/>
            </w:r>
            <w:r w:rsidRPr="0078258F">
              <w:rPr>
                <w:rFonts w:ascii="Times New Roman" w:hAnsi="Times New Roman" w:cs="Times New Roman"/>
                <w:i w:val="0"/>
                <w:iCs w:val="0"/>
                <w:noProof/>
                <w:color w:val="auto"/>
                <w:sz w:val="24"/>
                <w:szCs w:val="24"/>
              </w:rPr>
              <w:t>2</w:t>
            </w:r>
            <w:r w:rsidRPr="0078258F">
              <w:rPr>
                <w:rFonts w:ascii="Times New Roman" w:hAnsi="Times New Roman" w:cs="Times New Roman"/>
                <w:i w:val="0"/>
                <w:iCs w:val="0"/>
                <w:color w:val="auto"/>
                <w:sz w:val="24"/>
                <w:szCs w:val="24"/>
              </w:rPr>
              <w:fldChar w:fldCharType="end"/>
            </w:r>
            <w:r w:rsidRPr="0078258F">
              <w:rPr>
                <w:rFonts w:ascii="Times New Roman" w:hAnsi="Times New Roman" w:cs="Times New Roman"/>
                <w:i w:val="0"/>
                <w:iCs w:val="0"/>
                <w:color w:val="auto"/>
                <w:sz w:val="24"/>
                <w:szCs w:val="24"/>
              </w:rPr>
              <w:t>)</w:t>
            </w:r>
          </w:p>
        </w:tc>
      </w:tr>
    </w:tbl>
    <w:p w14:paraId="282EF72A" w14:textId="77777777" w:rsidR="0018174E" w:rsidRPr="0078258F" w:rsidRDefault="0018174E" w:rsidP="0018174E">
      <w:pPr>
        <w:spacing w:before="120"/>
        <w:jc w:val="both"/>
        <w:rPr>
          <w:rFonts w:ascii="Times New Roman" w:hAnsi="Times New Roman" w:cs="Times New Roman"/>
          <w:sz w:val="24"/>
          <w:szCs w:val="24"/>
        </w:rPr>
      </w:pPr>
      <w:r w:rsidRPr="0078258F">
        <w:rPr>
          <w:rFonts w:ascii="Times New Roman" w:hAnsi="Times New Roman" w:cs="Times New Roman"/>
          <w:sz w:val="24"/>
          <w:szCs w:val="24"/>
        </w:rPr>
        <w:t xml:space="preserve">where </w:t>
      </w:r>
      <m:oMath>
        <m:sSub>
          <m:sSubPr>
            <m:ctrlPr>
              <w:rPr>
                <w:rFonts w:ascii="Cambria Math" w:hAnsi="Cambria Math" w:cs="Times New Roman"/>
                <w:i/>
                <w:sz w:val="24"/>
                <w:szCs w:val="24"/>
              </w:rPr>
            </m:ctrlPr>
          </m:sSubPr>
          <m:e>
            <m:r>
              <w:rPr>
                <w:rFonts w:ascii="Cambria Math" w:hAnsi="Cambria Math" w:cs="Times New Roman"/>
                <w:sz w:val="24"/>
                <w:szCs w:val="24"/>
              </w:rPr>
              <m:t>ψ</m:t>
            </m:r>
          </m:e>
          <m:sub>
            <m:r>
              <w:rPr>
                <w:rFonts w:ascii="Cambria Math" w:hAnsi="Cambria Math" w:cs="Times New Roman"/>
                <w:sz w:val="24"/>
                <w:szCs w:val="24"/>
              </w:rPr>
              <m:t>k</m:t>
            </m:r>
          </m:sub>
        </m:sSub>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i</m:t>
                </m:r>
              </m:sub>
            </m:sSub>
          </m:e>
        </m:d>
      </m:oMath>
      <w:r w:rsidRPr="0078258F">
        <w:rPr>
          <w:rFonts w:ascii="Times New Roman" w:hAnsi="Times New Roman" w:cs="Times New Roman"/>
          <w:sz w:val="24"/>
          <w:szCs w:val="24"/>
        </w:rPr>
        <w:t xml:space="preserve"> is the value of the basis function centred at mesh vertex </w:t>
      </w:r>
      <m:oMath>
        <m:r>
          <w:rPr>
            <w:rFonts w:ascii="Cambria Math" w:hAnsi="Cambria Math" w:cs="Times New Roman"/>
            <w:sz w:val="24"/>
            <w:szCs w:val="24"/>
          </w:rPr>
          <m:t>k(k=1,…,m)</m:t>
        </m:r>
      </m:oMath>
      <w:r w:rsidRPr="0078258F">
        <w:rPr>
          <w:rFonts w:ascii="Times New Roman" w:hAnsi="Times New Roman" w:cs="Times New Roman"/>
          <w:sz w:val="24"/>
          <w:szCs w:val="24"/>
        </w:rPr>
        <w:t xml:space="preserve">, and evaluated at location </w:t>
      </w:r>
      <m:oMath>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i</m:t>
            </m:r>
          </m:sub>
        </m:sSub>
        <m:r>
          <w:rPr>
            <w:rFonts w:ascii="Cambria Math" w:hAnsi="Cambria Math" w:cs="Times New Roman"/>
            <w:sz w:val="24"/>
            <w:szCs w:val="24"/>
          </w:rPr>
          <m:t>,</m:t>
        </m:r>
      </m:oMath>
      <w:r w:rsidRPr="0078258F">
        <w:rPr>
          <w:rFonts w:ascii="Times New Roman" w:hAnsi="Times New Roman" w:cs="Times New Roman"/>
          <w:sz w:val="24"/>
          <w:szCs w:val="24"/>
        </w:rPr>
        <w:t xml:space="preserve"> and </w:t>
      </w:r>
      <m:oMath>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k</m:t>
            </m:r>
          </m:sub>
        </m:sSub>
      </m:oMath>
      <w:r w:rsidRPr="0078258F">
        <w:rPr>
          <w:rFonts w:ascii="Times New Roman" w:hAnsi="Times New Roman" w:cs="Times New Roman"/>
          <w:sz w:val="24"/>
          <w:szCs w:val="24"/>
        </w:rPr>
        <w:t xml:space="preserve"> is the value of the GP at vertex </w:t>
      </w:r>
      <m:oMath>
        <m:r>
          <w:rPr>
            <w:rFonts w:ascii="Cambria Math" w:hAnsi="Cambria Math" w:cs="Times New Roman"/>
            <w:sz w:val="24"/>
            <w:szCs w:val="24"/>
          </w:rPr>
          <m:t xml:space="preserve">k. </m:t>
        </m:r>
      </m:oMath>
    </w:p>
    <w:p w14:paraId="2CCCD469" w14:textId="77777777" w:rsidR="0018174E" w:rsidRPr="0078258F" w:rsidRDefault="0018174E" w:rsidP="0018174E">
      <w:pPr>
        <w:spacing w:before="120"/>
        <w:jc w:val="both"/>
        <w:rPr>
          <w:rFonts w:ascii="Times New Roman" w:hAnsi="Times New Roman" w:cs="Times New Roman"/>
          <w:sz w:val="24"/>
          <w:szCs w:val="24"/>
        </w:rPr>
      </w:pPr>
      <w:r w:rsidRPr="0078258F">
        <w:rPr>
          <w:rFonts w:ascii="Times New Roman" w:hAnsi="Times New Roman" w:cs="Times New Roman"/>
          <w:sz w:val="24"/>
          <w:szCs w:val="24"/>
        </w:rPr>
        <w:t xml:space="preserve">In this paper, we used </w:t>
      </w:r>
      <m:oMath>
        <m:r>
          <w:rPr>
            <w:rFonts w:ascii="Cambria Math" w:hAnsi="Cambria Math" w:cs="Times New Roman"/>
            <w:sz w:val="24"/>
            <w:szCs w:val="24"/>
          </w:rPr>
          <m:t>1</m:t>
        </m:r>
      </m:oMath>
      <w:r w:rsidRPr="0078258F">
        <w:rPr>
          <w:rFonts w:ascii="Times New Roman" w:hAnsi="Times New Roman" w:cs="Times New Roman"/>
          <w:sz w:val="24"/>
          <w:szCs w:val="24"/>
        </w:rPr>
        <w:t xml:space="preserve"> for the smoothness parameter </w:t>
      </w:r>
      <m:oMath>
        <m:r>
          <w:rPr>
            <w:rFonts w:ascii="Cambria Math" w:hAnsi="Cambria Math" w:cs="Times New Roman"/>
            <w:sz w:val="24"/>
            <w:szCs w:val="24"/>
          </w:rPr>
          <m:t>ν</m:t>
        </m:r>
      </m:oMath>
      <w:r w:rsidRPr="0078258F">
        <w:rPr>
          <w:rFonts w:ascii="Times New Roman" w:hAnsi="Times New Roman" w:cs="Times New Roman"/>
          <w:sz w:val="24"/>
          <w:szCs w:val="24"/>
        </w:rPr>
        <w:t xml:space="preserve">, i.e. </w:t>
      </w:r>
      <m:oMath>
        <m:r>
          <w:rPr>
            <w:rFonts w:ascii="Cambria Math" w:hAnsi="Cambria Math" w:cs="Times New Roman"/>
            <w:sz w:val="24"/>
            <w:szCs w:val="24"/>
          </w:rPr>
          <m:t>α=2</m:t>
        </m:r>
      </m:oMath>
      <w:r w:rsidRPr="0078258F">
        <w:rPr>
          <w:rFonts w:ascii="Times New Roman" w:hAnsi="Times New Roman" w:cs="Times New Roman"/>
          <w:sz w:val="24"/>
          <w:szCs w:val="24"/>
        </w:rPr>
        <w:t xml:space="preserve">. The range </w:t>
      </w:r>
      <m:oMath>
        <m:r>
          <w:rPr>
            <w:rFonts w:ascii="Cambria Math" w:hAnsi="Cambria Math" w:cs="Times New Roman"/>
            <w:sz w:val="24"/>
            <w:szCs w:val="24"/>
          </w:rPr>
          <m:t>r</m:t>
        </m:r>
      </m:oMath>
      <w:r w:rsidRPr="0078258F">
        <w:rPr>
          <w:rFonts w:ascii="Times New Roman" w:hAnsi="Times New Roman" w:cs="Times New Roman"/>
          <w:sz w:val="24"/>
          <w:szCs w:val="24"/>
        </w:rPr>
        <w:t xml:space="preserve"> and the marginal standard deviation </w:t>
      </w:r>
      <m:oMath>
        <m:sSubSup>
          <m:sSubSupPr>
            <m:ctrlPr>
              <w:rPr>
                <w:rFonts w:ascii="Cambria Math" w:hAnsi="Cambria Math" w:cs="Times New Roman"/>
                <w:i/>
                <w:sz w:val="24"/>
                <w:szCs w:val="24"/>
              </w:rPr>
            </m:ctrlPr>
          </m:sSubSupPr>
          <m:e>
            <m:r>
              <w:rPr>
                <w:rFonts w:ascii="Cambria Math" w:hAnsi="Cambria Math" w:cs="Times New Roman"/>
                <w:sz w:val="24"/>
                <w:szCs w:val="24"/>
              </w:rPr>
              <m:t>σ</m:t>
            </m:r>
          </m:e>
          <m:sub>
            <m:r>
              <w:rPr>
                <w:rFonts w:ascii="Cambria Math" w:hAnsi="Cambria Math" w:cs="Times New Roman"/>
                <w:sz w:val="24"/>
                <w:szCs w:val="24"/>
              </w:rPr>
              <m:t>u</m:t>
            </m:r>
          </m:sub>
          <m:sup>
            <m:r>
              <w:rPr>
                <w:rFonts w:ascii="Cambria Math" w:hAnsi="Cambria Math" w:cs="Times New Roman"/>
                <w:sz w:val="24"/>
                <w:szCs w:val="24"/>
              </w:rPr>
              <m:t xml:space="preserve"> </m:t>
            </m:r>
          </m:sup>
        </m:sSubSup>
      </m:oMath>
      <w:r w:rsidRPr="0078258F">
        <w:rPr>
          <w:rFonts w:ascii="Times New Roman" w:hAnsi="Times New Roman" w:cs="Times New Roman"/>
          <w:sz w:val="24"/>
          <w:szCs w:val="24"/>
        </w:rPr>
        <w:t xml:space="preserve"> of the GP were assigned Penalized Complexity priors such that: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6516"/>
        <w:gridCol w:w="1224"/>
      </w:tblGrid>
      <w:tr w:rsidR="0018174E" w:rsidRPr="0078258F" w14:paraId="574702BE" w14:textId="77777777" w:rsidTr="00CE28C2">
        <w:tc>
          <w:tcPr>
            <w:tcW w:w="1276" w:type="dxa"/>
          </w:tcPr>
          <w:p w14:paraId="48FD84EE" w14:textId="77777777" w:rsidR="0018174E" w:rsidRPr="0078258F" w:rsidRDefault="0018174E" w:rsidP="00CE28C2">
            <w:pPr>
              <w:jc w:val="both"/>
              <w:rPr>
                <w:rFonts w:ascii="Times New Roman" w:hAnsi="Times New Roman" w:cs="Times New Roman"/>
                <w:sz w:val="24"/>
                <w:szCs w:val="24"/>
              </w:rPr>
            </w:pPr>
          </w:p>
        </w:tc>
        <w:tc>
          <w:tcPr>
            <w:tcW w:w="6516" w:type="dxa"/>
            <w:vAlign w:val="center"/>
          </w:tcPr>
          <w:p w14:paraId="40E16E8F" w14:textId="77777777" w:rsidR="0018174E" w:rsidRPr="0078258F" w:rsidRDefault="0018174E" w:rsidP="00CE28C2">
            <w:pPr>
              <w:jc w:val="center"/>
              <w:rPr>
                <w:rFonts w:ascii="Times New Roman" w:hAnsi="Times New Roman" w:cs="Times New Roman"/>
                <w:sz w:val="24"/>
                <w:szCs w:val="24"/>
              </w:rPr>
            </w:pPr>
            <m:oMathPara>
              <m:oMath>
                <m:r>
                  <w:rPr>
                    <w:rFonts w:ascii="Cambria Math" w:hAnsi="Cambria Math" w:cs="Times New Roman"/>
                    <w:sz w:val="24"/>
                    <w:szCs w:val="24"/>
                  </w:rPr>
                  <m:t>P</m:t>
                </m:r>
                <m:d>
                  <m:dPr>
                    <m:ctrlPr>
                      <w:rPr>
                        <w:rFonts w:ascii="Cambria Math" w:hAnsi="Cambria Math" w:cs="Times New Roman"/>
                        <w:i/>
                        <w:sz w:val="24"/>
                        <w:szCs w:val="24"/>
                      </w:rPr>
                    </m:ctrlPr>
                  </m:dPr>
                  <m:e>
                    <m:r>
                      <w:rPr>
                        <w:rFonts w:ascii="Cambria Math" w:hAnsi="Cambria Math" w:cs="Times New Roman"/>
                        <w:sz w:val="24"/>
                        <w:szCs w:val="24"/>
                      </w:rPr>
                      <m:t>r&lt;</m:t>
                    </m:r>
                    <m:f>
                      <m:fPr>
                        <m:ctrlPr>
                          <w:rPr>
                            <w:rFonts w:ascii="Cambria Math" w:hAnsi="Cambria Math" w:cs="Times New Roman"/>
                            <w:i/>
                            <w:sz w:val="24"/>
                            <w:szCs w:val="24"/>
                          </w:rPr>
                        </m:ctrlPr>
                      </m:fPr>
                      <m:num>
                        <m:r>
                          <w:rPr>
                            <w:rFonts w:ascii="Cambria Math" w:hAnsi="Cambria Math" w:cs="Times New Roman"/>
                            <w:sz w:val="24"/>
                            <w:szCs w:val="24"/>
                          </w:rPr>
                          <m:t>d</m:t>
                        </m:r>
                      </m:num>
                      <m:den>
                        <m:r>
                          <w:rPr>
                            <w:rFonts w:ascii="Cambria Math" w:hAnsi="Cambria Math" w:cs="Times New Roman"/>
                            <w:sz w:val="24"/>
                            <w:szCs w:val="24"/>
                          </w:rPr>
                          <m:t>5</m:t>
                        </m:r>
                      </m:den>
                    </m:f>
                  </m:e>
                </m:d>
                <m:r>
                  <w:rPr>
                    <w:rFonts w:ascii="Cambria Math" w:hAnsi="Cambria Math" w:cs="Times New Roman"/>
                    <w:sz w:val="24"/>
                    <w:szCs w:val="24"/>
                  </w:rPr>
                  <m:t>=0.95</m:t>
                </m:r>
              </m:oMath>
            </m:oMathPara>
          </w:p>
          <w:p w14:paraId="235B4475" w14:textId="77777777" w:rsidR="0018174E" w:rsidRPr="0078258F" w:rsidRDefault="0018174E" w:rsidP="00CE28C2">
            <w:pPr>
              <w:jc w:val="center"/>
              <w:rPr>
                <w:rFonts w:ascii="Times New Roman" w:hAnsi="Times New Roman" w:cs="Times New Roman"/>
                <w:sz w:val="24"/>
                <w:szCs w:val="24"/>
              </w:rPr>
            </w:pPr>
            <m:oMathPara>
              <m:oMath>
                <m:r>
                  <w:rPr>
                    <w:rFonts w:ascii="Cambria Math" w:hAnsi="Cambria Math" w:cs="Times New Roman"/>
                    <w:sz w:val="24"/>
                    <w:szCs w:val="24"/>
                  </w:rPr>
                  <m:t>P</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σ</m:t>
                        </m:r>
                      </m:e>
                      <m:sub>
                        <m:r>
                          <w:rPr>
                            <w:rFonts w:ascii="Cambria Math" w:hAnsi="Cambria Math" w:cs="Times New Roman"/>
                            <w:sz w:val="24"/>
                            <w:szCs w:val="24"/>
                          </w:rPr>
                          <m:t>u</m:t>
                        </m:r>
                      </m:sub>
                    </m:sSub>
                    <m:r>
                      <w:rPr>
                        <w:rFonts w:ascii="Cambria Math" w:hAnsi="Cambria Math" w:cs="Times New Roman"/>
                        <w:sz w:val="24"/>
                        <w:szCs w:val="24"/>
                      </w:rPr>
                      <m:t>&gt;1</m:t>
                    </m:r>
                  </m:e>
                </m:d>
                <m:r>
                  <w:rPr>
                    <w:rFonts w:ascii="Cambria Math" w:hAnsi="Cambria Math" w:cs="Times New Roman"/>
                    <w:sz w:val="24"/>
                    <w:szCs w:val="24"/>
                  </w:rPr>
                  <m:t>=0.05</m:t>
                </m:r>
              </m:oMath>
            </m:oMathPara>
          </w:p>
        </w:tc>
        <w:tc>
          <w:tcPr>
            <w:tcW w:w="1224" w:type="dxa"/>
            <w:vAlign w:val="center"/>
          </w:tcPr>
          <w:p w14:paraId="7F5E148B" w14:textId="77777777" w:rsidR="0018174E" w:rsidRPr="0078258F" w:rsidRDefault="0018174E" w:rsidP="00CE28C2">
            <w:pPr>
              <w:pStyle w:val="Caption"/>
              <w:jc w:val="right"/>
              <w:rPr>
                <w:rFonts w:ascii="Times New Roman" w:hAnsi="Times New Roman" w:cs="Times New Roman"/>
                <w:sz w:val="24"/>
                <w:szCs w:val="24"/>
              </w:rPr>
            </w:pPr>
            <w:r w:rsidRPr="0078258F">
              <w:rPr>
                <w:rFonts w:ascii="Times New Roman" w:hAnsi="Times New Roman" w:cs="Times New Roman"/>
                <w:i w:val="0"/>
                <w:iCs w:val="0"/>
                <w:color w:val="auto"/>
                <w:sz w:val="24"/>
                <w:szCs w:val="24"/>
              </w:rPr>
              <w:t>(</w:t>
            </w:r>
            <w:r w:rsidRPr="0078258F">
              <w:rPr>
                <w:rFonts w:ascii="Times New Roman" w:hAnsi="Times New Roman" w:cs="Times New Roman"/>
                <w:i w:val="0"/>
                <w:iCs w:val="0"/>
                <w:color w:val="auto"/>
                <w:sz w:val="24"/>
                <w:szCs w:val="24"/>
              </w:rPr>
              <w:fldChar w:fldCharType="begin"/>
            </w:r>
            <w:r w:rsidRPr="0078258F">
              <w:rPr>
                <w:rFonts w:ascii="Times New Roman" w:hAnsi="Times New Roman" w:cs="Times New Roman"/>
                <w:i w:val="0"/>
                <w:iCs w:val="0"/>
                <w:color w:val="auto"/>
                <w:sz w:val="24"/>
                <w:szCs w:val="24"/>
              </w:rPr>
              <w:instrText xml:space="preserve"> SEQ ( \* ARABIC </w:instrText>
            </w:r>
            <w:r w:rsidRPr="0078258F">
              <w:rPr>
                <w:rFonts w:ascii="Times New Roman" w:hAnsi="Times New Roman" w:cs="Times New Roman"/>
                <w:i w:val="0"/>
                <w:iCs w:val="0"/>
                <w:color w:val="auto"/>
                <w:sz w:val="24"/>
                <w:szCs w:val="24"/>
              </w:rPr>
              <w:fldChar w:fldCharType="separate"/>
            </w:r>
            <w:r w:rsidRPr="0078258F">
              <w:rPr>
                <w:rFonts w:ascii="Times New Roman" w:hAnsi="Times New Roman" w:cs="Times New Roman"/>
                <w:i w:val="0"/>
                <w:iCs w:val="0"/>
                <w:noProof/>
                <w:color w:val="auto"/>
                <w:sz w:val="24"/>
                <w:szCs w:val="24"/>
              </w:rPr>
              <w:t>3</w:t>
            </w:r>
            <w:r w:rsidRPr="0078258F">
              <w:rPr>
                <w:rFonts w:ascii="Times New Roman" w:hAnsi="Times New Roman" w:cs="Times New Roman"/>
                <w:i w:val="0"/>
                <w:iCs w:val="0"/>
                <w:color w:val="auto"/>
                <w:sz w:val="24"/>
                <w:szCs w:val="24"/>
              </w:rPr>
              <w:fldChar w:fldCharType="end"/>
            </w:r>
            <w:r w:rsidRPr="0078258F">
              <w:rPr>
                <w:rFonts w:ascii="Times New Roman" w:hAnsi="Times New Roman" w:cs="Times New Roman"/>
                <w:i w:val="0"/>
                <w:iCs w:val="0"/>
                <w:color w:val="auto"/>
                <w:sz w:val="24"/>
                <w:szCs w:val="24"/>
              </w:rPr>
              <w:t>)</w:t>
            </w:r>
          </w:p>
        </w:tc>
      </w:tr>
    </w:tbl>
    <w:p w14:paraId="5A4122BE" w14:textId="77777777" w:rsidR="0018174E" w:rsidRPr="0078258F" w:rsidRDefault="0018174E" w:rsidP="0018174E">
      <w:pPr>
        <w:spacing w:before="120"/>
        <w:jc w:val="both"/>
        <w:rPr>
          <w:rFonts w:ascii="Times New Roman" w:hAnsi="Times New Roman" w:cs="Times New Roman"/>
          <w:sz w:val="24"/>
          <w:szCs w:val="24"/>
        </w:rPr>
      </w:pPr>
      <w:r w:rsidRPr="0078258F">
        <w:rPr>
          <w:rFonts w:ascii="Times New Roman" w:hAnsi="Times New Roman" w:cs="Times New Roman"/>
          <w:sz w:val="24"/>
          <w:szCs w:val="24"/>
        </w:rPr>
        <w:t xml:space="preserve">Where </w:t>
      </w:r>
      <m:oMath>
        <m:r>
          <w:rPr>
            <w:rFonts w:ascii="Cambria Math" w:hAnsi="Cambria Math" w:cs="Times New Roman"/>
            <w:sz w:val="24"/>
            <w:szCs w:val="24"/>
          </w:rPr>
          <m:t>d</m:t>
        </m:r>
      </m:oMath>
      <w:r w:rsidRPr="0078258F">
        <w:rPr>
          <w:rFonts w:ascii="Times New Roman" w:hAnsi="Times New Roman" w:cs="Times New Roman"/>
          <w:sz w:val="24"/>
          <w:szCs w:val="24"/>
        </w:rPr>
        <w:t xml:space="preserve"> is the maximum distance (in degrees) measured across the study area, i.e. 6.46 for the national models and 4.02 for the KKT models. The remaining model parameters were assigned the default priors of R-INLA: the intercept has a Gaussian prior distribution (</w:t>
      </w:r>
      <m:oMath>
        <m:r>
          <w:rPr>
            <w:rFonts w:ascii="Cambria Math" w:hAnsi="Cambria Math" w:cs="Times New Roman"/>
            <w:sz w:val="24"/>
            <w:szCs w:val="24"/>
          </w:rPr>
          <m:t>N(0,∞))</m:t>
        </m:r>
      </m:oMath>
      <w:r w:rsidRPr="0078258F">
        <w:rPr>
          <w:rFonts w:ascii="Times New Roman" w:hAnsi="Times New Roman" w:cs="Times New Roman"/>
          <w:sz w:val="24"/>
          <w:szCs w:val="24"/>
        </w:rPr>
        <w:t xml:space="preserve">, the regression coefficients are assigned a Gaussian prior with zero mean and precision 0.001. For the zero-inflated models (‘zeroinflatedbinomial2’ likelihood), </w:t>
      </w:r>
      <m:oMath>
        <m:func>
          <m:funcPr>
            <m:ctrlPr>
              <w:rPr>
                <w:rFonts w:ascii="Cambria Math" w:hAnsi="Cambria Math" w:cs="Times New Roman"/>
                <w:i/>
                <w:sz w:val="24"/>
                <w:szCs w:val="24"/>
              </w:rPr>
            </m:ctrlPr>
          </m:funcPr>
          <m:fName>
            <m:r>
              <m:rPr>
                <m:sty m:val="p"/>
              </m:rPr>
              <w:rPr>
                <w:rFonts w:ascii="Cambria Math" w:hAnsi="Cambria Math" w:cs="Times New Roman"/>
                <w:sz w:val="24"/>
                <w:szCs w:val="24"/>
              </w:rPr>
              <m:t>log</m:t>
            </m:r>
          </m:fName>
          <m:e>
            <m:r>
              <w:rPr>
                <w:rFonts w:ascii="Cambria Math" w:hAnsi="Cambria Math" w:cs="Times New Roman"/>
                <w:sz w:val="24"/>
                <w:szCs w:val="24"/>
              </w:rPr>
              <m:t>(α)</m:t>
            </m:r>
          </m:e>
        </m:func>
      </m:oMath>
      <w:r w:rsidRPr="0078258F">
        <w:rPr>
          <w:rFonts w:ascii="Times New Roman" w:hAnsi="Times New Roman" w:cs="Times New Roman"/>
          <w:sz w:val="24"/>
          <w:szCs w:val="24"/>
        </w:rPr>
        <w:t xml:space="preserve"> is assigned a Gaussian prior with mean -1 and precision 0.2. </w:t>
      </w:r>
    </w:p>
    <w:p w14:paraId="0FDEA632" w14:textId="77777777" w:rsidR="0018174E" w:rsidRPr="0078258F" w:rsidRDefault="0018174E" w:rsidP="0018174E">
      <w:pPr>
        <w:pStyle w:val="Heading1"/>
        <w:ind w:left="432" w:hanging="432"/>
        <w:rPr>
          <w:rFonts w:ascii="Times New Roman" w:hAnsi="Times New Roman" w:cs="Times New Roman"/>
          <w:b/>
          <w:bCs/>
          <w:color w:val="000000" w:themeColor="text1"/>
          <w:sz w:val="24"/>
          <w:szCs w:val="32"/>
        </w:rPr>
      </w:pPr>
      <w:r w:rsidRPr="0078258F">
        <w:rPr>
          <w:rFonts w:ascii="Times New Roman" w:hAnsi="Times New Roman" w:cs="Times New Roman"/>
          <w:b/>
          <w:bCs/>
          <w:color w:val="000000" w:themeColor="text1"/>
          <w:sz w:val="24"/>
          <w:szCs w:val="32"/>
        </w:rPr>
        <w:t xml:space="preserve">References </w:t>
      </w:r>
    </w:p>
    <w:p w14:paraId="6B9A9777" w14:textId="77777777" w:rsidR="0018174E" w:rsidRPr="0078258F" w:rsidRDefault="0018174E" w:rsidP="0018174E">
      <w:pPr>
        <w:pStyle w:val="Bibliography"/>
        <w:rPr>
          <w:rFonts w:ascii="Times New Roman" w:hAnsi="Times New Roman" w:cs="Times New Roman"/>
        </w:rPr>
      </w:pPr>
      <w:r w:rsidRPr="0078258F">
        <w:rPr>
          <w:rFonts w:ascii="Times New Roman" w:hAnsi="Times New Roman" w:cs="Times New Roman"/>
        </w:rPr>
        <w:fldChar w:fldCharType="begin"/>
      </w:r>
      <w:r w:rsidRPr="0078258F">
        <w:rPr>
          <w:rFonts w:ascii="Times New Roman" w:hAnsi="Times New Roman" w:cs="Times New Roman"/>
        </w:rPr>
        <w:instrText xml:space="preserve"> ADDIN ZOTERO_BIBL {"uncited":[],"omitted":[],"custom":[]} CSL_BIBLIOGRAPHY </w:instrText>
      </w:r>
      <w:r w:rsidRPr="0078258F">
        <w:rPr>
          <w:rFonts w:ascii="Times New Roman" w:hAnsi="Times New Roman" w:cs="Times New Roman"/>
        </w:rPr>
        <w:fldChar w:fldCharType="separate"/>
      </w:r>
      <w:r w:rsidRPr="0078258F">
        <w:rPr>
          <w:rFonts w:ascii="Times New Roman" w:hAnsi="Times New Roman" w:cs="Times New Roman"/>
        </w:rPr>
        <w:t>1.</w:t>
      </w:r>
      <w:r w:rsidRPr="0078258F">
        <w:rPr>
          <w:rFonts w:ascii="Times New Roman" w:hAnsi="Times New Roman" w:cs="Times New Roman"/>
        </w:rPr>
        <w:tab/>
        <w:t xml:space="preserve">Rue H, Martino S, Chopin N. Approximate Bayesian inference for latent Gaussian models by using integrated nested Laplace approximations. Journal of the Royal Statistical Society: Series B (Statistical Methodology). 2009;71(2):319–92. </w:t>
      </w:r>
    </w:p>
    <w:p w14:paraId="24B19F20" w14:textId="77777777" w:rsidR="0018174E" w:rsidRPr="0078258F" w:rsidRDefault="0018174E" w:rsidP="0018174E">
      <w:pPr>
        <w:pStyle w:val="Bibliography"/>
        <w:rPr>
          <w:rFonts w:ascii="Times New Roman" w:eastAsia="Calibri" w:hAnsi="Times New Roman" w:cs="Times New Roman"/>
          <w:b/>
          <w:bCs/>
          <w:sz w:val="32"/>
          <w:szCs w:val="32"/>
        </w:rPr>
      </w:pPr>
      <w:r w:rsidRPr="0078258F">
        <w:rPr>
          <w:rFonts w:ascii="Times New Roman" w:hAnsi="Times New Roman" w:cs="Times New Roman"/>
        </w:rPr>
        <w:t>2.</w:t>
      </w:r>
      <w:r w:rsidRPr="0078258F">
        <w:rPr>
          <w:rFonts w:ascii="Times New Roman" w:hAnsi="Times New Roman" w:cs="Times New Roman"/>
        </w:rPr>
        <w:tab/>
        <w:t xml:space="preserve">Lindgren F, Rue H, Lindström J. An Explicit Link between Gaussian Fields and Gaussian Markov Random Fields: The Stochastic Partial Differential Equation Approach. Journal of the Royal Statistical Society Series B: Statistical Methodology. 2011 Sep 1;73(4):423–98. </w:t>
      </w:r>
      <w:r w:rsidRPr="0078258F">
        <w:rPr>
          <w:rFonts w:ascii="Times New Roman" w:hAnsi="Times New Roman" w:cs="Times New Roman"/>
        </w:rPr>
        <w:fldChar w:fldCharType="end"/>
      </w:r>
    </w:p>
    <w:p w14:paraId="139BB927" w14:textId="77777777" w:rsidR="006854B0" w:rsidRPr="0078258F" w:rsidRDefault="006854B0">
      <w:pPr>
        <w:rPr>
          <w:rFonts w:ascii="Times New Roman" w:hAnsi="Times New Roman" w:cs="Times New Roman"/>
        </w:rPr>
      </w:pPr>
    </w:p>
    <w:sectPr w:rsidR="006854B0" w:rsidRPr="0078258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74E"/>
    <w:rsid w:val="0018174E"/>
    <w:rsid w:val="001C7066"/>
    <w:rsid w:val="0028229A"/>
    <w:rsid w:val="002D5098"/>
    <w:rsid w:val="00452B90"/>
    <w:rsid w:val="006854B0"/>
    <w:rsid w:val="00717617"/>
    <w:rsid w:val="0078258F"/>
    <w:rsid w:val="00793071"/>
    <w:rsid w:val="008442F5"/>
    <w:rsid w:val="008B31CF"/>
    <w:rsid w:val="009E4733"/>
    <w:rsid w:val="00AD08DB"/>
    <w:rsid w:val="00B256A8"/>
    <w:rsid w:val="00B575D5"/>
    <w:rsid w:val="00C32259"/>
    <w:rsid w:val="00CB029C"/>
    <w:rsid w:val="00D370FE"/>
    <w:rsid w:val="00F52B5D"/>
    <w:rsid w:val="00FB1F3E"/>
    <w:rsid w:val="00FE7390"/>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4D35C"/>
  <w15:chartTrackingRefBased/>
  <w15:docId w15:val="{A1C44FF3-3ADE-43AE-A8D7-E9C61DA2B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174E"/>
    <w:pPr>
      <w:spacing w:line="259" w:lineRule="auto"/>
    </w:pPr>
    <w:rPr>
      <w:rFonts w:eastAsiaTheme="minorEastAsia"/>
      <w:kern w:val="0"/>
      <w:sz w:val="22"/>
      <w:szCs w:val="22"/>
      <w:lang w:val="en-GB" w:eastAsia="zh-CN"/>
      <w14:ligatures w14:val="none"/>
    </w:rPr>
  </w:style>
  <w:style w:type="paragraph" w:styleId="Heading1">
    <w:name w:val="heading 1"/>
    <w:basedOn w:val="Normal"/>
    <w:next w:val="Normal"/>
    <w:link w:val="Heading1Char"/>
    <w:uiPriority w:val="9"/>
    <w:qFormat/>
    <w:rsid w:val="001817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817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8174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8174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8174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8174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174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174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174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174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8174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174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174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174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174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174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174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174E"/>
    <w:rPr>
      <w:rFonts w:eastAsiaTheme="majorEastAsia" w:cstheme="majorBidi"/>
      <w:color w:val="272727" w:themeColor="text1" w:themeTint="D8"/>
    </w:rPr>
  </w:style>
  <w:style w:type="paragraph" w:styleId="Title">
    <w:name w:val="Title"/>
    <w:basedOn w:val="Normal"/>
    <w:next w:val="Normal"/>
    <w:link w:val="TitleChar"/>
    <w:uiPriority w:val="10"/>
    <w:qFormat/>
    <w:rsid w:val="001817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17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174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174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174E"/>
    <w:pPr>
      <w:spacing w:before="160"/>
      <w:jc w:val="center"/>
    </w:pPr>
    <w:rPr>
      <w:i/>
      <w:iCs/>
      <w:color w:val="404040" w:themeColor="text1" w:themeTint="BF"/>
    </w:rPr>
  </w:style>
  <w:style w:type="character" w:customStyle="1" w:styleId="QuoteChar">
    <w:name w:val="Quote Char"/>
    <w:basedOn w:val="DefaultParagraphFont"/>
    <w:link w:val="Quote"/>
    <w:uiPriority w:val="29"/>
    <w:rsid w:val="0018174E"/>
    <w:rPr>
      <w:i/>
      <w:iCs/>
      <w:color w:val="404040" w:themeColor="text1" w:themeTint="BF"/>
    </w:rPr>
  </w:style>
  <w:style w:type="paragraph" w:styleId="ListParagraph">
    <w:name w:val="List Paragraph"/>
    <w:basedOn w:val="Normal"/>
    <w:uiPriority w:val="34"/>
    <w:qFormat/>
    <w:rsid w:val="0018174E"/>
    <w:pPr>
      <w:ind w:left="720"/>
      <w:contextualSpacing/>
    </w:pPr>
  </w:style>
  <w:style w:type="character" w:styleId="IntenseEmphasis">
    <w:name w:val="Intense Emphasis"/>
    <w:basedOn w:val="DefaultParagraphFont"/>
    <w:uiPriority w:val="21"/>
    <w:qFormat/>
    <w:rsid w:val="0018174E"/>
    <w:rPr>
      <w:i/>
      <w:iCs/>
      <w:color w:val="0F4761" w:themeColor="accent1" w:themeShade="BF"/>
    </w:rPr>
  </w:style>
  <w:style w:type="paragraph" w:styleId="IntenseQuote">
    <w:name w:val="Intense Quote"/>
    <w:basedOn w:val="Normal"/>
    <w:next w:val="Normal"/>
    <w:link w:val="IntenseQuoteChar"/>
    <w:uiPriority w:val="30"/>
    <w:qFormat/>
    <w:rsid w:val="001817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8174E"/>
    <w:rPr>
      <w:i/>
      <w:iCs/>
      <w:color w:val="0F4761" w:themeColor="accent1" w:themeShade="BF"/>
    </w:rPr>
  </w:style>
  <w:style w:type="character" w:styleId="IntenseReference">
    <w:name w:val="Intense Reference"/>
    <w:basedOn w:val="DefaultParagraphFont"/>
    <w:uiPriority w:val="32"/>
    <w:qFormat/>
    <w:rsid w:val="0018174E"/>
    <w:rPr>
      <w:b/>
      <w:bCs/>
      <w:smallCaps/>
      <w:color w:val="0F4761" w:themeColor="accent1" w:themeShade="BF"/>
      <w:spacing w:val="5"/>
    </w:rPr>
  </w:style>
  <w:style w:type="paragraph" w:styleId="Bibliography">
    <w:name w:val="Bibliography"/>
    <w:basedOn w:val="Normal"/>
    <w:next w:val="Normal"/>
    <w:uiPriority w:val="37"/>
    <w:semiHidden/>
    <w:unhideWhenUsed/>
    <w:rsid w:val="0018174E"/>
  </w:style>
  <w:style w:type="table" w:styleId="TableGrid">
    <w:name w:val="Table Grid"/>
    <w:basedOn w:val="TableNormal"/>
    <w:uiPriority w:val="39"/>
    <w:rsid w:val="0018174E"/>
    <w:pPr>
      <w:spacing w:after="0" w:line="240" w:lineRule="auto"/>
    </w:pPr>
    <w:rPr>
      <w:rFonts w:eastAsia="SimSun"/>
      <w:kern w:val="0"/>
      <w:sz w:val="22"/>
      <w:szCs w:val="22"/>
      <w:lang w:val="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18174E"/>
    <w:pPr>
      <w:spacing w:after="200" w:line="240" w:lineRule="auto"/>
    </w:pPr>
    <w:rPr>
      <w:i/>
      <w:iCs/>
      <w:color w:val="0E2841" w:themeColor="text2"/>
      <w:sz w:val="18"/>
      <w:szCs w:val="18"/>
    </w:rPr>
  </w:style>
  <w:style w:type="paragraph" w:styleId="Revision">
    <w:name w:val="Revision"/>
    <w:hidden/>
    <w:uiPriority w:val="99"/>
    <w:semiHidden/>
    <w:rsid w:val="00AD08DB"/>
    <w:pPr>
      <w:spacing w:after="0" w:line="240" w:lineRule="auto"/>
    </w:pPr>
    <w:rPr>
      <w:rFonts w:eastAsiaTheme="minorEastAsia"/>
      <w:kern w:val="0"/>
      <w:sz w:val="22"/>
      <w:szCs w:val="22"/>
      <w:lang w:val="en-GB"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1648</Words>
  <Characters>9398</Characters>
  <Application>Microsoft Office Word</Application>
  <DocSecurity>0</DocSecurity>
  <Lines>78</Lines>
  <Paragraphs>22</Paragraphs>
  <ScaleCrop>false</ScaleCrop>
  <Company/>
  <LinksUpToDate>false</LinksUpToDate>
  <CharactersWithSpaces>11024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Camille Morlighem</dc:creator>
  <cp:keywords/>
  <dc:description/>
  <cp:lastModifiedBy>Mahalakshmi V</cp:lastModifiedBy>
  <cp:revision>11</cp:revision>
  <dcterms:created xsi:type="dcterms:W3CDTF">2025-07-17T09:09:00Z</dcterms:created>
  <dcterms:modified xsi:type="dcterms:W3CDTF">2025-08-13T05:46:00Z</dcterms:modified>
</cp:coreProperties>
</file>