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0EA1" w:rsidRPr="00F72A85" w:rsidRDefault="004B0EA1" w:rsidP="00F72A85">
      <w:pPr>
        <w:pStyle w:val="Caption"/>
        <w:keepNext/>
        <w:spacing w:after="0"/>
        <w:rPr>
          <w:sz w:val="24"/>
          <w:szCs w:val="24"/>
        </w:rPr>
      </w:pPr>
      <w:r w:rsidRPr="00F72A85">
        <w:rPr>
          <w:sz w:val="24"/>
          <w:szCs w:val="24"/>
        </w:rPr>
        <w:t xml:space="preserve">Table </w:t>
      </w:r>
      <w:r w:rsidRPr="00F72A85">
        <w:rPr>
          <w:sz w:val="24"/>
          <w:szCs w:val="24"/>
        </w:rPr>
        <w:fldChar w:fldCharType="begin"/>
      </w:r>
      <w:r w:rsidRPr="00F72A85">
        <w:rPr>
          <w:sz w:val="24"/>
          <w:szCs w:val="24"/>
        </w:rPr>
        <w:instrText xml:space="preserve"> SEQ Table \* ARABIC </w:instrText>
      </w:r>
      <w:r w:rsidRPr="00F72A85">
        <w:rPr>
          <w:sz w:val="24"/>
          <w:szCs w:val="24"/>
        </w:rPr>
        <w:fldChar w:fldCharType="separate"/>
      </w:r>
      <w:r w:rsidRPr="00F72A85">
        <w:rPr>
          <w:noProof/>
          <w:sz w:val="24"/>
          <w:szCs w:val="24"/>
        </w:rPr>
        <w:t>1</w:t>
      </w:r>
      <w:r w:rsidRPr="00F72A85">
        <w:rPr>
          <w:sz w:val="24"/>
          <w:szCs w:val="24"/>
        </w:rPr>
        <w:fldChar w:fldCharType="end"/>
      </w:r>
      <w:r w:rsidRPr="00F72A85">
        <w:rPr>
          <w:sz w:val="24"/>
          <w:szCs w:val="24"/>
        </w:rPr>
        <w:t xml:space="preserve">: </w:t>
      </w:r>
      <w:r w:rsidR="00F72A85" w:rsidRPr="00F72A85">
        <w:rPr>
          <w:sz w:val="24"/>
          <w:szCs w:val="24"/>
        </w:rPr>
        <w:t>Quality Assessment</w:t>
      </w:r>
      <w:r w:rsidR="00F72A85" w:rsidRPr="00F72A85">
        <w:rPr>
          <w:sz w:val="24"/>
          <w:szCs w:val="24"/>
        </w:rPr>
        <w:t xml:space="preserve"> </w:t>
      </w:r>
      <w:r w:rsidR="00F72A85">
        <w:rPr>
          <w:sz w:val="24"/>
          <w:szCs w:val="24"/>
        </w:rPr>
        <w:t xml:space="preserve">by </w:t>
      </w:r>
      <w:r w:rsidRPr="00F72A85">
        <w:rPr>
          <w:sz w:val="24"/>
          <w:szCs w:val="24"/>
        </w:rPr>
        <w:t>Newcastle</w:t>
      </w:r>
      <w:r w:rsidRPr="00F72A85">
        <w:rPr>
          <w:sz w:val="24"/>
          <w:szCs w:val="24"/>
        </w:rPr>
        <w:t xml:space="preserve"> </w:t>
      </w:r>
      <w:r w:rsidRPr="00F72A85">
        <w:rPr>
          <w:sz w:val="24"/>
          <w:szCs w:val="24"/>
        </w:rPr>
        <w:t>Ottawa Scale</w:t>
      </w:r>
      <w:r w:rsidRPr="00F72A85">
        <w:rPr>
          <w:sz w:val="24"/>
          <w:szCs w:val="24"/>
        </w:rPr>
        <w:t xml:space="preserve"> for Cross-sectional and Cohort </w:t>
      </w:r>
      <w:r w:rsidR="00F72A85">
        <w:rPr>
          <w:sz w:val="24"/>
          <w:szCs w:val="24"/>
        </w:rPr>
        <w:t>Studies</w:t>
      </w:r>
      <w:r w:rsidRPr="00F72A85">
        <w:rPr>
          <w:sz w:val="24"/>
          <w:szCs w:val="24"/>
        </w:rPr>
        <w:t xml:space="preserve"> </w:t>
      </w:r>
    </w:p>
    <w:tbl>
      <w:tblPr>
        <w:tblStyle w:val="TableGrid"/>
        <w:tblW w:w="5638" w:type="pct"/>
        <w:tblInd w:w="-856" w:type="dxa"/>
        <w:tblLayout w:type="fixed"/>
        <w:tblLook w:val="04A0" w:firstRow="1" w:lastRow="0" w:firstColumn="1" w:lastColumn="0" w:noHBand="0" w:noVBand="1"/>
      </w:tblPr>
      <w:tblGrid>
        <w:gridCol w:w="2124"/>
        <w:gridCol w:w="1092"/>
        <w:gridCol w:w="1180"/>
        <w:gridCol w:w="1276"/>
        <w:gridCol w:w="1700"/>
        <w:gridCol w:w="1416"/>
        <w:gridCol w:w="1276"/>
        <w:gridCol w:w="996"/>
        <w:gridCol w:w="1136"/>
        <w:gridCol w:w="1136"/>
        <w:gridCol w:w="1270"/>
      </w:tblGrid>
      <w:tr w:rsidR="00FA56C6" w:rsidRPr="004A4572" w:rsidTr="002B5E97">
        <w:trPr>
          <w:trHeight w:val="54"/>
        </w:trPr>
        <w:tc>
          <w:tcPr>
            <w:tcW w:w="727" w:type="pct"/>
            <w:shd w:val="clear" w:color="auto" w:fill="C5D3FF"/>
            <w:noWrap/>
          </w:tcPr>
          <w:p w:rsidR="00FA582B" w:rsidRPr="009102D5" w:rsidRDefault="00FA582B" w:rsidP="009E54F3">
            <w:pPr>
              <w:spacing w:line="240" w:lineRule="auto"/>
              <w:rPr>
                <w:sz w:val="20"/>
                <w:szCs w:val="20"/>
              </w:rPr>
            </w:pPr>
            <w:r w:rsidRPr="009102D5">
              <w:rPr>
                <w:sz w:val="20"/>
                <w:szCs w:val="20"/>
              </w:rPr>
              <w:t>Cross-sectional studies</w:t>
            </w:r>
          </w:p>
        </w:tc>
        <w:tc>
          <w:tcPr>
            <w:tcW w:w="1797" w:type="pct"/>
            <w:gridSpan w:val="4"/>
            <w:shd w:val="clear" w:color="auto" w:fill="C5D3FF"/>
            <w:noWrap/>
          </w:tcPr>
          <w:p w:rsidR="00FA582B" w:rsidRPr="009102D5" w:rsidRDefault="00FA582B" w:rsidP="009E54F3">
            <w:pPr>
              <w:spacing w:line="240" w:lineRule="auto"/>
              <w:jc w:val="center"/>
              <w:rPr>
                <w:sz w:val="20"/>
                <w:szCs w:val="20"/>
              </w:rPr>
            </w:pPr>
            <w:r w:rsidRPr="009102D5">
              <w:rPr>
                <w:sz w:val="20"/>
                <w:szCs w:val="20"/>
              </w:rPr>
              <w:t>Selection</w:t>
            </w:r>
            <w:r>
              <w:rPr>
                <w:sz w:val="20"/>
                <w:szCs w:val="20"/>
              </w:rPr>
              <w:t xml:space="preserve"> (</w:t>
            </w:r>
            <w:r w:rsidRPr="009102D5">
              <w:rPr>
                <w:sz w:val="20"/>
                <w:szCs w:val="20"/>
              </w:rPr>
              <w:t>max</w:t>
            </w:r>
            <w:r w:rsidR="0057769F">
              <w:rPr>
                <w:sz w:val="20"/>
                <w:szCs w:val="20"/>
              </w:rPr>
              <w:t>imum</w:t>
            </w:r>
            <w:r w:rsidRPr="009102D5">
              <w:rPr>
                <w:sz w:val="20"/>
                <w:szCs w:val="20"/>
              </w:rPr>
              <w:t xml:space="preserve"> </w:t>
            </w:r>
            <w:r>
              <w:rPr>
                <w:sz w:val="20"/>
                <w:szCs w:val="20"/>
              </w:rPr>
              <w:t>5</w:t>
            </w:r>
            <w:r w:rsidRPr="009102D5">
              <w:rPr>
                <w:rFonts w:ascii="Segoe UI Symbol" w:hAnsi="Segoe UI Symbol" w:cs="Segoe UI Symbol"/>
                <w:sz w:val="20"/>
                <w:szCs w:val="20"/>
              </w:rPr>
              <w:t>✯</w:t>
            </w:r>
            <w:r w:rsidRPr="009102D5">
              <w:rPr>
                <w:sz w:val="20"/>
                <w:szCs w:val="20"/>
              </w:rPr>
              <w:t>)</w:t>
            </w:r>
          </w:p>
        </w:tc>
        <w:tc>
          <w:tcPr>
            <w:tcW w:w="485" w:type="pct"/>
            <w:vMerge w:val="restart"/>
            <w:shd w:val="clear" w:color="auto" w:fill="C5D3FF"/>
          </w:tcPr>
          <w:p w:rsidR="00FA582B" w:rsidRPr="009102D5" w:rsidRDefault="00FA582B" w:rsidP="009E54F3">
            <w:pPr>
              <w:spacing w:line="240" w:lineRule="auto"/>
              <w:rPr>
                <w:sz w:val="20"/>
                <w:szCs w:val="20"/>
              </w:rPr>
            </w:pPr>
            <w:r w:rsidRPr="009102D5">
              <w:rPr>
                <w:sz w:val="20"/>
                <w:szCs w:val="20"/>
              </w:rPr>
              <w:t>Comparability</w:t>
            </w:r>
          </w:p>
          <w:p w:rsidR="00FA582B" w:rsidRPr="009102D5" w:rsidRDefault="00FA582B" w:rsidP="009E54F3">
            <w:pPr>
              <w:spacing w:line="240" w:lineRule="auto"/>
              <w:rPr>
                <w:sz w:val="20"/>
                <w:szCs w:val="20"/>
              </w:rPr>
            </w:pPr>
            <w:r w:rsidRPr="009102D5">
              <w:rPr>
                <w:sz w:val="20"/>
                <w:szCs w:val="20"/>
              </w:rPr>
              <w:t>(max</w:t>
            </w:r>
            <w:r w:rsidR="0057769F">
              <w:rPr>
                <w:sz w:val="20"/>
                <w:szCs w:val="20"/>
              </w:rPr>
              <w:t>imum</w:t>
            </w:r>
            <w:r w:rsidRPr="009102D5">
              <w:rPr>
                <w:sz w:val="20"/>
                <w:szCs w:val="20"/>
              </w:rPr>
              <w:t xml:space="preserve"> </w:t>
            </w:r>
            <w:r w:rsidR="00C03F42">
              <w:rPr>
                <w:sz w:val="20"/>
                <w:szCs w:val="20"/>
              </w:rPr>
              <w:t>2</w:t>
            </w:r>
            <w:r w:rsidRPr="009102D5">
              <w:rPr>
                <w:rFonts w:ascii="Segoe UI Symbol" w:hAnsi="Segoe UI Symbol" w:cs="Segoe UI Symbol"/>
                <w:sz w:val="20"/>
                <w:szCs w:val="20"/>
              </w:rPr>
              <w:t>✯</w:t>
            </w:r>
            <w:r w:rsidRPr="009102D5">
              <w:rPr>
                <w:sz w:val="20"/>
                <w:szCs w:val="20"/>
              </w:rPr>
              <w:t>)</w:t>
            </w:r>
          </w:p>
        </w:tc>
        <w:tc>
          <w:tcPr>
            <w:tcW w:w="1167" w:type="pct"/>
            <w:gridSpan w:val="3"/>
            <w:shd w:val="clear" w:color="auto" w:fill="C5D3FF"/>
          </w:tcPr>
          <w:p w:rsidR="00FA582B" w:rsidRPr="009102D5" w:rsidRDefault="00FA582B" w:rsidP="009E54F3">
            <w:pPr>
              <w:spacing w:line="240" w:lineRule="auto"/>
              <w:jc w:val="center"/>
              <w:rPr>
                <w:sz w:val="20"/>
                <w:szCs w:val="20"/>
              </w:rPr>
            </w:pPr>
            <w:r w:rsidRPr="009102D5">
              <w:rPr>
                <w:sz w:val="20"/>
                <w:szCs w:val="20"/>
              </w:rPr>
              <w:t>Outcomes</w:t>
            </w:r>
            <w:r>
              <w:rPr>
                <w:sz w:val="20"/>
                <w:szCs w:val="20"/>
              </w:rPr>
              <w:t xml:space="preserve"> (</w:t>
            </w:r>
            <w:r w:rsidRPr="009102D5">
              <w:rPr>
                <w:sz w:val="20"/>
                <w:szCs w:val="20"/>
              </w:rPr>
              <w:t>max</w:t>
            </w:r>
            <w:r w:rsidR="0057769F">
              <w:rPr>
                <w:sz w:val="20"/>
                <w:szCs w:val="20"/>
              </w:rPr>
              <w:t>imum</w:t>
            </w:r>
            <w:r w:rsidRPr="009102D5">
              <w:rPr>
                <w:sz w:val="20"/>
                <w:szCs w:val="20"/>
              </w:rPr>
              <w:t xml:space="preserve"> </w:t>
            </w:r>
            <w:r>
              <w:rPr>
                <w:sz w:val="20"/>
                <w:szCs w:val="20"/>
              </w:rPr>
              <w:t>3</w:t>
            </w:r>
            <w:r w:rsidRPr="009102D5">
              <w:rPr>
                <w:rFonts w:ascii="Segoe UI Symbol" w:hAnsi="Segoe UI Symbol" w:cs="Segoe UI Symbol"/>
                <w:sz w:val="20"/>
                <w:szCs w:val="20"/>
              </w:rPr>
              <w:t>✯</w:t>
            </w:r>
            <w:r w:rsidRPr="009102D5">
              <w:rPr>
                <w:sz w:val="20"/>
                <w:szCs w:val="20"/>
              </w:rPr>
              <w:t>)</w:t>
            </w:r>
          </w:p>
        </w:tc>
        <w:tc>
          <w:tcPr>
            <w:tcW w:w="389" w:type="pct"/>
            <w:vMerge w:val="restart"/>
            <w:shd w:val="clear" w:color="auto" w:fill="C5D3FF"/>
          </w:tcPr>
          <w:p w:rsidR="00FA582B" w:rsidRPr="009102D5" w:rsidRDefault="00FA582B" w:rsidP="009E54F3">
            <w:pPr>
              <w:spacing w:line="240" w:lineRule="auto"/>
              <w:rPr>
                <w:sz w:val="20"/>
                <w:szCs w:val="20"/>
              </w:rPr>
            </w:pPr>
            <w:r w:rsidRPr="009102D5">
              <w:rPr>
                <w:sz w:val="20"/>
                <w:szCs w:val="20"/>
              </w:rPr>
              <w:t>T</w:t>
            </w:r>
            <w:r w:rsidRPr="009102D5">
              <w:rPr>
                <w:sz w:val="20"/>
                <w:szCs w:val="20"/>
              </w:rPr>
              <w:t>otal</w:t>
            </w:r>
            <w:r w:rsidRPr="009102D5">
              <w:rPr>
                <w:sz w:val="20"/>
                <w:szCs w:val="20"/>
              </w:rPr>
              <w:t xml:space="preserve"> (maximum </w:t>
            </w:r>
            <w:r w:rsidR="00192CF8">
              <w:rPr>
                <w:sz w:val="20"/>
                <w:szCs w:val="20"/>
              </w:rPr>
              <w:t>10</w:t>
            </w:r>
            <w:r w:rsidRPr="009102D5">
              <w:rPr>
                <w:sz w:val="20"/>
                <w:szCs w:val="20"/>
              </w:rPr>
              <w:t xml:space="preserve"> </w:t>
            </w:r>
            <w:r w:rsidRPr="009102D5">
              <w:rPr>
                <w:rFonts w:ascii="Segoe UI Symbol" w:hAnsi="Segoe UI Symbol" w:cs="Segoe UI Symbol"/>
                <w:sz w:val="20"/>
                <w:szCs w:val="20"/>
              </w:rPr>
              <w:t>✯</w:t>
            </w:r>
            <w:r w:rsidRPr="009102D5">
              <w:rPr>
                <w:sz w:val="20"/>
                <w:szCs w:val="20"/>
              </w:rPr>
              <w:t>)</w:t>
            </w:r>
          </w:p>
        </w:tc>
        <w:tc>
          <w:tcPr>
            <w:tcW w:w="435" w:type="pct"/>
            <w:vMerge w:val="restart"/>
            <w:shd w:val="clear" w:color="auto" w:fill="C5D3FF"/>
          </w:tcPr>
          <w:p w:rsidR="00FA582B" w:rsidRPr="009102D5" w:rsidRDefault="00FA582B" w:rsidP="009E54F3">
            <w:pPr>
              <w:spacing w:line="240" w:lineRule="auto"/>
              <w:rPr>
                <w:sz w:val="20"/>
                <w:szCs w:val="20"/>
              </w:rPr>
            </w:pPr>
            <w:r w:rsidRPr="009102D5">
              <w:rPr>
                <w:sz w:val="20"/>
                <w:szCs w:val="20"/>
              </w:rPr>
              <w:t>Overall Quality Assessment</w:t>
            </w:r>
          </w:p>
        </w:tc>
      </w:tr>
      <w:tr w:rsidR="00FA56C6" w:rsidRPr="004A4572" w:rsidTr="00500DAA">
        <w:trPr>
          <w:trHeight w:val="288"/>
        </w:trPr>
        <w:tc>
          <w:tcPr>
            <w:tcW w:w="727" w:type="pct"/>
            <w:noWrap/>
            <w:hideMark/>
          </w:tcPr>
          <w:p w:rsidR="00FA582B" w:rsidRPr="004A4572" w:rsidRDefault="00FA582B" w:rsidP="009E54F3">
            <w:pPr>
              <w:spacing w:line="240" w:lineRule="auto"/>
              <w:rPr>
                <w:sz w:val="22"/>
              </w:rPr>
            </w:pPr>
            <w:r w:rsidRPr="004A4572">
              <w:rPr>
                <w:sz w:val="22"/>
              </w:rPr>
              <w:t>Author</w:t>
            </w:r>
            <w:r>
              <w:rPr>
                <w:sz w:val="22"/>
              </w:rPr>
              <w:t xml:space="preserve"> (publication y</w:t>
            </w:r>
            <w:r w:rsidRPr="004A4572">
              <w:rPr>
                <w:sz w:val="22"/>
              </w:rPr>
              <w:t>ear</w:t>
            </w:r>
            <w:r>
              <w:rPr>
                <w:sz w:val="22"/>
              </w:rPr>
              <w:t>)</w:t>
            </w:r>
          </w:p>
        </w:tc>
        <w:tc>
          <w:tcPr>
            <w:tcW w:w="374" w:type="pct"/>
            <w:noWrap/>
            <w:hideMark/>
          </w:tcPr>
          <w:p w:rsidR="00FA582B" w:rsidRPr="009102D5" w:rsidRDefault="00FA582B" w:rsidP="009E54F3">
            <w:pPr>
              <w:spacing w:line="240" w:lineRule="auto"/>
              <w:rPr>
                <w:sz w:val="20"/>
                <w:szCs w:val="20"/>
              </w:rPr>
            </w:pPr>
            <w:r w:rsidRPr="009102D5">
              <w:rPr>
                <w:sz w:val="20"/>
                <w:szCs w:val="20"/>
              </w:rPr>
              <w:t>Representativeness</w:t>
            </w:r>
            <w:r w:rsidRPr="009102D5">
              <w:rPr>
                <w:sz w:val="20"/>
                <w:szCs w:val="20"/>
              </w:rPr>
              <w:t xml:space="preserve"> of exposed</w:t>
            </w:r>
          </w:p>
        </w:tc>
        <w:tc>
          <w:tcPr>
            <w:tcW w:w="404" w:type="pct"/>
            <w:noWrap/>
            <w:hideMark/>
          </w:tcPr>
          <w:p w:rsidR="00FA582B" w:rsidRPr="009102D5" w:rsidRDefault="00FA582B" w:rsidP="009E54F3">
            <w:pPr>
              <w:spacing w:line="240" w:lineRule="auto"/>
              <w:rPr>
                <w:sz w:val="20"/>
                <w:szCs w:val="20"/>
              </w:rPr>
            </w:pPr>
            <w:r w:rsidRPr="009102D5">
              <w:rPr>
                <w:sz w:val="20"/>
                <w:szCs w:val="20"/>
              </w:rPr>
              <w:t>Sample Size</w:t>
            </w:r>
          </w:p>
        </w:tc>
        <w:tc>
          <w:tcPr>
            <w:tcW w:w="437" w:type="pct"/>
            <w:noWrap/>
            <w:hideMark/>
          </w:tcPr>
          <w:p w:rsidR="00FA582B" w:rsidRPr="009102D5" w:rsidRDefault="00FA582B" w:rsidP="009E54F3">
            <w:pPr>
              <w:spacing w:line="240" w:lineRule="auto"/>
              <w:rPr>
                <w:sz w:val="20"/>
                <w:szCs w:val="20"/>
              </w:rPr>
            </w:pPr>
            <w:r w:rsidRPr="009102D5">
              <w:rPr>
                <w:sz w:val="20"/>
                <w:szCs w:val="20"/>
              </w:rPr>
              <w:t>Non</w:t>
            </w:r>
            <w:r w:rsidRPr="009102D5">
              <w:rPr>
                <w:sz w:val="20"/>
                <w:szCs w:val="20"/>
              </w:rPr>
              <w:t>-</w:t>
            </w:r>
            <w:r w:rsidRPr="009102D5">
              <w:rPr>
                <w:sz w:val="20"/>
                <w:szCs w:val="20"/>
              </w:rPr>
              <w:t>respondents</w:t>
            </w:r>
          </w:p>
        </w:tc>
        <w:tc>
          <w:tcPr>
            <w:tcW w:w="582" w:type="pct"/>
          </w:tcPr>
          <w:p w:rsidR="00FA582B" w:rsidRPr="009102D5" w:rsidRDefault="00FA582B" w:rsidP="009E54F3">
            <w:pPr>
              <w:spacing w:line="240" w:lineRule="auto"/>
              <w:jc w:val="left"/>
              <w:rPr>
                <w:sz w:val="20"/>
                <w:szCs w:val="20"/>
              </w:rPr>
            </w:pPr>
            <w:r w:rsidRPr="009102D5">
              <w:rPr>
                <w:sz w:val="20"/>
                <w:szCs w:val="20"/>
              </w:rPr>
              <w:t>Ascertainment of the exposure (</w:t>
            </w:r>
            <w:r w:rsidRPr="009102D5">
              <w:rPr>
                <w:sz w:val="20"/>
                <w:szCs w:val="20"/>
              </w:rPr>
              <w:t>max</w:t>
            </w:r>
            <w:r w:rsidR="00FA56C6">
              <w:rPr>
                <w:sz w:val="20"/>
                <w:szCs w:val="20"/>
              </w:rPr>
              <w:t>imum</w:t>
            </w:r>
            <w:r w:rsidRPr="009102D5">
              <w:rPr>
                <w:sz w:val="20"/>
                <w:szCs w:val="20"/>
              </w:rPr>
              <w:t xml:space="preserve"> 2</w:t>
            </w:r>
            <w:r w:rsidRPr="009102D5">
              <w:rPr>
                <w:rFonts w:ascii="Segoe UI Symbol" w:hAnsi="Segoe UI Symbol" w:cs="Segoe UI Symbol"/>
                <w:sz w:val="20"/>
                <w:szCs w:val="20"/>
              </w:rPr>
              <w:t>✯</w:t>
            </w:r>
            <w:r w:rsidRPr="009102D5">
              <w:rPr>
                <w:sz w:val="20"/>
                <w:szCs w:val="20"/>
              </w:rPr>
              <w:t>)</w:t>
            </w:r>
          </w:p>
        </w:tc>
        <w:tc>
          <w:tcPr>
            <w:tcW w:w="485" w:type="pct"/>
            <w:vMerge/>
          </w:tcPr>
          <w:p w:rsidR="00FA582B" w:rsidRPr="00DC7A3B" w:rsidRDefault="00FA582B" w:rsidP="009E54F3">
            <w:pPr>
              <w:spacing w:line="240" w:lineRule="auto"/>
            </w:pPr>
          </w:p>
        </w:tc>
        <w:tc>
          <w:tcPr>
            <w:tcW w:w="437" w:type="pct"/>
          </w:tcPr>
          <w:p w:rsidR="00FA582B" w:rsidRPr="009102D5" w:rsidRDefault="00FA582B" w:rsidP="009E54F3">
            <w:pPr>
              <w:spacing w:line="240" w:lineRule="auto"/>
              <w:jc w:val="left"/>
              <w:rPr>
                <w:sz w:val="20"/>
                <w:szCs w:val="20"/>
              </w:rPr>
            </w:pPr>
            <w:r w:rsidRPr="009102D5">
              <w:rPr>
                <w:sz w:val="20"/>
                <w:szCs w:val="20"/>
              </w:rPr>
              <w:t>Assessment of</w:t>
            </w:r>
            <w:r w:rsidRPr="009102D5">
              <w:rPr>
                <w:sz w:val="20"/>
                <w:szCs w:val="20"/>
              </w:rPr>
              <w:t xml:space="preserve"> </w:t>
            </w:r>
            <w:r w:rsidRPr="009102D5">
              <w:rPr>
                <w:sz w:val="20"/>
                <w:szCs w:val="20"/>
              </w:rPr>
              <w:t>outcomes</w:t>
            </w:r>
          </w:p>
          <w:p w:rsidR="00FA582B" w:rsidRPr="009102D5" w:rsidRDefault="00FA582B" w:rsidP="009E54F3">
            <w:pPr>
              <w:spacing w:line="240" w:lineRule="auto"/>
              <w:rPr>
                <w:sz w:val="20"/>
                <w:szCs w:val="20"/>
              </w:rPr>
            </w:pPr>
            <w:r w:rsidRPr="009102D5">
              <w:rPr>
                <w:sz w:val="20"/>
                <w:szCs w:val="20"/>
              </w:rPr>
              <w:t>(max. 2</w:t>
            </w:r>
            <w:r w:rsidRPr="009102D5">
              <w:rPr>
                <w:rFonts w:ascii="Segoe UI Symbol" w:hAnsi="Segoe UI Symbol" w:cs="Segoe UI Symbol"/>
                <w:sz w:val="20"/>
                <w:szCs w:val="20"/>
              </w:rPr>
              <w:t>✯</w:t>
            </w:r>
            <w:r w:rsidRPr="009102D5">
              <w:rPr>
                <w:sz w:val="20"/>
                <w:szCs w:val="20"/>
              </w:rPr>
              <w:t>)</w:t>
            </w:r>
          </w:p>
        </w:tc>
        <w:tc>
          <w:tcPr>
            <w:tcW w:w="730" w:type="pct"/>
            <w:gridSpan w:val="2"/>
          </w:tcPr>
          <w:p w:rsidR="00FA582B" w:rsidRPr="009102D5" w:rsidRDefault="00FA582B" w:rsidP="009E54F3">
            <w:pPr>
              <w:spacing w:line="240" w:lineRule="auto"/>
              <w:rPr>
                <w:sz w:val="20"/>
                <w:szCs w:val="20"/>
              </w:rPr>
            </w:pPr>
            <w:r w:rsidRPr="009102D5">
              <w:rPr>
                <w:sz w:val="20"/>
                <w:szCs w:val="20"/>
              </w:rPr>
              <w:t>Statistical test</w:t>
            </w:r>
          </w:p>
        </w:tc>
        <w:tc>
          <w:tcPr>
            <w:tcW w:w="389" w:type="pct"/>
            <w:vMerge/>
          </w:tcPr>
          <w:p w:rsidR="00FA582B" w:rsidRPr="009102D5" w:rsidRDefault="00FA582B" w:rsidP="009E54F3">
            <w:pPr>
              <w:spacing w:line="240" w:lineRule="auto"/>
              <w:rPr>
                <w:sz w:val="20"/>
                <w:szCs w:val="20"/>
              </w:rPr>
            </w:pPr>
          </w:p>
        </w:tc>
        <w:tc>
          <w:tcPr>
            <w:tcW w:w="435" w:type="pct"/>
            <w:vMerge/>
          </w:tcPr>
          <w:p w:rsidR="00FA582B" w:rsidRPr="009102D5" w:rsidRDefault="00FA582B" w:rsidP="009E54F3">
            <w:pPr>
              <w:spacing w:line="240" w:lineRule="auto"/>
              <w:rPr>
                <w:sz w:val="20"/>
                <w:szCs w:val="20"/>
              </w:rPr>
            </w:pPr>
          </w:p>
        </w:tc>
      </w:tr>
      <w:tr w:rsidR="00FA56C6" w:rsidRPr="004A4572" w:rsidTr="00500DAA">
        <w:trPr>
          <w:trHeight w:val="288"/>
        </w:trPr>
        <w:tc>
          <w:tcPr>
            <w:tcW w:w="727" w:type="pct"/>
            <w:noWrap/>
            <w:hideMark/>
          </w:tcPr>
          <w:p w:rsidR="009B0B3B" w:rsidRPr="008D250C" w:rsidRDefault="009B0B3B" w:rsidP="009E54F3">
            <w:pPr>
              <w:spacing w:line="240" w:lineRule="auto"/>
              <w:rPr>
                <w:sz w:val="22"/>
              </w:rPr>
            </w:pPr>
            <w:r w:rsidRPr="008D250C">
              <w:rPr>
                <w:sz w:val="22"/>
              </w:rPr>
              <w:t xml:space="preserve">Walters et al (2008) </w:t>
            </w:r>
            <w:r w:rsidRPr="008D250C">
              <w:rPr>
                <w:sz w:val="22"/>
              </w:rPr>
              <w:fldChar w:fldCharType="begin" w:fldLock="1"/>
            </w:r>
            <w:r w:rsidRPr="008D250C">
              <w:rPr>
                <w:sz w:val="22"/>
              </w:rPr>
              <w:instrText>ADDIN CSL_CITATION {"citationItems":[{"id":"ITEM-1","itemData":{"DOI":"10.1186/1471-2431-8-1","ISSN":"14712431","PMID":"18186944","abstract":"Background: The tuberculosis (TB) and human immunodeficiency virus (HIV) epidemics are poorly controlled in sub-Saharan Africa, where highly active antiretroviral treatment (HAART) has become more freely available. Little is known about the clinical presentation and outcome of TB in HIV-infected children on HAART. Methods: We performed a comprehensive file review of all children who commenced HAART at Tygerberg Children's Hospital from January 2003 through December 2005. Results: Data from 290 children were analyzed; 137 TB episodes were recorded in 136 children; 116 episodes occurred before and 21 after HAART initiation; 10 episodes were probably related to immune reconstitution inflammatory syndrome (IRIS). The number of TB cases per 100 patient years were 53.3 during the 9 months prior to HAART initiation, and 6.4 during post HAART follow-up [odds ratio (OR) 16.6; 95% confidence interval (CI) 12.5-22.4]. A positive outcome was achieved in 97/137 (71%) episodes, 6 (4%) cases experienced no improvement, 16 (12%) died and the outcome could not be established in 18 (13%). Mortality was less in children on HAART (1/21; 4.8%) compared to those not on HAART (15/116; 12.9%). Conclusion: We recorded an extremely high incidence of TB among HIV-infected children, especially prior to HAART initiation. Starting HAART at an earlier stage is likely to reduce morbidity and mortality related to TB, particularly in TB-endemic areas. Management frequently deviated from standard guidelines, but outcomes in general were good. © 2008 Walters et al; licensee BioMed Central Ltd.","author":[{"dropping-particle":"","family":"Walters","given":"Elisabetta","non-dropping-particle":"","parse-names":false,"suffix":""},{"dropping-particle":"","family":"Cotton","given":"Mark F.","non-dropping-particle":"","parse-names":false,"suffix":""},{"dropping-particle":"","family":"Rabie","given":"Helena","non-dropping-particle":"","parse-names":false,"suffix":""},{"dropping-particle":"","family":"Simon","given":"H. Simon","non-dropping-particle":"","parse-names":false,"suffix":""},{"dropping-particle":"","family":"Walters","given":"Lourens O.","non-dropping-particle":"","parse-names":false,"suffix":""},{"dropping-particle":"","family":"Marais","given":"Ben J.","non-dropping-particle":"","parse-names":false,"suffix":""}],"container-title":"BMC Pediatrics","id":"ITEM-1","issued":{"date-parts":[["2008"]]},"page":"1-12","title":"Clinical presentation and outcome of Tuberculosis in Human Immunodeficiency Virus infected children on anti-retroviral therapy","type":"article-journal","volume":"8"},"uris":["http://www.mendeley.com/documents/?uuid=81235cda-43ca-4b99-b5a7-1de8044da9d1"]}],"mendeley":{"formattedCitation":"(6)","plainTextFormattedCitation":"(6)","previouslyFormattedCitation":"(2)"},"properties":{"noteIndex":0},"schema":"https://github.com/citation-style-language/schema/raw/master/csl-citation.json"}</w:instrText>
            </w:r>
            <w:r w:rsidRPr="008D250C">
              <w:rPr>
                <w:sz w:val="22"/>
              </w:rPr>
              <w:fldChar w:fldCharType="separate"/>
            </w:r>
            <w:r w:rsidRPr="008D250C">
              <w:rPr>
                <w:noProof/>
                <w:sz w:val="22"/>
              </w:rPr>
              <w:t>(6)</w:t>
            </w:r>
            <w:r w:rsidRPr="008D250C">
              <w:rPr>
                <w:sz w:val="22"/>
              </w:rPr>
              <w:fldChar w:fldCharType="end"/>
            </w:r>
          </w:p>
        </w:tc>
        <w:tc>
          <w:tcPr>
            <w:tcW w:w="374" w:type="pct"/>
            <w:noWrap/>
          </w:tcPr>
          <w:p w:rsidR="009B0B3B" w:rsidRPr="00BA10F5" w:rsidRDefault="00997553" w:rsidP="009E54F3">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9B0B3B" w:rsidRPr="00BA10F5" w:rsidRDefault="00997553" w:rsidP="009E54F3">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9B0B3B" w:rsidRPr="00BA10F5" w:rsidRDefault="00997553" w:rsidP="009E54F3">
            <w:pPr>
              <w:spacing w:line="240" w:lineRule="auto"/>
              <w:rPr>
                <w:sz w:val="22"/>
                <w:highlight w:val="green"/>
              </w:rPr>
            </w:pPr>
            <w:r w:rsidRPr="009102D5">
              <w:rPr>
                <w:rFonts w:ascii="Segoe UI Symbol" w:hAnsi="Segoe UI Symbol" w:cs="Segoe UI Symbol"/>
                <w:sz w:val="20"/>
                <w:szCs w:val="20"/>
              </w:rPr>
              <w:t>✯</w:t>
            </w:r>
          </w:p>
        </w:tc>
        <w:tc>
          <w:tcPr>
            <w:tcW w:w="582" w:type="pct"/>
          </w:tcPr>
          <w:p w:rsidR="009B0B3B" w:rsidRPr="00BA10F5" w:rsidRDefault="00997553" w:rsidP="009E54F3">
            <w:pPr>
              <w:spacing w:line="240" w:lineRule="auto"/>
              <w:rPr>
                <w:sz w:val="22"/>
                <w:highlight w:val="green"/>
              </w:rPr>
            </w:pPr>
            <w:r w:rsidRPr="009102D5">
              <w:rPr>
                <w:rFonts w:ascii="Segoe UI Symbol" w:hAnsi="Segoe UI Symbol" w:cs="Segoe UI Symbol"/>
                <w:sz w:val="20"/>
                <w:szCs w:val="20"/>
              </w:rPr>
              <w:t>✯</w:t>
            </w:r>
          </w:p>
        </w:tc>
        <w:tc>
          <w:tcPr>
            <w:tcW w:w="485" w:type="pct"/>
          </w:tcPr>
          <w:p w:rsidR="009B0B3B" w:rsidRPr="00CF0B1A" w:rsidRDefault="00997553" w:rsidP="009E54F3">
            <w:pPr>
              <w:spacing w:line="240" w:lineRule="auto"/>
              <w:rPr>
                <w:sz w:val="22"/>
              </w:rPr>
            </w:pPr>
            <w:r w:rsidRPr="00CF0B1A">
              <w:rPr>
                <w:sz w:val="22"/>
              </w:rPr>
              <w:t>-</w:t>
            </w:r>
          </w:p>
        </w:tc>
        <w:tc>
          <w:tcPr>
            <w:tcW w:w="437" w:type="pct"/>
          </w:tcPr>
          <w:p w:rsidR="009B0B3B" w:rsidRPr="00773074" w:rsidRDefault="00997553" w:rsidP="009E54F3">
            <w:pPr>
              <w:spacing w:line="240" w:lineRule="auto"/>
              <w:rPr>
                <w:sz w:val="22"/>
              </w:rPr>
            </w:pPr>
            <w:r w:rsidRPr="00773074">
              <w:rPr>
                <w:rFonts w:ascii="Segoe UI Symbol" w:hAnsi="Segoe UI Symbol" w:cs="Segoe UI Symbol"/>
                <w:sz w:val="20"/>
                <w:szCs w:val="20"/>
              </w:rPr>
              <w:t>✯</w:t>
            </w:r>
          </w:p>
        </w:tc>
        <w:tc>
          <w:tcPr>
            <w:tcW w:w="730" w:type="pct"/>
            <w:gridSpan w:val="2"/>
          </w:tcPr>
          <w:p w:rsidR="009B0B3B" w:rsidRPr="00773074" w:rsidRDefault="00997553" w:rsidP="009E54F3">
            <w:pPr>
              <w:spacing w:line="240" w:lineRule="auto"/>
              <w:rPr>
                <w:sz w:val="22"/>
              </w:rPr>
            </w:pPr>
            <w:r w:rsidRPr="00773074">
              <w:rPr>
                <w:rFonts w:ascii="Segoe UI Symbol" w:hAnsi="Segoe UI Symbol" w:cs="Segoe UI Symbol"/>
                <w:sz w:val="20"/>
                <w:szCs w:val="20"/>
              </w:rPr>
              <w:t>✯</w:t>
            </w:r>
          </w:p>
        </w:tc>
        <w:tc>
          <w:tcPr>
            <w:tcW w:w="389" w:type="pct"/>
          </w:tcPr>
          <w:p w:rsidR="009B0B3B" w:rsidRPr="00773074" w:rsidRDefault="00A64D98" w:rsidP="009E54F3">
            <w:pPr>
              <w:spacing w:line="240" w:lineRule="auto"/>
              <w:rPr>
                <w:sz w:val="22"/>
              </w:rPr>
            </w:pPr>
            <w:r>
              <w:rPr>
                <w:rFonts w:cs="Segoe UI Symbol"/>
                <w:sz w:val="20"/>
                <w:szCs w:val="20"/>
              </w:rPr>
              <w:t>6</w:t>
            </w:r>
            <w:r w:rsidR="00320EB8" w:rsidRPr="00773074">
              <w:rPr>
                <w:rFonts w:ascii="Segoe UI Symbol" w:hAnsi="Segoe UI Symbol" w:cs="Segoe UI Symbol"/>
                <w:sz w:val="20"/>
                <w:szCs w:val="20"/>
              </w:rPr>
              <w:t>✯</w:t>
            </w:r>
          </w:p>
        </w:tc>
        <w:tc>
          <w:tcPr>
            <w:tcW w:w="435" w:type="pct"/>
          </w:tcPr>
          <w:p w:rsidR="009B0B3B" w:rsidRPr="00773074" w:rsidRDefault="00192CF8" w:rsidP="009E54F3">
            <w:pPr>
              <w:spacing w:line="240" w:lineRule="auto"/>
              <w:rPr>
                <w:sz w:val="22"/>
              </w:rPr>
            </w:pPr>
            <w:r>
              <w:rPr>
                <w:sz w:val="22"/>
              </w:rPr>
              <w:t>Fair</w:t>
            </w:r>
          </w:p>
        </w:tc>
      </w:tr>
      <w:tr w:rsidR="00FA56C6" w:rsidRPr="004A4572" w:rsidTr="00500DAA">
        <w:trPr>
          <w:trHeight w:val="288"/>
        </w:trPr>
        <w:tc>
          <w:tcPr>
            <w:tcW w:w="727" w:type="pct"/>
            <w:noWrap/>
            <w:hideMark/>
          </w:tcPr>
          <w:p w:rsidR="009B0B3B" w:rsidRPr="008D250C" w:rsidRDefault="009B0B3B" w:rsidP="009E54F3">
            <w:pPr>
              <w:spacing w:line="240" w:lineRule="auto"/>
              <w:rPr>
                <w:sz w:val="22"/>
              </w:rPr>
            </w:pPr>
            <w:proofErr w:type="spellStart"/>
            <w:r w:rsidRPr="008D250C">
              <w:rPr>
                <w:sz w:val="22"/>
              </w:rPr>
              <w:t>Preidis</w:t>
            </w:r>
            <w:proofErr w:type="spellEnd"/>
            <w:r w:rsidRPr="008D250C">
              <w:rPr>
                <w:sz w:val="22"/>
              </w:rPr>
              <w:t xml:space="preserve"> et al (2011) </w:t>
            </w:r>
            <w:r w:rsidRPr="008D250C">
              <w:rPr>
                <w:sz w:val="22"/>
              </w:rPr>
              <w:fldChar w:fldCharType="begin" w:fldLock="1"/>
            </w:r>
            <w:r w:rsidRPr="008D250C">
              <w:rPr>
                <w:sz w:val="22"/>
              </w:rPr>
              <w:instrText>ADDIN CSL_CITATION {"citationItems":[{"id":"ITEM-1","itemData":{"DOI":"10.1016/j.jpeds.2011.02.033","ISSN":"00223476","abstract":"Although connections between the immune and nervous systems have long been recognized, the precise mechanisms that underlie this relationship are just starting to be elucidated. Advances in sensory biology have unveiled novel mechanisms by which inflammatory cytokines promote itch and pain sensations to coordinate host-protective behavioral responses. Conversely, new evidence has emphasized the importance of immune cell regulation by sensory neurons. By focusing on itch biology and how it has been informed by the more established field of pain research, we highlight recent interdisciplinary studies that demonstrate how novel neuroimmune interactions underlie a diversity of sensory, inflammatory, and infectious diseases.","author":[{"dropping-particle":"","family":"Preidis","given":"Geoffrey A.","non-dropping-particle":"","parse-names":false,"suffix":""},{"dropping-particle":"","family":"McCollum","given":"Eric D.","non-dropping-particle":"","parse-names":false,"suffix":""},{"dropping-particle":"","family":"Mwansambo","given":"Charles","non-dropping-particle":"","parse-names":false,"suffix":""},{"dropping-particle":"","family":"Kazembe","given":"Peter N.","non-dropping-particle":"","parse-names":false,"suffix":""},{"dropping-particle":"","family":"Schutze","given":"Gordon E.","non-dropping-particle":"","parse-names":false,"suffix":""},{"dropping-particle":"","family":"Kline","given":"Mark W.","non-dropping-particle":"","parse-names":false,"suffix":""}],"container-title":"The Journal of Pediatrics","id":"ITEM-1","issue":"3","issued":{"date-parts":[["2011","9","15"]]},"page":"484-489","title":"Pneumonia and Malnutrition are Highly Predictive of Mortality among African Children Hospitalized with Human Immunodeficiency Virus Infection or Exposure in the Era of Antiretroviral Therapy","type":"article-journal","volume":"159"},"uris":["http://www.mendeley.com/documents/?uuid=3cd332fa-0f65-438f-8c37-dc2c8d7df44e"]}],"mendeley":{"formattedCitation":"(7)","plainTextFormattedCitation":"(7)","previouslyFormattedCitation":"(13)"},"properties":{"noteIndex":0},"schema":"https://github.com/citation-style-language/schema/raw/master/csl-citation.json"}</w:instrText>
            </w:r>
            <w:r w:rsidRPr="008D250C">
              <w:rPr>
                <w:sz w:val="22"/>
              </w:rPr>
              <w:fldChar w:fldCharType="separate"/>
            </w:r>
            <w:r w:rsidRPr="008D250C">
              <w:rPr>
                <w:noProof/>
                <w:sz w:val="22"/>
              </w:rPr>
              <w:t>(7)</w:t>
            </w:r>
            <w:r w:rsidRPr="008D250C">
              <w:rPr>
                <w:sz w:val="22"/>
              </w:rPr>
              <w:fldChar w:fldCharType="end"/>
            </w:r>
          </w:p>
        </w:tc>
        <w:tc>
          <w:tcPr>
            <w:tcW w:w="374" w:type="pct"/>
            <w:noWrap/>
          </w:tcPr>
          <w:p w:rsidR="009B0B3B" w:rsidRPr="00BA10F5" w:rsidRDefault="00773074" w:rsidP="009E54F3">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9B0B3B" w:rsidRPr="00BA10F5" w:rsidRDefault="00773074" w:rsidP="009E54F3">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9B0B3B" w:rsidRPr="00BA10F5" w:rsidRDefault="00773074" w:rsidP="009E54F3">
            <w:pPr>
              <w:spacing w:line="240" w:lineRule="auto"/>
              <w:rPr>
                <w:sz w:val="22"/>
                <w:highlight w:val="green"/>
              </w:rPr>
            </w:pPr>
            <w:r w:rsidRPr="009102D5">
              <w:rPr>
                <w:rFonts w:ascii="Segoe UI Symbol" w:hAnsi="Segoe UI Symbol" w:cs="Segoe UI Symbol"/>
                <w:sz w:val="20"/>
                <w:szCs w:val="20"/>
              </w:rPr>
              <w:t>✯</w:t>
            </w:r>
          </w:p>
        </w:tc>
        <w:tc>
          <w:tcPr>
            <w:tcW w:w="582" w:type="pct"/>
          </w:tcPr>
          <w:p w:rsidR="009B0B3B" w:rsidRPr="00BA10F5" w:rsidRDefault="00773074" w:rsidP="009E54F3">
            <w:pPr>
              <w:spacing w:line="240" w:lineRule="auto"/>
              <w:rPr>
                <w:sz w:val="22"/>
                <w:highlight w:val="green"/>
              </w:rPr>
            </w:pPr>
            <w:r w:rsidRPr="009102D5">
              <w:rPr>
                <w:rFonts w:ascii="Segoe UI Symbol" w:hAnsi="Segoe UI Symbol" w:cs="Segoe UI Symbol"/>
                <w:sz w:val="20"/>
                <w:szCs w:val="20"/>
              </w:rPr>
              <w:t>✯</w:t>
            </w:r>
          </w:p>
        </w:tc>
        <w:tc>
          <w:tcPr>
            <w:tcW w:w="485" w:type="pct"/>
          </w:tcPr>
          <w:p w:rsidR="009B0B3B" w:rsidRPr="00CF0B1A" w:rsidRDefault="00773074" w:rsidP="009E54F3">
            <w:pPr>
              <w:spacing w:line="240" w:lineRule="auto"/>
              <w:rPr>
                <w:sz w:val="22"/>
              </w:rPr>
            </w:pPr>
            <w:r w:rsidRPr="00CF0B1A">
              <w:rPr>
                <w:rFonts w:ascii="Segoe UI Symbol" w:hAnsi="Segoe UI Symbol" w:cs="Segoe UI Symbol"/>
                <w:sz w:val="20"/>
                <w:szCs w:val="20"/>
              </w:rPr>
              <w:t>✯</w:t>
            </w:r>
          </w:p>
        </w:tc>
        <w:tc>
          <w:tcPr>
            <w:tcW w:w="437" w:type="pct"/>
          </w:tcPr>
          <w:p w:rsidR="009B0B3B" w:rsidRPr="00773074" w:rsidRDefault="00773074" w:rsidP="009E54F3">
            <w:pPr>
              <w:spacing w:line="240" w:lineRule="auto"/>
              <w:rPr>
                <w:sz w:val="22"/>
              </w:rPr>
            </w:pPr>
            <w:r w:rsidRPr="00773074">
              <w:rPr>
                <w:rFonts w:ascii="Segoe UI Symbol" w:hAnsi="Segoe UI Symbol" w:cs="Segoe UI Symbol"/>
                <w:sz w:val="20"/>
                <w:szCs w:val="20"/>
              </w:rPr>
              <w:t>✯✯</w:t>
            </w:r>
          </w:p>
        </w:tc>
        <w:tc>
          <w:tcPr>
            <w:tcW w:w="730" w:type="pct"/>
            <w:gridSpan w:val="2"/>
          </w:tcPr>
          <w:p w:rsidR="009B0B3B" w:rsidRPr="00773074" w:rsidRDefault="00773074" w:rsidP="009E54F3">
            <w:pPr>
              <w:spacing w:line="240" w:lineRule="auto"/>
              <w:rPr>
                <w:sz w:val="22"/>
              </w:rPr>
            </w:pPr>
            <w:r w:rsidRPr="00773074">
              <w:rPr>
                <w:rFonts w:ascii="Segoe UI Symbol" w:hAnsi="Segoe UI Symbol" w:cs="Segoe UI Symbol"/>
                <w:sz w:val="20"/>
                <w:szCs w:val="20"/>
              </w:rPr>
              <w:t>✯</w:t>
            </w:r>
          </w:p>
        </w:tc>
        <w:tc>
          <w:tcPr>
            <w:tcW w:w="389" w:type="pct"/>
          </w:tcPr>
          <w:p w:rsidR="009B0B3B" w:rsidRPr="00773074" w:rsidRDefault="00773074" w:rsidP="009E54F3">
            <w:pPr>
              <w:spacing w:line="240" w:lineRule="auto"/>
              <w:rPr>
                <w:sz w:val="22"/>
              </w:rPr>
            </w:pPr>
            <w:r w:rsidRPr="00773074">
              <w:rPr>
                <w:sz w:val="22"/>
              </w:rPr>
              <w:t>8</w:t>
            </w:r>
            <w:r w:rsidRPr="00773074">
              <w:rPr>
                <w:rFonts w:ascii="Segoe UI Symbol" w:hAnsi="Segoe UI Symbol" w:cs="Segoe UI Symbol"/>
                <w:sz w:val="20"/>
                <w:szCs w:val="20"/>
              </w:rPr>
              <w:t>✯</w:t>
            </w:r>
          </w:p>
        </w:tc>
        <w:tc>
          <w:tcPr>
            <w:tcW w:w="435" w:type="pct"/>
          </w:tcPr>
          <w:p w:rsidR="009B0B3B" w:rsidRPr="00773074" w:rsidRDefault="00192CF8" w:rsidP="009E54F3">
            <w:pPr>
              <w:spacing w:line="240" w:lineRule="auto"/>
              <w:rPr>
                <w:sz w:val="22"/>
              </w:rPr>
            </w:pPr>
            <w:r>
              <w:rPr>
                <w:sz w:val="22"/>
              </w:rPr>
              <w:t>Good</w:t>
            </w:r>
          </w:p>
        </w:tc>
      </w:tr>
      <w:tr w:rsidR="00192CF8" w:rsidRPr="004A4572" w:rsidTr="00500DAA">
        <w:trPr>
          <w:trHeight w:val="288"/>
        </w:trPr>
        <w:tc>
          <w:tcPr>
            <w:tcW w:w="727" w:type="pct"/>
            <w:noWrap/>
            <w:hideMark/>
          </w:tcPr>
          <w:p w:rsidR="00192CF8" w:rsidRPr="008D250C" w:rsidRDefault="00192CF8" w:rsidP="00192CF8">
            <w:pPr>
              <w:spacing w:line="240" w:lineRule="auto"/>
              <w:rPr>
                <w:sz w:val="22"/>
              </w:rPr>
            </w:pPr>
            <w:r w:rsidRPr="008D250C">
              <w:rPr>
                <w:sz w:val="22"/>
              </w:rPr>
              <w:t xml:space="preserve">Cavanaugh et al (2012) </w:t>
            </w:r>
            <w:r w:rsidRPr="008D250C">
              <w:rPr>
                <w:sz w:val="22"/>
              </w:rPr>
              <w:fldChar w:fldCharType="begin" w:fldLock="1"/>
            </w:r>
            <w:r w:rsidRPr="008D250C">
              <w:rPr>
                <w:sz w:val="22"/>
              </w:rPr>
              <w:instrText>ADDIN CSL_CITATION {"citationItems":[{"id":"ITEM-1","itemData":{"DOI":"10.1093/tropej/fmr098","ISSN":"01426338","PMID":"22144009","abstract":"We collected clinical register data on children in two provinces of Kenya and conducted bivariate and multivariate analyses to assess characteristics associated with death. Among 987 children with tuberculosis (TB), pulmonary disease was diagnosed in 689 (70%) children. Final outcomes were known for 830 children, 40 (5%) of whom died during TB treatment. HIV test results were available for 670 (68%) children; 371 (55%) of whom tested positive. Only 63 of 134 (47%) of children &lt;1 year were tested for HIV. There were no data on CD4 or anti-retroviral use. The relative risk for death for HIV-infected children compared to HIV-uninfected children was 9.3 for children &lt;1 year [95% confidence interval (CI) 1.2-69.2], 3.9 for children aged 1-4 (95% CI 0.9-17.7) and 0.9 for children aged 5-14 (95% CI 0.3-2.6). In Kenya, HIV infection in children with TB is common, and our data suggest that HIV is particularly deadly in TB patients &lt;1 year, the group with the lowest rate of testing. Poor data recording and reporting limit our understanding of TB in this age group. Expansion of HIV testing may improve survival, and more complete data recording and reporting will enhance our understanding of pediatric TB. Published by Oxford University Press 2011.","author":[{"dropping-particle":"","family":"Cavanaugh","given":"Joseph","non-dropping-particle":"","parse-names":false,"suffix":""},{"dropping-particle":"","family":"Genga","given":"Kennedy","non-dropping-particle":"","parse-names":false,"suffix":""},{"dropping-particle":"","family":"Marigu","given":"Irene","non-dropping-particle":"","parse-names":false,"suffix":""},{"dropping-particle":"","family":"Laserson","given":"Kayla","non-dropping-particle":"","parse-names":false,"suffix":""},{"dropping-particle":"","family":"Ackers","given":"Marta","non-dropping-particle":"","parse-names":false,"suffix":""},{"dropping-particle":"","family":"Cain","given":"Kevin","non-dropping-particle":"","parse-names":false,"suffix":""}],"container-title":"Journal of Tropical Pediatrics","id":"ITEM-1","issue":"4","issued":{"date-parts":[["2012"]]},"page":"292-296","title":"Tuberculosis among children in Kenya: Epidemiology and impact of HIV in two provinces","type":"article-journal","volume":"58"},"uris":["http://www.mendeley.com/documents/?uuid=638bac43-5b6c-4b36-aa53-9ec79aa437df"]}],"mendeley":{"formattedCitation":"(9)","plainTextFormattedCitation":"(9)","previouslyFormattedCitation":"(25)"},"properties":{"noteIndex":0},"schema":"https://github.com/citation-style-language/schema/raw/master/csl-citation.json"}</w:instrText>
            </w:r>
            <w:r w:rsidRPr="008D250C">
              <w:rPr>
                <w:sz w:val="22"/>
              </w:rPr>
              <w:fldChar w:fldCharType="separate"/>
            </w:r>
            <w:r w:rsidRPr="008D250C">
              <w:rPr>
                <w:noProof/>
                <w:sz w:val="22"/>
              </w:rPr>
              <w:t>(9)</w:t>
            </w:r>
            <w:r w:rsidRPr="008D250C">
              <w:rPr>
                <w:sz w:val="22"/>
              </w:rPr>
              <w:fldChar w:fldCharType="end"/>
            </w:r>
          </w:p>
        </w:tc>
        <w:tc>
          <w:tcPr>
            <w:tcW w:w="37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582"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85" w:type="pct"/>
          </w:tcPr>
          <w:p w:rsidR="00192CF8" w:rsidRPr="00CF0B1A" w:rsidRDefault="00192CF8" w:rsidP="00192CF8">
            <w:pPr>
              <w:spacing w:line="240" w:lineRule="auto"/>
              <w:rPr>
                <w:sz w:val="22"/>
              </w:rPr>
            </w:pPr>
            <w:r w:rsidRPr="00CF0B1A">
              <w:rPr>
                <w:rFonts w:ascii="Segoe UI Symbol" w:hAnsi="Segoe UI Symbol" w:cs="Segoe UI Symbol"/>
                <w:sz w:val="20"/>
                <w:szCs w:val="20"/>
              </w:rPr>
              <w:t>✯</w:t>
            </w:r>
          </w:p>
        </w:tc>
        <w:tc>
          <w:tcPr>
            <w:tcW w:w="437"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730" w:type="pct"/>
            <w:gridSpan w:val="2"/>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389" w:type="pct"/>
          </w:tcPr>
          <w:p w:rsidR="00192CF8" w:rsidRPr="002A6FEE" w:rsidRDefault="00192CF8" w:rsidP="00192CF8">
            <w:pPr>
              <w:spacing w:line="240" w:lineRule="auto"/>
              <w:rPr>
                <w:sz w:val="22"/>
              </w:rPr>
            </w:pPr>
            <w:r w:rsidRPr="002A6FEE">
              <w:rPr>
                <w:sz w:val="22"/>
              </w:rPr>
              <w:t>7</w:t>
            </w:r>
            <w:r w:rsidRPr="002A6FEE">
              <w:rPr>
                <w:rFonts w:ascii="Segoe UI Symbol" w:hAnsi="Segoe UI Symbol" w:cs="Segoe UI Symbol"/>
                <w:sz w:val="20"/>
                <w:szCs w:val="20"/>
              </w:rPr>
              <w:t>✯</w:t>
            </w:r>
          </w:p>
        </w:tc>
        <w:tc>
          <w:tcPr>
            <w:tcW w:w="435" w:type="pct"/>
          </w:tcPr>
          <w:p w:rsidR="00192CF8" w:rsidRDefault="00192CF8" w:rsidP="00192CF8">
            <w:r w:rsidRPr="00F31F45">
              <w:rPr>
                <w:sz w:val="22"/>
              </w:rPr>
              <w:t>Good</w:t>
            </w:r>
          </w:p>
        </w:tc>
      </w:tr>
      <w:tr w:rsidR="00192CF8" w:rsidRPr="004A4572" w:rsidTr="00500DAA">
        <w:trPr>
          <w:trHeight w:val="288"/>
        </w:trPr>
        <w:tc>
          <w:tcPr>
            <w:tcW w:w="727" w:type="pct"/>
            <w:noWrap/>
            <w:hideMark/>
          </w:tcPr>
          <w:p w:rsidR="00192CF8" w:rsidRPr="008D250C" w:rsidRDefault="00192CF8" w:rsidP="00192CF8">
            <w:pPr>
              <w:spacing w:line="240" w:lineRule="auto"/>
              <w:rPr>
                <w:sz w:val="22"/>
              </w:rPr>
            </w:pPr>
            <w:r w:rsidRPr="008D250C">
              <w:rPr>
                <w:sz w:val="22"/>
              </w:rPr>
              <w:t xml:space="preserve">Hailu et al (2014) </w:t>
            </w:r>
            <w:r w:rsidRPr="008D250C">
              <w:rPr>
                <w:sz w:val="22"/>
              </w:rPr>
              <w:fldChar w:fldCharType="begin" w:fldLock="1"/>
            </w:r>
            <w:r w:rsidRPr="008D250C">
              <w:rPr>
                <w:sz w:val="22"/>
              </w:rPr>
              <w:instrText>ADDIN CSL_CITATION {"citationItems":[{"id":"ITEM-1","itemData":{"DOI":"10.1186/1471-2431-14-61","ISSN":"14712431","PMID":"24581267","abstract":"Background: Tuberculosis (TB) remains a significant public health problem leading to high morbidity and mortality both in adults and children. Reports on childhood TB and its treatment outcome are limited. In this retrospective study, we analyzed the epidemiology and treatment outcomes of TB among children in Addis Ababa.Methods: Children registered for TB treatment over 5 years (2007 to 2011) were included in the analysis. Demographic and clinical data including treatment outcomes were extracted from TB unit registers of 23 health centers in Addis Ababa. Multivariate logistic regression was used to identify predictors of poor treatment outcomes.Results: Among 41,254 TB patients registered for treatment at the 23 health centers, 2708 (6.6%) were children. Among children with TB, the proportions of smear positive PTB, smear negative PTB and EPTB were 9.6%, 43.0% and 47.4%, respectively. Treatment outcomes were documented for 95.2% of children of whom 85.5% were successfully treated while rates of mortality and defaulting from treatment were 3.3% and 3.8%, respectively. The proportion of children with TB tested for HIV reached 88.3% during the final year of the study period compared to only 3.9% at the beginning of the study period. Mortality was significantly higher among under-five children (p &lt; 0.001) and those with HIV co-infection (p &lt; 0.001). On multivariate logistic regression, children 5-9 years [AOR = 2.50 (95% CI 1.67-3.74)] and 10-14 years [AOR = 2.70 (95% CI 1.86-3.91)] had a significantly higher successful treatment outcomes. On the other hand, smear positive PTB [AOR = 0.44 (95% CI 0.27-0.73), HIV co-infection (AOR = 0.49(95% CI 0.30-0.80)] and unknown HIV sero-status [AOR = 0.60 (95% CI 0.42-0.86)] were predictors of poor treatment outcomes.Conclusion: The proportion of childhood TB in this study is lower than the national estimate. The overall treatment success rate has met the WHO target. Nonetheless, younger children (&lt; 5 years), children with smear positive PTB and those with HIV co-infection need special attention to reduce poor treatment outcomes among children in the study area. © 2014 Hailu et al.; licensee BioMed Central Ltd.","author":[{"dropping-particle":"","family":"Hailu","given":"Dereje","non-dropping-particle":"","parse-names":false,"suffix":""},{"dropping-particle":"","family":"Abegaz","given":"Woldaregay E.","non-dropping-particle":"","parse-names":false,"suffix":""},{"dropping-particle":"","family":"Belay","given":"Mulugeta","non-dropping-particle":"","parse-names":false,"suffix":""}],"container-title":"BMC Pediatrics","id":"ITEM-1","issue":"1","issued":{"date-parts":[["2014"]]},"page":"1-7","publisher":"BMC Pediatrics","title":"Childhood tuberculosis and its treatment outcomes in Addis Ababa: A 5-years retrospective study","type":"article-journal","volume":"14"},"uris":["http://www.mendeley.com/documents/?uuid=8bf956fb-33c6-42cb-8149-82ec02c4574c"]}],"mendeley":{"formattedCitation":"(11)","plainTextFormattedCitation":"(11)","previouslyFormattedCitation":"(27)"},"properties":{"noteIndex":0},"schema":"https://github.com/citation-style-language/schema/raw/master/csl-citation.json"}</w:instrText>
            </w:r>
            <w:r w:rsidRPr="008D250C">
              <w:rPr>
                <w:sz w:val="22"/>
              </w:rPr>
              <w:fldChar w:fldCharType="separate"/>
            </w:r>
            <w:r w:rsidRPr="008D250C">
              <w:rPr>
                <w:noProof/>
                <w:sz w:val="22"/>
              </w:rPr>
              <w:t>(11)</w:t>
            </w:r>
            <w:r w:rsidRPr="008D250C">
              <w:rPr>
                <w:sz w:val="22"/>
              </w:rPr>
              <w:fldChar w:fldCharType="end"/>
            </w:r>
          </w:p>
        </w:tc>
        <w:tc>
          <w:tcPr>
            <w:tcW w:w="37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582"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85" w:type="pct"/>
          </w:tcPr>
          <w:p w:rsidR="00192CF8" w:rsidRPr="00CF0B1A" w:rsidRDefault="00192CF8" w:rsidP="00192CF8">
            <w:pPr>
              <w:spacing w:line="240" w:lineRule="auto"/>
              <w:rPr>
                <w:sz w:val="22"/>
              </w:rPr>
            </w:pPr>
            <w:r w:rsidRPr="00CF0B1A">
              <w:rPr>
                <w:rFonts w:ascii="Segoe UI Symbol" w:hAnsi="Segoe UI Symbol" w:cs="Segoe UI Symbol"/>
                <w:sz w:val="20"/>
                <w:szCs w:val="20"/>
              </w:rPr>
              <w:t>✯</w:t>
            </w:r>
          </w:p>
        </w:tc>
        <w:tc>
          <w:tcPr>
            <w:tcW w:w="437"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730" w:type="pct"/>
            <w:gridSpan w:val="2"/>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389" w:type="pct"/>
          </w:tcPr>
          <w:p w:rsidR="00192CF8" w:rsidRPr="002A6FEE" w:rsidRDefault="00192CF8" w:rsidP="00192CF8">
            <w:pPr>
              <w:spacing w:line="240" w:lineRule="auto"/>
              <w:rPr>
                <w:sz w:val="22"/>
              </w:rPr>
            </w:pPr>
            <w:r w:rsidRPr="002A6FEE">
              <w:rPr>
                <w:sz w:val="22"/>
              </w:rPr>
              <w:t>7</w:t>
            </w:r>
            <w:r w:rsidRPr="002A6FEE">
              <w:rPr>
                <w:rFonts w:ascii="Segoe UI Symbol" w:hAnsi="Segoe UI Symbol" w:cs="Segoe UI Symbol"/>
                <w:sz w:val="20"/>
                <w:szCs w:val="20"/>
              </w:rPr>
              <w:t>✯</w:t>
            </w:r>
          </w:p>
        </w:tc>
        <w:tc>
          <w:tcPr>
            <w:tcW w:w="435" w:type="pct"/>
          </w:tcPr>
          <w:p w:rsidR="00192CF8" w:rsidRDefault="00192CF8" w:rsidP="00192CF8">
            <w:r w:rsidRPr="00F31F45">
              <w:rPr>
                <w:sz w:val="22"/>
              </w:rPr>
              <w:t>Good</w:t>
            </w:r>
          </w:p>
        </w:tc>
      </w:tr>
      <w:tr w:rsidR="00192CF8" w:rsidRPr="004A4572" w:rsidTr="00500DAA">
        <w:trPr>
          <w:trHeight w:val="288"/>
        </w:trPr>
        <w:tc>
          <w:tcPr>
            <w:tcW w:w="727" w:type="pct"/>
            <w:noWrap/>
            <w:hideMark/>
          </w:tcPr>
          <w:p w:rsidR="00192CF8" w:rsidRPr="008D250C" w:rsidRDefault="00192CF8" w:rsidP="00192CF8">
            <w:pPr>
              <w:spacing w:line="240" w:lineRule="auto"/>
              <w:rPr>
                <w:sz w:val="22"/>
              </w:rPr>
            </w:pPr>
            <w:r w:rsidRPr="008D250C">
              <w:rPr>
                <w:sz w:val="22"/>
              </w:rPr>
              <w:t xml:space="preserve">Adejumo et al (2016) </w:t>
            </w:r>
            <w:r w:rsidRPr="008D250C">
              <w:rPr>
                <w:sz w:val="22"/>
              </w:rPr>
              <w:fldChar w:fldCharType="begin" w:fldLock="1"/>
            </w:r>
            <w:r w:rsidRPr="008D250C">
              <w:rPr>
                <w:sz w:val="22"/>
              </w:rPr>
              <w:instrText>ADDIN CSL_CITATION {"citationItems":[{"id":"ITEM-1","itemData":{"DOI":"10.1093/tropej/fmv089","ISSN":"14653664","PMID":"26705331","abstract":"Background: Treatment outcomes of tuberculosis (TB) in children are rarely evaluated by most national TB programmes in sub-Saharan Africa. This study evaluated the treatment outcomes of children treated for TB in Lagos State, Nigeria. Methods: A retrospective review of programme data of the Lagos state TB and the Leprosy control programme in Nigeria from 1 January 2012 to 31 December 2012. Treatment outcomes were categorized according to the national TB guidelines. Results: A total of 535 cases of childhood TB were notified in 2012, representing 6.3% of the total TB cases notified in Lagos state in 2012. The prevalence of TB/HIV co-infection was 29%. The treatment success rate was 79.2% in TB/HIV-negative children compared with 73.4% in TB/HIVpositive children (p = 0.1268). Children &lt;1 year had the worst treatment outcomes (p&lt;0.001). Conclusion: There is a need to intensify effort at improving notification and treatment outcomes in children.","author":[{"dropping-particle":"","family":"Adejumo","given":"Olusola Adedeji","non-dropping-particle":"","parse-names":false,"suffix":""},{"dropping-particle":"","family":"Daniel","given":"Olusoji James","non-dropping-particle":"","parse-names":false,"suffix":""},{"dropping-particle":"","family":"Adebayo","given":"Bisola Ibironke","non-dropping-particle":"","parse-names":false,"suffix":""},{"dropping-particle":"","family":"Adejumo","given":"Esther Ngozi","non-dropping-particle":"","parse-names":false,"suffix":""},{"dropping-particle":"","family":"Jaiyesimi","given":"Ebunoluwa Olasumbo","non-dropping-particle":"","parse-names":false,"suffix":""},{"dropping-particle":"","family":"Akang","given":"Gabriel","non-dropping-particle":"","parse-names":false,"suffix":""},{"dropping-particle":"","family":"Awe","given":"Ayodele","non-dropping-particle":"","parse-names":false,"suffix":""}],"container-title":"Journal of Tropical Pediatrics","id":"ITEM-1","issue":"2","issued":{"date-parts":[["2016"]]},"page":"131-138","title":"Treatment outcomes of childhood TB in lagos, Nigeria","type":"article-journal","volume":"62"},"uris":["http://www.mendeley.com/documents/?uuid=1dddd0da-8f7b-4fa1-918e-505017f981f9"]}],"mendeley":{"formattedCitation":"(15)","plainTextFormattedCitation":"(15)","previouslyFormattedCitation":"(3)"},"properties":{"noteIndex":0},"schema":"https://github.com/citation-style-language/schema/raw/master/csl-citation.json"}</w:instrText>
            </w:r>
            <w:r w:rsidRPr="008D250C">
              <w:rPr>
                <w:sz w:val="22"/>
              </w:rPr>
              <w:fldChar w:fldCharType="separate"/>
            </w:r>
            <w:r w:rsidRPr="008D250C">
              <w:rPr>
                <w:noProof/>
                <w:sz w:val="22"/>
              </w:rPr>
              <w:t>(15)</w:t>
            </w:r>
            <w:r w:rsidRPr="008D250C">
              <w:rPr>
                <w:sz w:val="22"/>
              </w:rPr>
              <w:fldChar w:fldCharType="end"/>
            </w:r>
          </w:p>
        </w:tc>
        <w:tc>
          <w:tcPr>
            <w:tcW w:w="37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582"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85" w:type="pct"/>
          </w:tcPr>
          <w:p w:rsidR="00192CF8" w:rsidRPr="00CF0B1A" w:rsidRDefault="00192CF8" w:rsidP="00192CF8">
            <w:pPr>
              <w:spacing w:line="240" w:lineRule="auto"/>
              <w:rPr>
                <w:sz w:val="22"/>
              </w:rPr>
            </w:pPr>
            <w:r w:rsidRPr="00CF0B1A">
              <w:rPr>
                <w:sz w:val="22"/>
              </w:rPr>
              <w:t>-</w:t>
            </w:r>
          </w:p>
        </w:tc>
        <w:tc>
          <w:tcPr>
            <w:tcW w:w="437"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730" w:type="pct"/>
            <w:gridSpan w:val="2"/>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389" w:type="pct"/>
          </w:tcPr>
          <w:p w:rsidR="00192CF8" w:rsidRPr="002A6FEE" w:rsidRDefault="00192CF8" w:rsidP="00192CF8">
            <w:pPr>
              <w:spacing w:line="240" w:lineRule="auto"/>
              <w:rPr>
                <w:sz w:val="22"/>
              </w:rPr>
            </w:pPr>
            <w:r>
              <w:rPr>
                <w:sz w:val="22"/>
              </w:rPr>
              <w:t>7</w:t>
            </w:r>
            <w:r w:rsidRPr="009102D5">
              <w:rPr>
                <w:rFonts w:ascii="Segoe UI Symbol" w:hAnsi="Segoe UI Symbol" w:cs="Segoe UI Symbol"/>
                <w:sz w:val="20"/>
                <w:szCs w:val="20"/>
              </w:rPr>
              <w:t>✯</w:t>
            </w:r>
          </w:p>
        </w:tc>
        <w:tc>
          <w:tcPr>
            <w:tcW w:w="435" w:type="pct"/>
          </w:tcPr>
          <w:p w:rsidR="00192CF8" w:rsidRDefault="00192CF8" w:rsidP="00192CF8">
            <w:r w:rsidRPr="00F31F45">
              <w:rPr>
                <w:sz w:val="22"/>
              </w:rPr>
              <w:t>Good</w:t>
            </w:r>
          </w:p>
        </w:tc>
      </w:tr>
      <w:tr w:rsidR="00192CF8" w:rsidRPr="004A4572" w:rsidTr="00500DAA">
        <w:trPr>
          <w:trHeight w:val="288"/>
        </w:trPr>
        <w:tc>
          <w:tcPr>
            <w:tcW w:w="727" w:type="pct"/>
            <w:noWrap/>
            <w:hideMark/>
          </w:tcPr>
          <w:p w:rsidR="00192CF8" w:rsidRPr="008D250C" w:rsidRDefault="00192CF8" w:rsidP="00192CF8">
            <w:pPr>
              <w:spacing w:line="240" w:lineRule="auto"/>
              <w:rPr>
                <w:sz w:val="22"/>
              </w:rPr>
            </w:pPr>
            <w:proofErr w:type="spellStart"/>
            <w:r w:rsidRPr="008D250C">
              <w:rPr>
                <w:sz w:val="22"/>
              </w:rPr>
              <w:t>Bafwafwa</w:t>
            </w:r>
            <w:proofErr w:type="spellEnd"/>
            <w:r w:rsidRPr="008D250C">
              <w:rPr>
                <w:sz w:val="22"/>
              </w:rPr>
              <w:t xml:space="preserve"> et al (2017) </w:t>
            </w:r>
            <w:r w:rsidRPr="008D250C">
              <w:rPr>
                <w:sz w:val="22"/>
              </w:rPr>
              <w:fldChar w:fldCharType="begin" w:fldLock="1"/>
            </w:r>
            <w:r w:rsidRPr="008D250C">
              <w:rPr>
                <w:sz w:val="22"/>
              </w:rPr>
              <w:instrText>ADDIN CSL_CITATION {"citationItems":[{"id":"ITEM-1","itemData":{"DOI":"10.15406/jlprr.2017.04.00151","ISSN":"23760060","abstract":"Introduction: Childhood tuberculosis remains poorly understood and presents diagnostic and therapeutic challenges. The objective of this study was to describe the epidemiological, diagnostic and therapeutic aspects of childhood pulmonary tuberculosis in Lubumbashi in the DRC and to identify risk factors for mortality. Methods: This is a retrospective analytical study of the medical records of children (under 15 years of age) followed for pulmonary tuberculosis at the 22 centers’ tuberculosis Diagnostic and Treatment during the period 1 January 2013 to 31 December 2015 in Lubumbashi. Results: 717 cases of pulmonary TB had been recorded during the study period. 377 were males and 340 were females. The mean age was 8.3 years (range: 6 months-14 years). The evolution was known for 674 children of whom 157 died (mortality rate 23.3%). In multivariate analysis, age ≤5 years (aOR=7.03 [4.36-11.35]), emaciation (aOR=2.95 [1.82-4.78]), HIV seropositivity (aOR=5.25 [3.20-8.62]), negativity by direct microscopy (aOR=2.04 [1.13-3.68]) and leukocytes ≥12000/mm3 (aOR=1.99 [1.28-3.09]) are independent predictors of mortality. Conclusion: TB is still a very severe disease with high mortality rates in children. Early recognition of infection associated with correct early treatment, systematic entourage investigation and chemoprophylaxis by isoniazide in all children under 5 years of age is essential for attempting to reduce these prognostic indices.","author":[{"dropping-particle":"","family":"DN","given":"Bafwafwa","non-dropping-particle":"","parse-names":false,"suffix":""},{"dropping-particle":"","family":"O","given":"Mukuku","non-dropping-particle":"","parse-names":false,"suffix":""},{"dropping-particle":"","family":"RM","given":"Lukamba","non-dropping-particle":"","parse-names":false,"suffix":""},{"dropping-particle":"","family":"EM","given":"Tshikamba","non-dropping-particle":"","parse-names":false,"suffix":""},{"dropping-particle":"","family":"GW","given":"Kanteng","non-dropping-particle":"","parse-names":false,"suffix":""}],"container-title":"Journal of Lung, Pulmonary &amp; Respiratory Research","id":"ITEM-1","issue":"6","issued":{"date-parts":[["2017","12","22"]]},"title":"Risk Factors Affecting Mortality in Children with Pulmonary Tuberculosis in Lubumbashi, Democratic Republic of the Congo","type":"article-journal","volume":"4"},"uris":["http://www.mendeley.com/documents/?uuid=e8bb7551-86e1-4c99-8647-4a0387da1b8b"]}],"mendeley":{"formattedCitation":"(20)","plainTextFormattedCitation":"(20)","previouslyFormattedCitation":"(8)"},"properties":{"noteIndex":0},"schema":"https://github.com/citation-style-language/schema/raw/master/csl-citation.json"}</w:instrText>
            </w:r>
            <w:r w:rsidRPr="008D250C">
              <w:rPr>
                <w:sz w:val="22"/>
              </w:rPr>
              <w:fldChar w:fldCharType="separate"/>
            </w:r>
            <w:r w:rsidRPr="008D250C">
              <w:rPr>
                <w:noProof/>
                <w:sz w:val="22"/>
              </w:rPr>
              <w:t>(20)</w:t>
            </w:r>
            <w:r w:rsidRPr="008D250C">
              <w:rPr>
                <w:sz w:val="22"/>
              </w:rPr>
              <w:fldChar w:fldCharType="end"/>
            </w:r>
          </w:p>
        </w:tc>
        <w:tc>
          <w:tcPr>
            <w:tcW w:w="37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582"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85" w:type="pct"/>
          </w:tcPr>
          <w:p w:rsidR="00192CF8" w:rsidRPr="00CF0B1A" w:rsidRDefault="00192CF8" w:rsidP="00192CF8">
            <w:pPr>
              <w:spacing w:line="240" w:lineRule="auto"/>
              <w:rPr>
                <w:sz w:val="22"/>
              </w:rPr>
            </w:pPr>
            <w:r w:rsidRPr="009102D5">
              <w:rPr>
                <w:rFonts w:ascii="Segoe UI Symbol" w:hAnsi="Segoe UI Symbol" w:cs="Segoe UI Symbol"/>
                <w:sz w:val="20"/>
                <w:szCs w:val="20"/>
              </w:rPr>
              <w:t>✯</w:t>
            </w:r>
          </w:p>
        </w:tc>
        <w:tc>
          <w:tcPr>
            <w:tcW w:w="437"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730" w:type="pct"/>
            <w:gridSpan w:val="2"/>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389" w:type="pct"/>
          </w:tcPr>
          <w:p w:rsidR="00192CF8" w:rsidRPr="002A6FEE" w:rsidRDefault="00192CF8" w:rsidP="00192CF8">
            <w:pPr>
              <w:spacing w:line="240" w:lineRule="auto"/>
              <w:rPr>
                <w:sz w:val="22"/>
              </w:rPr>
            </w:pPr>
            <w:r>
              <w:rPr>
                <w:sz w:val="22"/>
              </w:rPr>
              <w:t>9</w:t>
            </w:r>
            <w:r w:rsidRPr="009102D5">
              <w:rPr>
                <w:rFonts w:ascii="Segoe UI Symbol" w:hAnsi="Segoe UI Symbol" w:cs="Segoe UI Symbol"/>
                <w:sz w:val="20"/>
                <w:szCs w:val="20"/>
              </w:rPr>
              <w:t>✯</w:t>
            </w:r>
          </w:p>
        </w:tc>
        <w:tc>
          <w:tcPr>
            <w:tcW w:w="435" w:type="pct"/>
          </w:tcPr>
          <w:p w:rsidR="00192CF8" w:rsidRDefault="00192CF8" w:rsidP="00192CF8">
            <w:r w:rsidRPr="00F31F45">
              <w:rPr>
                <w:sz w:val="22"/>
              </w:rPr>
              <w:t>Good</w:t>
            </w:r>
          </w:p>
        </w:tc>
      </w:tr>
      <w:tr w:rsidR="00192CF8" w:rsidRPr="004A4572" w:rsidTr="00500DAA">
        <w:trPr>
          <w:trHeight w:val="288"/>
        </w:trPr>
        <w:tc>
          <w:tcPr>
            <w:tcW w:w="727" w:type="pct"/>
            <w:noWrap/>
            <w:hideMark/>
          </w:tcPr>
          <w:p w:rsidR="00192CF8" w:rsidRPr="008D250C" w:rsidRDefault="00192CF8" w:rsidP="00192CF8">
            <w:pPr>
              <w:spacing w:line="240" w:lineRule="auto"/>
              <w:rPr>
                <w:sz w:val="22"/>
              </w:rPr>
            </w:pPr>
            <w:proofErr w:type="spellStart"/>
            <w:r w:rsidRPr="008D250C">
              <w:rPr>
                <w:sz w:val="22"/>
              </w:rPr>
              <w:t>Mukuku</w:t>
            </w:r>
            <w:proofErr w:type="spellEnd"/>
            <w:r w:rsidRPr="008D250C">
              <w:rPr>
                <w:sz w:val="22"/>
              </w:rPr>
              <w:t xml:space="preserve"> et al (2019) </w:t>
            </w:r>
            <w:r w:rsidRPr="008D250C">
              <w:rPr>
                <w:sz w:val="22"/>
              </w:rPr>
              <w:fldChar w:fldCharType="begin" w:fldLock="1"/>
            </w:r>
            <w:r w:rsidRPr="008D250C">
              <w:rPr>
                <w:sz w:val="22"/>
              </w:rPr>
              <w:instrText>ADDIN CSL_CITATION {"citationItems":[{"id":"ITEM-1","itemData":{"DOI":"10.11604/pamj.2019.33.326.18911","ISSN":"19378688","PMID":"31692828","abstract":"Introduction: Human immunodeficiency virus (HIV) and tuberculosis (TB) are the leading causes of death from infectious disease worldwide. The prevalence of HIV among children with TB in moderate to high prevalence countries ranges between 10% and 60%. This study aimed to determine the prevalence of HIV infection among children treated for TB in Directly Observed Treatment Short-Course (DOTS) clinics in Lubumbashi and to identify risk of death during this co-infection. Methods: this is a cross-sectional study of children under-15, treated for tuberculosis from January 1, 2013 to December 31, 2015. Clinical, paraclinical and outcome data were collected in 22 DOTS of Lubumbashi. A statistical comparison was made between dead and survived HIV-infected TB children. We performed the multivariate analyzes and the significance level set at p-value &lt;0.05. Results: a total of 840 children with TB were included. The prevalence of HIV infection was 20.95% (95% CI: 18.34-23.83%). The mortality rate was higher for HIV-infected children (47.73%) compared to HIV-uninfected children (17.02%) (p&lt;0.00001). Age &lt;5 years (aOR=6.50 [1.96-21.50]), a poor nutritional status (aOR=23.55 [8.20-67.64]), and a negative acid-fast bacilli testing (aOR=4.51 [1.08-18.70]) were associated with death during anti-TB treatment. Conclusion: TB and HIV co-infection is a reality in pediatric settings in Lubumbashi. High mortality highlights the importance of early management.","author":[{"dropping-particle":"","family":"Mukuku","given":"Olivier","non-dropping-particle":"","parse-names":false,"suffix":""},{"dropping-particle":"","family":"Mutombo","given":"Augustin Mulangu","non-dropping-particle":"","parse-names":false,"suffix":""},{"dropping-particle":"","family":"Kakisingi","given":"Christian Ngama","non-dropping-particle":"","parse-names":false,"suffix":""},{"dropping-particle":"","family":"Musung","given":"Jacques Mbaz","non-dropping-particle":"","parse-names":false,"suffix":""},{"dropping-particle":"","family":"Wembonyama","given":"Stanislas Okitotsho","non-dropping-particle":"","parse-names":false,"suffix":""},{"dropping-particle":"","family":"Luboya","given":"Oscar Numbi","non-dropping-particle":"","parse-names":false,"suffix":""}],"container-title":"Pan African Medical Journal","id":"ITEM-1","issued":{"date-parts":[["2019"]]},"page":"1-9","title":"Tuberculosis and hiv co-infection in congolese children: Risk factors of death","type":"article-journal","volume":"33"},"uris":["http://www.mendeley.com/documents/?uuid=2efd4646-39ca-48fe-ba75-2ebec868726d"]}],"mendeley":{"formattedCitation":"(27)","plainTextFormattedCitation":"(27)","previouslyFormattedCitation":"(16)"},"properties":{"noteIndex":0},"schema":"https://github.com/citation-style-language/schema/raw/master/csl-citation.json"}</w:instrText>
            </w:r>
            <w:r w:rsidRPr="008D250C">
              <w:rPr>
                <w:sz w:val="22"/>
              </w:rPr>
              <w:fldChar w:fldCharType="separate"/>
            </w:r>
            <w:r w:rsidRPr="008D250C">
              <w:rPr>
                <w:noProof/>
                <w:sz w:val="22"/>
              </w:rPr>
              <w:t>(27)</w:t>
            </w:r>
            <w:r w:rsidRPr="008D250C">
              <w:rPr>
                <w:sz w:val="22"/>
              </w:rPr>
              <w:fldChar w:fldCharType="end"/>
            </w:r>
          </w:p>
        </w:tc>
        <w:tc>
          <w:tcPr>
            <w:tcW w:w="37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582"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85" w:type="pct"/>
          </w:tcPr>
          <w:p w:rsidR="00192CF8" w:rsidRPr="00CF0B1A" w:rsidRDefault="00192CF8" w:rsidP="00192CF8">
            <w:pPr>
              <w:spacing w:line="240" w:lineRule="auto"/>
              <w:rPr>
                <w:sz w:val="22"/>
              </w:rPr>
            </w:pPr>
            <w:r w:rsidRPr="009102D5">
              <w:rPr>
                <w:rFonts w:ascii="Segoe UI Symbol" w:hAnsi="Segoe UI Symbol" w:cs="Segoe UI Symbol"/>
                <w:sz w:val="20"/>
                <w:szCs w:val="20"/>
              </w:rPr>
              <w:t>✯</w:t>
            </w:r>
          </w:p>
        </w:tc>
        <w:tc>
          <w:tcPr>
            <w:tcW w:w="437"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730" w:type="pct"/>
            <w:gridSpan w:val="2"/>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389" w:type="pct"/>
          </w:tcPr>
          <w:p w:rsidR="00192CF8" w:rsidRPr="002A6FEE" w:rsidRDefault="00192CF8" w:rsidP="00192CF8">
            <w:pPr>
              <w:spacing w:line="240" w:lineRule="auto"/>
              <w:rPr>
                <w:sz w:val="22"/>
              </w:rPr>
            </w:pPr>
            <w:r>
              <w:rPr>
                <w:sz w:val="22"/>
              </w:rPr>
              <w:t>9</w:t>
            </w:r>
            <w:r w:rsidRPr="009102D5">
              <w:rPr>
                <w:rFonts w:ascii="Segoe UI Symbol" w:hAnsi="Segoe UI Symbol" w:cs="Segoe UI Symbol"/>
                <w:sz w:val="20"/>
                <w:szCs w:val="20"/>
              </w:rPr>
              <w:t>✯</w:t>
            </w:r>
          </w:p>
        </w:tc>
        <w:tc>
          <w:tcPr>
            <w:tcW w:w="435" w:type="pct"/>
          </w:tcPr>
          <w:p w:rsidR="00192CF8" w:rsidRDefault="00192CF8" w:rsidP="00192CF8">
            <w:r w:rsidRPr="00F31F45">
              <w:rPr>
                <w:sz w:val="22"/>
              </w:rPr>
              <w:t>Good</w:t>
            </w:r>
          </w:p>
        </w:tc>
      </w:tr>
      <w:tr w:rsidR="00192CF8" w:rsidRPr="004A4572" w:rsidTr="00500DAA">
        <w:trPr>
          <w:trHeight w:val="288"/>
        </w:trPr>
        <w:tc>
          <w:tcPr>
            <w:tcW w:w="727" w:type="pct"/>
            <w:noWrap/>
            <w:hideMark/>
          </w:tcPr>
          <w:p w:rsidR="00192CF8" w:rsidRPr="008D250C" w:rsidRDefault="00192CF8" w:rsidP="00192CF8">
            <w:pPr>
              <w:spacing w:line="240" w:lineRule="auto"/>
              <w:rPr>
                <w:sz w:val="22"/>
              </w:rPr>
            </w:pPr>
            <w:r w:rsidRPr="008D250C">
              <w:rPr>
                <w:sz w:val="22"/>
              </w:rPr>
              <w:t xml:space="preserve">Ohene et al (2019) </w:t>
            </w:r>
            <w:r w:rsidRPr="008D250C">
              <w:rPr>
                <w:sz w:val="22"/>
              </w:rPr>
              <w:fldChar w:fldCharType="begin" w:fldLock="1"/>
            </w:r>
            <w:r w:rsidRPr="008D250C">
              <w:rPr>
                <w:sz w:val="22"/>
              </w:rPr>
              <w:instrText>ADDIN CSL_CITATION {"citationItems":[{"id":"ITEM-1","itemData":{"DOI":"10.1186/s12879-019-4392-6","ISSN":"14712334","PMID":"31455234","abstract":"Background: Tuberculosis (TB) is a leading cause of death in children and adults. Unlike for adults, there is paucity of data on childhood TB in several countries in Africa. The study objective was to assess the characteristics and treatment outcomes of children with TB from multiple health facilities in Accra, Ghana. Methods: A retrospective analyses was conducted using secondary data on children less than 15 years collected from 11 facilities during a TB case finding initiative in Accra from June 2010 to December 2013. Demographic and clinical characteristics as well as treatment outcomes were assessed. Multivariable logistic regression was conducted to assess predictors of mortality. Results: Out of the total 3704 TB cases reported, 5.9% (219) consisted of children with a female: male ratio of 1:1.1. Children less than 5 years made up 56.2% of the patients while 44.2% were HIV positive. The distribution of TB type were as follows: smear positive pulmonary TB (SPPTB), 46.5%, clinically diagnosed pulmonary TB 36.4%.%, extra-pulmonary TB 17.4%. Among the 214 children (97.7%) for whom treatment outcome was documented, 194 (90.7%) were successfully treated consisting of 81.3% who completed treatment and 9.4% who were cured. Eighteen children (8.4%) died. Mortality was significantly higher among the 1-4 year group (p &lt; 0.001), those with SPPTB (p &lt; 0.001) and HIV positive children (p &lt; 0.001). In logistic regression, SPPTB and HIV positivity were predictors of mortality. Conclusion: The proportion of children in Accra successfully treated for TB met the target of END TB Strategy treatment success indicator. HIV positivity was a risk factor for death. Reducing mortality in TB-HIV co-infected children will further improve treatment outcomes of children with TB in Accra.","author":[{"dropping-particle":"","family":"Ohene","given":"Sally Ann","non-dropping-particle":"","parse-names":false,"suffix":""},{"dropping-particle":"","family":"Fordah","given":"Sarah","non-dropping-particle":"","parse-names":false,"suffix":""},{"dropping-particle":"","family":"Boni","given":"Prince","non-dropping-particle":"Dela","parse-names":false,"suffix":""}],"container-title":"BMC Infectious Diseases","id":"ITEM-1","issue":"1","issued":{"date-parts":[["2019"]]},"page":"1-9","publisher":"BMC Infectious Diseases","title":"Childhood tuberculosis and treatment outcomes in Accra: A retrospective analysis","type":"article-journal","volume":"19"},"uris":["http://www.mendeley.com/documents/?uuid=3d8205b8-5477-440a-886f-49551c7cd5f0"]}],"mendeley":{"formattedCitation":"(25)","plainTextFormattedCitation":"(25)","previouslyFormattedCitation":"(14)"},"properties":{"noteIndex":0},"schema":"https://github.com/citation-style-language/schema/raw/master/csl-citation.json"}</w:instrText>
            </w:r>
            <w:r w:rsidRPr="008D250C">
              <w:rPr>
                <w:sz w:val="22"/>
              </w:rPr>
              <w:fldChar w:fldCharType="separate"/>
            </w:r>
            <w:r w:rsidRPr="008D250C">
              <w:rPr>
                <w:noProof/>
                <w:sz w:val="22"/>
              </w:rPr>
              <w:t>(25)</w:t>
            </w:r>
            <w:r w:rsidRPr="008D250C">
              <w:rPr>
                <w:sz w:val="22"/>
              </w:rPr>
              <w:fldChar w:fldCharType="end"/>
            </w:r>
          </w:p>
        </w:tc>
        <w:tc>
          <w:tcPr>
            <w:tcW w:w="37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04"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37" w:type="pct"/>
            <w:noWrap/>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582"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485" w:type="pct"/>
          </w:tcPr>
          <w:p w:rsidR="00192CF8" w:rsidRPr="00CF0B1A" w:rsidRDefault="00192CF8" w:rsidP="00192CF8">
            <w:pPr>
              <w:spacing w:line="240" w:lineRule="auto"/>
              <w:rPr>
                <w:sz w:val="22"/>
              </w:rPr>
            </w:pPr>
            <w:r w:rsidRPr="009102D5">
              <w:rPr>
                <w:rFonts w:ascii="Segoe UI Symbol" w:hAnsi="Segoe UI Symbol" w:cs="Segoe UI Symbol"/>
                <w:sz w:val="20"/>
                <w:szCs w:val="20"/>
              </w:rPr>
              <w:t>✯</w:t>
            </w:r>
          </w:p>
        </w:tc>
        <w:tc>
          <w:tcPr>
            <w:tcW w:w="437" w:type="pct"/>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730" w:type="pct"/>
            <w:gridSpan w:val="2"/>
          </w:tcPr>
          <w:p w:rsidR="00192CF8" w:rsidRPr="00BA10F5" w:rsidRDefault="00192CF8" w:rsidP="00192CF8">
            <w:pPr>
              <w:spacing w:line="240" w:lineRule="auto"/>
              <w:rPr>
                <w:sz w:val="22"/>
                <w:highlight w:val="green"/>
              </w:rPr>
            </w:pPr>
            <w:r w:rsidRPr="009102D5">
              <w:rPr>
                <w:rFonts w:ascii="Segoe UI Symbol" w:hAnsi="Segoe UI Symbol" w:cs="Segoe UI Symbol"/>
                <w:sz w:val="20"/>
                <w:szCs w:val="20"/>
              </w:rPr>
              <w:t>✯</w:t>
            </w:r>
          </w:p>
        </w:tc>
        <w:tc>
          <w:tcPr>
            <w:tcW w:w="389" w:type="pct"/>
          </w:tcPr>
          <w:p w:rsidR="00192CF8" w:rsidRPr="002A6FEE" w:rsidRDefault="00192CF8" w:rsidP="00192CF8">
            <w:pPr>
              <w:spacing w:line="240" w:lineRule="auto"/>
              <w:rPr>
                <w:sz w:val="22"/>
              </w:rPr>
            </w:pPr>
            <w:r>
              <w:rPr>
                <w:sz w:val="22"/>
              </w:rPr>
              <w:t>9</w:t>
            </w:r>
            <w:r w:rsidRPr="009102D5">
              <w:rPr>
                <w:rFonts w:ascii="Segoe UI Symbol" w:hAnsi="Segoe UI Symbol" w:cs="Segoe UI Symbol"/>
                <w:sz w:val="20"/>
                <w:szCs w:val="20"/>
              </w:rPr>
              <w:t>✯</w:t>
            </w:r>
          </w:p>
        </w:tc>
        <w:tc>
          <w:tcPr>
            <w:tcW w:w="435" w:type="pct"/>
          </w:tcPr>
          <w:p w:rsidR="00192CF8" w:rsidRDefault="00192CF8" w:rsidP="00192CF8">
            <w:r w:rsidRPr="00F31F45">
              <w:rPr>
                <w:sz w:val="22"/>
              </w:rPr>
              <w:t>Good</w:t>
            </w:r>
          </w:p>
        </w:tc>
      </w:tr>
      <w:tr w:rsidR="00C03F42" w:rsidRPr="004A4572" w:rsidTr="002B5E97">
        <w:trPr>
          <w:trHeight w:val="288"/>
        </w:trPr>
        <w:tc>
          <w:tcPr>
            <w:tcW w:w="727" w:type="pct"/>
            <w:shd w:val="clear" w:color="auto" w:fill="C5D3FF"/>
            <w:noWrap/>
          </w:tcPr>
          <w:p w:rsidR="00C03F42" w:rsidRPr="009F674B" w:rsidRDefault="00C03F42" w:rsidP="00C03F42">
            <w:pPr>
              <w:spacing w:line="240" w:lineRule="auto"/>
              <w:rPr>
                <w:sz w:val="20"/>
                <w:szCs w:val="20"/>
              </w:rPr>
            </w:pPr>
            <w:r w:rsidRPr="009F674B">
              <w:rPr>
                <w:sz w:val="20"/>
                <w:szCs w:val="20"/>
              </w:rPr>
              <w:t>Cohort studies</w:t>
            </w:r>
          </w:p>
        </w:tc>
        <w:tc>
          <w:tcPr>
            <w:tcW w:w="1797" w:type="pct"/>
            <w:gridSpan w:val="4"/>
            <w:shd w:val="clear" w:color="auto" w:fill="C5D3FF"/>
            <w:noWrap/>
          </w:tcPr>
          <w:p w:rsidR="00C03F42" w:rsidRPr="009F674B" w:rsidRDefault="00C03F42" w:rsidP="00C03F42">
            <w:pPr>
              <w:spacing w:line="240" w:lineRule="auto"/>
              <w:jc w:val="center"/>
              <w:rPr>
                <w:sz w:val="20"/>
                <w:szCs w:val="20"/>
              </w:rPr>
            </w:pPr>
            <w:r w:rsidRPr="009F674B">
              <w:rPr>
                <w:sz w:val="20"/>
                <w:szCs w:val="20"/>
              </w:rPr>
              <w:t xml:space="preserve">Selection (maximum 4 </w:t>
            </w:r>
            <w:r w:rsidRPr="009F674B">
              <w:rPr>
                <w:rFonts w:ascii="Segoe UI Symbol" w:hAnsi="Segoe UI Symbol" w:cs="Segoe UI Symbol"/>
                <w:sz w:val="20"/>
                <w:szCs w:val="20"/>
              </w:rPr>
              <w:t>✯</w:t>
            </w:r>
            <w:r w:rsidRPr="009F674B">
              <w:rPr>
                <w:sz w:val="20"/>
                <w:szCs w:val="20"/>
              </w:rPr>
              <w:t>)</w:t>
            </w:r>
          </w:p>
        </w:tc>
        <w:tc>
          <w:tcPr>
            <w:tcW w:w="485" w:type="pct"/>
            <w:vMerge w:val="restart"/>
            <w:shd w:val="clear" w:color="auto" w:fill="C5D3FF"/>
          </w:tcPr>
          <w:p w:rsidR="00C03F42" w:rsidRPr="009F674B" w:rsidRDefault="00C03F42" w:rsidP="00C03F42">
            <w:pPr>
              <w:spacing w:line="240" w:lineRule="auto"/>
              <w:rPr>
                <w:sz w:val="20"/>
                <w:szCs w:val="20"/>
              </w:rPr>
            </w:pPr>
            <w:r w:rsidRPr="009F674B">
              <w:rPr>
                <w:sz w:val="20"/>
                <w:szCs w:val="20"/>
              </w:rPr>
              <w:t>Comparability</w:t>
            </w:r>
          </w:p>
          <w:p w:rsidR="00C03F42" w:rsidRPr="009F674B" w:rsidRDefault="00C03F42" w:rsidP="00C03F42">
            <w:pPr>
              <w:spacing w:line="240" w:lineRule="auto"/>
              <w:rPr>
                <w:sz w:val="20"/>
                <w:szCs w:val="20"/>
              </w:rPr>
            </w:pPr>
            <w:r w:rsidRPr="009F674B">
              <w:rPr>
                <w:sz w:val="20"/>
                <w:szCs w:val="20"/>
              </w:rPr>
              <w:t>(maximum 2</w:t>
            </w:r>
            <w:r w:rsidRPr="009F674B">
              <w:rPr>
                <w:rFonts w:ascii="Segoe UI Symbol" w:hAnsi="Segoe UI Symbol" w:cs="Segoe UI Symbol"/>
                <w:sz w:val="20"/>
                <w:szCs w:val="20"/>
              </w:rPr>
              <w:t>✯</w:t>
            </w:r>
            <w:r w:rsidRPr="009F674B">
              <w:rPr>
                <w:sz w:val="20"/>
                <w:szCs w:val="20"/>
              </w:rPr>
              <w:t>)</w:t>
            </w:r>
          </w:p>
        </w:tc>
        <w:tc>
          <w:tcPr>
            <w:tcW w:w="1167" w:type="pct"/>
            <w:gridSpan w:val="3"/>
            <w:shd w:val="clear" w:color="auto" w:fill="C5D3FF"/>
          </w:tcPr>
          <w:p w:rsidR="00C03F42" w:rsidRPr="009F674B" w:rsidRDefault="00C03F42" w:rsidP="008F0491">
            <w:pPr>
              <w:spacing w:line="240" w:lineRule="auto"/>
              <w:jc w:val="center"/>
              <w:rPr>
                <w:sz w:val="20"/>
                <w:szCs w:val="20"/>
              </w:rPr>
            </w:pPr>
            <w:r w:rsidRPr="009F674B">
              <w:rPr>
                <w:sz w:val="20"/>
                <w:szCs w:val="20"/>
              </w:rPr>
              <w:t>Outcomes (maximum 3</w:t>
            </w:r>
            <w:r w:rsidRPr="009F674B">
              <w:rPr>
                <w:rFonts w:ascii="Segoe UI Symbol" w:hAnsi="Segoe UI Symbol" w:cs="Segoe UI Symbol"/>
                <w:sz w:val="20"/>
                <w:szCs w:val="20"/>
              </w:rPr>
              <w:t>✯</w:t>
            </w:r>
            <w:r w:rsidRPr="009F674B">
              <w:rPr>
                <w:sz w:val="20"/>
                <w:szCs w:val="20"/>
              </w:rPr>
              <w:t>)</w:t>
            </w:r>
          </w:p>
        </w:tc>
        <w:tc>
          <w:tcPr>
            <w:tcW w:w="389" w:type="pct"/>
            <w:vMerge w:val="restart"/>
            <w:shd w:val="clear" w:color="auto" w:fill="C5D3FF"/>
          </w:tcPr>
          <w:p w:rsidR="00C03F42" w:rsidRPr="009102D5" w:rsidRDefault="00C03F42" w:rsidP="00C03F42">
            <w:pPr>
              <w:spacing w:line="240" w:lineRule="auto"/>
              <w:rPr>
                <w:sz w:val="20"/>
                <w:szCs w:val="20"/>
              </w:rPr>
            </w:pPr>
            <w:r w:rsidRPr="009102D5">
              <w:rPr>
                <w:sz w:val="20"/>
                <w:szCs w:val="20"/>
              </w:rPr>
              <w:t xml:space="preserve">Total (maximum </w:t>
            </w:r>
            <w:r>
              <w:rPr>
                <w:sz w:val="20"/>
                <w:szCs w:val="20"/>
              </w:rPr>
              <w:t>9</w:t>
            </w:r>
            <w:r w:rsidRPr="009102D5">
              <w:rPr>
                <w:sz w:val="20"/>
                <w:szCs w:val="20"/>
              </w:rPr>
              <w:t xml:space="preserve"> </w:t>
            </w:r>
            <w:r w:rsidRPr="009102D5">
              <w:rPr>
                <w:rFonts w:ascii="Segoe UI Symbol" w:hAnsi="Segoe UI Symbol" w:cs="Segoe UI Symbol"/>
                <w:sz w:val="20"/>
                <w:szCs w:val="20"/>
              </w:rPr>
              <w:t>✯</w:t>
            </w:r>
            <w:r w:rsidRPr="009102D5">
              <w:rPr>
                <w:sz w:val="20"/>
                <w:szCs w:val="20"/>
              </w:rPr>
              <w:t>)</w:t>
            </w:r>
          </w:p>
        </w:tc>
        <w:tc>
          <w:tcPr>
            <w:tcW w:w="435" w:type="pct"/>
            <w:vMerge w:val="restart"/>
            <w:shd w:val="clear" w:color="auto" w:fill="C5D3FF"/>
          </w:tcPr>
          <w:p w:rsidR="00C03F42" w:rsidRPr="009102D5" w:rsidRDefault="00C03F42" w:rsidP="00C03F42">
            <w:pPr>
              <w:spacing w:line="240" w:lineRule="auto"/>
              <w:rPr>
                <w:sz w:val="20"/>
                <w:szCs w:val="20"/>
              </w:rPr>
            </w:pPr>
            <w:r w:rsidRPr="009102D5">
              <w:rPr>
                <w:sz w:val="20"/>
                <w:szCs w:val="20"/>
              </w:rPr>
              <w:t>Overall Quality Assessment</w:t>
            </w:r>
          </w:p>
        </w:tc>
      </w:tr>
      <w:tr w:rsidR="00C03F42" w:rsidRPr="004A4572" w:rsidTr="00500DAA">
        <w:trPr>
          <w:trHeight w:val="288"/>
        </w:trPr>
        <w:tc>
          <w:tcPr>
            <w:tcW w:w="727" w:type="pct"/>
            <w:noWrap/>
          </w:tcPr>
          <w:p w:rsidR="00C03F42" w:rsidRPr="009F674B" w:rsidRDefault="00C03F42" w:rsidP="00C03F42">
            <w:pPr>
              <w:spacing w:line="240" w:lineRule="auto"/>
              <w:rPr>
                <w:sz w:val="20"/>
                <w:szCs w:val="20"/>
              </w:rPr>
            </w:pPr>
            <w:r w:rsidRPr="004A4572">
              <w:rPr>
                <w:sz w:val="22"/>
              </w:rPr>
              <w:t>Author</w:t>
            </w:r>
            <w:r>
              <w:rPr>
                <w:sz w:val="22"/>
              </w:rPr>
              <w:t xml:space="preserve"> (publication y</w:t>
            </w:r>
            <w:r w:rsidRPr="004A4572">
              <w:rPr>
                <w:sz w:val="22"/>
              </w:rPr>
              <w:t>ear</w:t>
            </w:r>
            <w:r>
              <w:rPr>
                <w:sz w:val="22"/>
              </w:rPr>
              <w:t>)</w:t>
            </w:r>
          </w:p>
        </w:tc>
        <w:tc>
          <w:tcPr>
            <w:tcW w:w="374" w:type="pct"/>
            <w:noWrap/>
          </w:tcPr>
          <w:p w:rsidR="00C03F42" w:rsidRPr="009F674B" w:rsidRDefault="00C03F42" w:rsidP="00C03F42">
            <w:pPr>
              <w:spacing w:line="240" w:lineRule="auto"/>
              <w:rPr>
                <w:sz w:val="20"/>
                <w:szCs w:val="20"/>
              </w:rPr>
            </w:pPr>
            <w:r w:rsidRPr="009F674B">
              <w:rPr>
                <w:sz w:val="20"/>
                <w:szCs w:val="20"/>
              </w:rPr>
              <w:t>Representativeness of exposed</w:t>
            </w:r>
          </w:p>
        </w:tc>
        <w:tc>
          <w:tcPr>
            <w:tcW w:w="404" w:type="pct"/>
            <w:noWrap/>
          </w:tcPr>
          <w:p w:rsidR="00C03F42" w:rsidRPr="009F674B" w:rsidRDefault="00C03F42" w:rsidP="00C03F42">
            <w:pPr>
              <w:spacing w:line="240" w:lineRule="auto"/>
              <w:rPr>
                <w:sz w:val="20"/>
                <w:szCs w:val="20"/>
              </w:rPr>
            </w:pPr>
            <w:r w:rsidRPr="009F674B">
              <w:rPr>
                <w:sz w:val="20"/>
                <w:szCs w:val="20"/>
              </w:rPr>
              <w:t>Selection of non-exposed cohort</w:t>
            </w:r>
          </w:p>
        </w:tc>
        <w:tc>
          <w:tcPr>
            <w:tcW w:w="437" w:type="pct"/>
            <w:noWrap/>
          </w:tcPr>
          <w:p w:rsidR="00C03F42" w:rsidRPr="009F674B" w:rsidRDefault="00C03F42" w:rsidP="00F72A85">
            <w:pPr>
              <w:spacing w:line="240" w:lineRule="auto"/>
              <w:jc w:val="left"/>
              <w:rPr>
                <w:sz w:val="20"/>
                <w:szCs w:val="20"/>
              </w:rPr>
            </w:pPr>
            <w:r w:rsidRPr="009F674B">
              <w:rPr>
                <w:sz w:val="20"/>
                <w:szCs w:val="20"/>
              </w:rPr>
              <w:t>Ascertainment of exposure</w:t>
            </w:r>
          </w:p>
        </w:tc>
        <w:tc>
          <w:tcPr>
            <w:tcW w:w="582" w:type="pct"/>
          </w:tcPr>
          <w:p w:rsidR="00C03F42" w:rsidRPr="009F674B" w:rsidRDefault="00C03F42" w:rsidP="00C03F42">
            <w:pPr>
              <w:spacing w:line="240" w:lineRule="auto"/>
              <w:rPr>
                <w:sz w:val="20"/>
                <w:szCs w:val="20"/>
              </w:rPr>
            </w:pPr>
            <w:r w:rsidRPr="009F674B">
              <w:rPr>
                <w:sz w:val="20"/>
                <w:szCs w:val="20"/>
              </w:rPr>
              <w:t>Outcome not present at the start of the study</w:t>
            </w:r>
          </w:p>
        </w:tc>
        <w:tc>
          <w:tcPr>
            <w:tcW w:w="485" w:type="pct"/>
            <w:vMerge/>
          </w:tcPr>
          <w:p w:rsidR="00C03F42" w:rsidRPr="009F674B" w:rsidRDefault="00C03F42" w:rsidP="00C03F42">
            <w:pPr>
              <w:spacing w:line="240" w:lineRule="auto"/>
              <w:rPr>
                <w:sz w:val="20"/>
                <w:szCs w:val="20"/>
              </w:rPr>
            </w:pPr>
          </w:p>
        </w:tc>
        <w:tc>
          <w:tcPr>
            <w:tcW w:w="437" w:type="pct"/>
          </w:tcPr>
          <w:p w:rsidR="00C03F42" w:rsidRPr="009F674B" w:rsidRDefault="00C03F42" w:rsidP="00C03F42">
            <w:pPr>
              <w:spacing w:line="240" w:lineRule="auto"/>
              <w:rPr>
                <w:sz w:val="20"/>
                <w:szCs w:val="20"/>
              </w:rPr>
            </w:pPr>
            <w:r w:rsidRPr="009F674B">
              <w:rPr>
                <w:sz w:val="20"/>
                <w:szCs w:val="20"/>
              </w:rPr>
              <w:t>Assessment of outcomes</w:t>
            </w:r>
          </w:p>
        </w:tc>
        <w:tc>
          <w:tcPr>
            <w:tcW w:w="341" w:type="pct"/>
          </w:tcPr>
          <w:p w:rsidR="00C03F42" w:rsidRPr="009F674B" w:rsidRDefault="00C03F42" w:rsidP="00C03F42">
            <w:pPr>
              <w:spacing w:line="240" w:lineRule="auto"/>
              <w:rPr>
                <w:sz w:val="20"/>
                <w:szCs w:val="20"/>
              </w:rPr>
            </w:pPr>
            <w:r w:rsidRPr="009F674B">
              <w:rPr>
                <w:sz w:val="20"/>
                <w:szCs w:val="20"/>
              </w:rPr>
              <w:t>Length of follow-up</w:t>
            </w:r>
          </w:p>
        </w:tc>
        <w:tc>
          <w:tcPr>
            <w:tcW w:w="389" w:type="pct"/>
          </w:tcPr>
          <w:p w:rsidR="00C03F42" w:rsidRPr="009F674B" w:rsidRDefault="00C03F42" w:rsidP="00C03F42">
            <w:pPr>
              <w:spacing w:line="240" w:lineRule="auto"/>
              <w:rPr>
                <w:sz w:val="20"/>
                <w:szCs w:val="20"/>
              </w:rPr>
            </w:pPr>
            <w:r w:rsidRPr="009F674B">
              <w:rPr>
                <w:sz w:val="20"/>
                <w:szCs w:val="20"/>
              </w:rPr>
              <w:t>Adequacy of follow-up</w:t>
            </w:r>
          </w:p>
        </w:tc>
        <w:tc>
          <w:tcPr>
            <w:tcW w:w="389" w:type="pct"/>
            <w:vMerge/>
          </w:tcPr>
          <w:p w:rsidR="00C03F42" w:rsidRPr="009F674B" w:rsidRDefault="00C03F42" w:rsidP="00C03F42">
            <w:pPr>
              <w:spacing w:line="240" w:lineRule="auto"/>
              <w:rPr>
                <w:sz w:val="20"/>
                <w:szCs w:val="20"/>
              </w:rPr>
            </w:pPr>
          </w:p>
        </w:tc>
        <w:tc>
          <w:tcPr>
            <w:tcW w:w="435" w:type="pct"/>
            <w:vMerge/>
          </w:tcPr>
          <w:p w:rsidR="00C03F42" w:rsidRPr="009F674B" w:rsidRDefault="00C03F42" w:rsidP="00C03F42">
            <w:pPr>
              <w:spacing w:line="240" w:lineRule="auto"/>
              <w:rPr>
                <w:sz w:val="20"/>
                <w:szCs w:val="20"/>
              </w:rPr>
            </w:pPr>
          </w:p>
        </w:tc>
      </w:tr>
      <w:tr w:rsidR="005504C1" w:rsidRPr="004A4572" w:rsidTr="00F72A85">
        <w:trPr>
          <w:trHeight w:val="155"/>
        </w:trPr>
        <w:tc>
          <w:tcPr>
            <w:tcW w:w="727" w:type="pct"/>
            <w:noWrap/>
            <w:hideMark/>
          </w:tcPr>
          <w:p w:rsidR="005504C1" w:rsidRPr="004A4572" w:rsidRDefault="005504C1" w:rsidP="005504C1">
            <w:pPr>
              <w:spacing w:line="240" w:lineRule="auto"/>
              <w:rPr>
                <w:sz w:val="22"/>
              </w:rPr>
            </w:pPr>
            <w:proofErr w:type="spellStart"/>
            <w:r w:rsidRPr="004A4572">
              <w:rPr>
                <w:sz w:val="22"/>
              </w:rPr>
              <w:t>Mwiru</w:t>
            </w:r>
            <w:proofErr w:type="spellEnd"/>
            <w:r w:rsidRPr="004A4572">
              <w:rPr>
                <w:sz w:val="22"/>
              </w:rPr>
              <w:t xml:space="preserve"> et al</w:t>
            </w:r>
            <w:r>
              <w:rPr>
                <w:sz w:val="22"/>
              </w:rPr>
              <w:t xml:space="preserve"> (</w:t>
            </w:r>
            <w:r w:rsidRPr="004A4572">
              <w:rPr>
                <w:sz w:val="22"/>
              </w:rPr>
              <w:t>2015</w:t>
            </w:r>
            <w:r>
              <w:rPr>
                <w:sz w:val="22"/>
              </w:rPr>
              <w:t xml:space="preserve">) </w:t>
            </w:r>
            <w:r>
              <w:rPr>
                <w:sz w:val="22"/>
              </w:rPr>
              <w:fldChar w:fldCharType="begin" w:fldLock="1"/>
            </w:r>
            <w:r>
              <w:rPr>
                <w:sz w:val="22"/>
              </w:rPr>
              <w:instrText>ADDIN CSL_CITATION {"citationItems":[{"id":"ITEM-1","itemData":{"DOI":"10.1177/2325957413500852","ISSN":"23259582","PMID":"24106055","abstract":"Background:We assembled a prospective cohort of 3144 children less than 15 years of age initiating antiretroviral therapy (ART) in Dar es Salaam, Tanzania. Methods: The relationships of nutritional status and other baseline characteristics in relation to mortality were examined usingCox proportional hazardsmodel. Results:Compared with children withweight for age(WAZ) &gt; -1, thosewith WAZ &gt; -2 to &lt; -3 had a nearly double risk of death (relative risk [RR], 1.85; 95% confidence interval [CI], 1.10-3.11), and among those with WAZ &gt; -3, the risk more than tripled (RR, 3.36; 95% CI, 2.12-5.32). Other baseline risk factors for overall mortality included severe anemia (P &lt; .001), severe immune suppression (P = .02), history of tuberculosis (P = .01), opportunistic infections (P &lt; .001), living in the poorest district (P &lt; .001), and advanced World Health Organization stage (P = .003). Conclusions: To sustain the obtained benefit of ART in this setting, interventions to improve nutritional status may be used as an adjunct to ART.","author":[{"dropping-particle":"","family":"Mwiru","given":"Ramadhani S.","non-dropping-particle":"","parse-names":false,"suffix":""},{"dropping-particle":"","family":"Spiegelman","given":"Donna","non-dropping-particle":"","parse-names":false,"suffix":""},{"dropping-particle":"","family":"Duggan","given":"Christopher","non-dropping-particle":"","parse-names":false,"suffix":""},{"dropping-particle":"","family":"Seage","given":"George R.","non-dropping-particle":"","parse-names":false,"suffix":""},{"dropping-particle":"","family":"Semu","given":"Helen","non-dropping-particle":"","parse-names":false,"suffix":""},{"dropping-particle":"","family":"Chalamilla","given":"Guerino","non-dropping-particle":"","parse-names":false,"suffix":""},{"dropping-particle":"","family":"Kisenge","given":"Rodrick","non-dropping-particle":"","parse-names":false,"suffix":""},{"dropping-particle":"","family":"Fawzi","given":"Wafaie W.","non-dropping-particle":"","parse-names":false,"suffix":""}],"container-title":"Journal of the International Association of Providers of AIDS Care","id":"ITEM-1","issue":"2","issued":{"date-parts":[["2015","3","8"]]},"page":"172-179","title":"Nutritional status and other baseline predictors of mortality among HIV-infected children initiating antiretroviral therapy in Tanzania","type":"article-journal","volume":"14"},"uris":["http://www.mendeley.com/documents/?uuid=0cb55476-f3ad-45af-bb47-d6e8075d4f99"]}],"mendeley":{"formattedCitation":"(14)","plainTextFormattedCitation":"(14)","previouslyFormattedCitation":"(30)"},"properties":{"noteIndex":0},"schema":"https://github.com/citation-style-language/schema/raw/master/csl-citation.json"}</w:instrText>
            </w:r>
            <w:r>
              <w:rPr>
                <w:sz w:val="22"/>
              </w:rPr>
              <w:fldChar w:fldCharType="separate"/>
            </w:r>
            <w:r w:rsidRPr="00D61E61">
              <w:rPr>
                <w:noProof/>
                <w:sz w:val="22"/>
              </w:rPr>
              <w:t>(14)</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sz w:val="22"/>
              </w:rPr>
              <w:t>9</w:t>
            </w:r>
            <w:r w:rsidRPr="009102D5">
              <w:rPr>
                <w:rFonts w:ascii="Segoe UI Symbol" w:hAnsi="Segoe UI Symbol" w:cs="Segoe UI Symbol"/>
                <w:sz w:val="20"/>
                <w:szCs w:val="20"/>
              </w:rPr>
              <w:t>✯</w:t>
            </w:r>
          </w:p>
        </w:tc>
        <w:tc>
          <w:tcPr>
            <w:tcW w:w="435" w:type="pct"/>
          </w:tcPr>
          <w:p w:rsidR="005504C1" w:rsidRDefault="005504C1" w:rsidP="005504C1">
            <w:r w:rsidRPr="005B2963">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Bonnet et al</w:t>
            </w:r>
            <w:r>
              <w:rPr>
                <w:sz w:val="22"/>
              </w:rPr>
              <w:t xml:space="preserve"> (</w:t>
            </w:r>
            <w:r w:rsidRPr="004A4572">
              <w:rPr>
                <w:sz w:val="22"/>
              </w:rPr>
              <w:t>2018</w:t>
            </w:r>
            <w:r>
              <w:rPr>
                <w:sz w:val="22"/>
              </w:rPr>
              <w:t xml:space="preserve">) </w:t>
            </w:r>
            <w:r>
              <w:rPr>
                <w:sz w:val="22"/>
              </w:rPr>
              <w:fldChar w:fldCharType="begin" w:fldLock="1"/>
            </w:r>
            <w:r>
              <w:rPr>
                <w:sz w:val="22"/>
              </w:rPr>
              <w:instrText>ADDIN CSL_CITATION {"citationItems":[{"id":"ITEM-1","itemData":{"DOI":"10.1097/INF.0000000000001727","ISBN":"0000000000","ISSN":"0891-3668","author":[{"dropping-particle":"","family":"Bonnet","given":"Maryline","non-dropping-particle":"","parse-names":false,"suffix":""},{"dropping-particle":"","family":"Nansumba","given":"Margaret","non-dropping-particle":"","parse-names":false,"suffix":""},{"dropping-particle":"","family":"Bastard","given":"Mathieu","non-dropping-particle":"","parse-names":false,"suffix":""},{"dropping-particle":"","family":"Orikiriza","given":"Patrick","non-dropping-particle":"","parse-names":false,"suffix":""},{"dropping-particle":"","family":"Kyomugasho","given":"Naomi","non-dropping-particle":"","parse-names":false,"suffix":""},{"dropping-particle":"","family":"Nansera","given":"Denis","non-dropping-particle":"","parse-names":false,"suffix":""},{"dropping-particle":"","family":"Boum","given":"Yap","non-dropping-particle":"","parse-names":false,"suffix":""},{"dropping-particle":"","family":"Beaudrap","given":"Pierre","non-dropping-particle":"de","parse-names":false,"suffix":""},{"dropping-particle":"","family":"Kiwanuka","given":"Julius","non-dropping-particle":"","parse-names":false,"suffix":""},{"dropping-particle":"","family":"Kumbakumba","given":"Elias","non-dropping-particle":"","parse-names":false,"suffix":""}],"container-title":"Pediatric Infectious Disease Journal","id":"ITEM-1","issue":"2","issued":{"date-parts":[["2018","2"]]},"page":"147-152","title":"Outcome of Children With Presumptive Tuberculosis in Mbarara, Rural Uganda","type":"article-journal","volume":"37"},"uris":["http://www.mendeley.com/documents/?uuid=d9b621b8-b12d-44dd-b7f8-85cc326cacbd"]}],"mendeley":{"formattedCitation":"(22)","plainTextFormattedCitation":"(22)","previouslyFormattedCitation":"(10)"},"properties":{"noteIndex":0},"schema":"https://github.com/citation-style-language/schema/raw/master/csl-citation.json"}</w:instrText>
            </w:r>
            <w:r>
              <w:rPr>
                <w:sz w:val="22"/>
              </w:rPr>
              <w:fldChar w:fldCharType="separate"/>
            </w:r>
            <w:r w:rsidRPr="00D61E61">
              <w:rPr>
                <w:noProof/>
                <w:sz w:val="22"/>
              </w:rPr>
              <w:t>(22)</w:t>
            </w:r>
            <w:r>
              <w:rPr>
                <w:sz w:val="22"/>
              </w:rPr>
              <w:fldChar w:fldCharType="end"/>
            </w:r>
          </w:p>
        </w:tc>
        <w:tc>
          <w:tcPr>
            <w:tcW w:w="374" w:type="pct"/>
            <w:noWrap/>
          </w:tcPr>
          <w:p w:rsidR="005504C1" w:rsidRPr="004A4572" w:rsidRDefault="005504C1" w:rsidP="005504C1">
            <w:pPr>
              <w:spacing w:line="240" w:lineRule="auto"/>
              <w:rPr>
                <w:sz w:val="22"/>
              </w:rPr>
            </w:pPr>
            <w:r>
              <w:rPr>
                <w:sz w:val="22"/>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sz w:val="22"/>
              </w:rPr>
              <w:t>8</w:t>
            </w:r>
            <w:r w:rsidRPr="009102D5">
              <w:rPr>
                <w:rFonts w:ascii="Segoe UI Symbol" w:hAnsi="Segoe UI Symbol" w:cs="Segoe UI Symbol"/>
                <w:sz w:val="20"/>
                <w:szCs w:val="20"/>
              </w:rPr>
              <w:t>✯</w:t>
            </w:r>
          </w:p>
        </w:tc>
        <w:tc>
          <w:tcPr>
            <w:tcW w:w="435" w:type="pct"/>
          </w:tcPr>
          <w:p w:rsidR="005504C1" w:rsidRDefault="005504C1" w:rsidP="005504C1">
            <w:r w:rsidRPr="005B2963">
              <w:rPr>
                <w:sz w:val="22"/>
              </w:rPr>
              <w:t>Good</w:t>
            </w:r>
          </w:p>
        </w:tc>
      </w:tr>
      <w:tr w:rsidR="00C03F42" w:rsidRPr="004A4572" w:rsidTr="00500DAA">
        <w:trPr>
          <w:trHeight w:val="288"/>
        </w:trPr>
        <w:tc>
          <w:tcPr>
            <w:tcW w:w="727" w:type="pct"/>
            <w:noWrap/>
            <w:hideMark/>
          </w:tcPr>
          <w:p w:rsidR="00C03F42" w:rsidRPr="004A4572" w:rsidRDefault="00C03F42" w:rsidP="00C03F42">
            <w:pPr>
              <w:spacing w:line="240" w:lineRule="auto"/>
              <w:rPr>
                <w:sz w:val="22"/>
              </w:rPr>
            </w:pPr>
            <w:r w:rsidRPr="004A4572">
              <w:rPr>
                <w:sz w:val="22"/>
              </w:rPr>
              <w:t>Reddi et al</w:t>
            </w:r>
            <w:r>
              <w:rPr>
                <w:sz w:val="22"/>
              </w:rPr>
              <w:t xml:space="preserve"> (</w:t>
            </w:r>
            <w:r w:rsidRPr="004A4572">
              <w:rPr>
                <w:sz w:val="22"/>
              </w:rPr>
              <w:t>2007</w:t>
            </w:r>
            <w:r>
              <w:rPr>
                <w:sz w:val="22"/>
              </w:rPr>
              <w:t xml:space="preserve">) </w:t>
            </w:r>
            <w:r>
              <w:rPr>
                <w:sz w:val="22"/>
              </w:rPr>
              <w:fldChar w:fldCharType="begin" w:fldLock="1"/>
            </w:r>
            <w:r>
              <w:rPr>
                <w:sz w:val="22"/>
              </w:rPr>
              <w:instrText>ADDIN CSL_CITATION {"citationItems":[{"id":"ITEM-1","itemData":{"DOI":"10.1186/1471-2431-7-13","ISSN":"14712431","PMID":"17367540","abstract":"Background: Few studies address the use of paediatric highly active antiretroviral therapy (HAART) in Africa. Methods: We performed a retro spective cohort study to investigate preliminary outcomes of all children eligible for HAART at Sinikithemba HIV/AIDS clinic in KwaZulu-Natal, South Africa. Immunologic, virologic, clinical, mortality, primary caregiver, and psychosocial variables were collected and analyzed. Results: From August 31, 2003 until October 31, 2005, 151 children initiated HAART. The median age at HAART initiation was 5.7 years (range 0.3-15.4). Median follow-up time of the cohort after HAART initiation was 8 months (IQR 3.5-13.5). The median change in CD4% from baseline (p &lt; 0.001) was 10.2 (IQR 5.0-13.8) at 6 months (n = 90), and 16.2 (IQR 9.6-20.3) at 12 months (n = 59). Viral loads (VLs) were available for 100 children at 6 months of which 84% had HIV-1 RNA levels ≤ 50 copies/mL. At 12 months, 80.3% (n = 61) had undetectable VLs. Sixty-five out of 88 children (73.8%) reported a significant increase (p &lt; 0.001) in weight after the first month. Eighty-nine percent of the cohort (n = 132) reported ≤ 2 missed doses during any given treatment month (&gt; 95%adherence). Seventeen patients (11.3%) had a regimen change; two (1.3%) were due to antiretroviral toxicity. The Kaplan-Meier one year survival estimate was 90.9% (95%confidence interval (CI) 84.8-94.6). Thirteen children died during follow-up (8.6%), one changed service provider, and no children were lost to follow-up. All 13 deaths occurred in children with advanced HIV disease within 5 months of treatment initiation. In multivariate analysis of baseline variables against mortality using Cox proportional-hazards model, chronic gastroenteritis was associated with death [hazard ratio (HR), 12.34; 95%CI, 1.27-119.71) and an HIV-positive primary caregiver was found to be protective against mortality [HR, 0.12; 95%CI, 0.02-0.88). Age, orphanhood, baseline CD4%, and hemoglobin were not predicators of mortality in our cohort. Fifty-two percent of the cohort had at least one HIV-positive primary caregiver, and 38.4% had at least one primary caregiver also on HAART at Sinikithemba clinic. Conclusion: This report suggests that paediatric HAART can be effective despite the challenges of a resource-limited setting. © 2007 Reddi et al; licensee BioMed Central Ltd.","author":[{"dropping-particle":"","family":"Reddi","given":"Anand","non-dropping-particle":"","parse-names":false,"suffix":""},{"dropping-particle":"","family":"Leeper","given":"Sarah C.","non-dropping-particle":"","parse-names":false,"suffix":""},{"dropping-particle":"","family":"Grobler","given":"Anneke C.","non-dropping-particle":"","parse-names":false,"suffix":""},{"dropping-particle":"","family":"Geddes","given":"Rosemary","non-dropping-particle":"","parse-names":false,"suffix":""},{"dropping-particle":"","family":"France","given":"K. Holly","non-dropping-particle":"","parse-names":false,"suffix":""},{"dropping-particle":"","family":"Dorse","given":"Gillian L.","non-dropping-particle":"","parse-names":false,"suffix":""},{"dropping-particle":"","family":"Vlok","given":"Willem J.","non-dropping-particle":"","parse-names":false,"suffix":""},{"dropping-particle":"","family":"Mntambo","given":"Mbali","non-dropping-particle":"","parse-names":false,"suffix":""},{"dropping-particle":"","family":"Thomas","given":"Monty","non-dropping-particle":"","parse-names":false,"suffix":""},{"dropping-particle":"","family":"Nixon","given":"Kristy","non-dropping-particle":"","parse-names":false,"suffix":""},{"dropping-particle":"","family":"Holst","given":"Helga L.","non-dropping-particle":"","parse-names":false,"suffix":""},{"dropping-particle":"","family":"Karim","given":"Quarraisha Abdool","non-dropping-particle":"","parse-names":false,"suffix":""},{"dropping-particle":"","family":"Rollins","given":"Nigel C.","non-dropping-particle":"","parse-names":false,"suffix":""},{"dropping-particle":"","family":"Coovadia","given":"Hoosen M.","non-dropping-particle":"","parse-names":false,"suffix":""},{"dropping-particle":"","family":"Giddy","given":"Janet","non-dropping-particle":"","parse-names":false,"suffix":""}],"container-title":"BMC Pediatrics","id":"ITEM-1","issued":{"date-parts":[["2007"]]},"page":"1-13","title":"Preliminary outcomes of a paediatric highly active antiretroviral therapy cohort from KwaZulu-Natal, South Africa","type":"article-journal","volume":"7"},"uris":["http://www.mendeley.com/documents/?uuid=18974c15-8d32-411e-b627-90c8419dbef3"]}],"mendeley":{"formattedCitation":"(5)","plainTextFormattedCitation":"(5)","previouslyFormattedCitation":"(1)"},"properties":{"noteIndex":0},"schema":"https://github.com/citation-style-language/schema/raw/master/csl-citation.json"}</w:instrText>
            </w:r>
            <w:r>
              <w:rPr>
                <w:sz w:val="22"/>
              </w:rPr>
              <w:fldChar w:fldCharType="separate"/>
            </w:r>
            <w:r w:rsidRPr="00D61E61">
              <w:rPr>
                <w:noProof/>
                <w:sz w:val="22"/>
              </w:rPr>
              <w:t>(5)</w:t>
            </w:r>
            <w:r>
              <w:rPr>
                <w:sz w:val="22"/>
              </w:rPr>
              <w:fldChar w:fldCharType="end"/>
            </w:r>
          </w:p>
        </w:tc>
        <w:tc>
          <w:tcPr>
            <w:tcW w:w="374" w:type="pct"/>
            <w:noWrap/>
          </w:tcPr>
          <w:p w:rsidR="00C03F42" w:rsidRPr="004A4572" w:rsidRDefault="008D744C" w:rsidP="00C03F42">
            <w:pPr>
              <w:spacing w:line="240" w:lineRule="auto"/>
              <w:rPr>
                <w:sz w:val="22"/>
              </w:rPr>
            </w:pPr>
            <w:r w:rsidRPr="009102D5">
              <w:rPr>
                <w:rFonts w:ascii="Segoe UI Symbol" w:hAnsi="Segoe UI Symbol" w:cs="Segoe UI Symbol"/>
                <w:sz w:val="20"/>
                <w:szCs w:val="20"/>
              </w:rPr>
              <w:t>✯</w:t>
            </w:r>
          </w:p>
        </w:tc>
        <w:tc>
          <w:tcPr>
            <w:tcW w:w="404" w:type="pct"/>
            <w:noWrap/>
          </w:tcPr>
          <w:p w:rsidR="00C03F42" w:rsidRPr="004A4572" w:rsidRDefault="008D744C" w:rsidP="00C03F42">
            <w:pPr>
              <w:spacing w:line="240" w:lineRule="auto"/>
              <w:rPr>
                <w:sz w:val="22"/>
              </w:rPr>
            </w:pPr>
            <w:r>
              <w:rPr>
                <w:sz w:val="22"/>
              </w:rPr>
              <w:t>-</w:t>
            </w:r>
          </w:p>
        </w:tc>
        <w:tc>
          <w:tcPr>
            <w:tcW w:w="437" w:type="pct"/>
            <w:noWrap/>
          </w:tcPr>
          <w:p w:rsidR="00C03F42" w:rsidRPr="004A4572" w:rsidRDefault="008D744C" w:rsidP="00C03F42">
            <w:pPr>
              <w:spacing w:line="240" w:lineRule="auto"/>
              <w:rPr>
                <w:sz w:val="22"/>
              </w:rPr>
            </w:pPr>
            <w:r w:rsidRPr="009102D5">
              <w:rPr>
                <w:rFonts w:ascii="Segoe UI Symbol" w:hAnsi="Segoe UI Symbol" w:cs="Segoe UI Symbol"/>
                <w:sz w:val="20"/>
                <w:szCs w:val="20"/>
              </w:rPr>
              <w:t>✯</w:t>
            </w:r>
          </w:p>
        </w:tc>
        <w:tc>
          <w:tcPr>
            <w:tcW w:w="582" w:type="pct"/>
          </w:tcPr>
          <w:p w:rsidR="00C03F42" w:rsidRPr="004A4572" w:rsidRDefault="008D744C" w:rsidP="00C03F42">
            <w:pPr>
              <w:spacing w:line="240" w:lineRule="auto"/>
              <w:rPr>
                <w:sz w:val="22"/>
              </w:rPr>
            </w:pPr>
            <w:r>
              <w:rPr>
                <w:sz w:val="22"/>
              </w:rPr>
              <w:t>-</w:t>
            </w:r>
          </w:p>
        </w:tc>
        <w:tc>
          <w:tcPr>
            <w:tcW w:w="485" w:type="pct"/>
          </w:tcPr>
          <w:p w:rsidR="00C03F42" w:rsidRPr="004A4572" w:rsidRDefault="008D744C" w:rsidP="00C03F42">
            <w:pPr>
              <w:spacing w:line="240" w:lineRule="auto"/>
              <w:rPr>
                <w:sz w:val="22"/>
              </w:rPr>
            </w:pPr>
            <w:r w:rsidRPr="009102D5">
              <w:rPr>
                <w:rFonts w:ascii="Segoe UI Symbol" w:hAnsi="Segoe UI Symbol" w:cs="Segoe UI Symbol"/>
                <w:sz w:val="20"/>
                <w:szCs w:val="20"/>
              </w:rPr>
              <w:t>✯</w:t>
            </w:r>
          </w:p>
        </w:tc>
        <w:tc>
          <w:tcPr>
            <w:tcW w:w="437" w:type="pct"/>
          </w:tcPr>
          <w:p w:rsidR="00C03F42" w:rsidRPr="004A4572" w:rsidRDefault="008D744C" w:rsidP="00C03F42">
            <w:pPr>
              <w:spacing w:line="240" w:lineRule="auto"/>
              <w:rPr>
                <w:sz w:val="22"/>
              </w:rPr>
            </w:pPr>
            <w:r w:rsidRPr="009102D5">
              <w:rPr>
                <w:rFonts w:ascii="Segoe UI Symbol" w:hAnsi="Segoe UI Symbol" w:cs="Segoe UI Symbol"/>
                <w:sz w:val="20"/>
                <w:szCs w:val="20"/>
              </w:rPr>
              <w:t>✯</w:t>
            </w:r>
          </w:p>
        </w:tc>
        <w:tc>
          <w:tcPr>
            <w:tcW w:w="341" w:type="pct"/>
          </w:tcPr>
          <w:p w:rsidR="00C03F42" w:rsidRPr="004A4572" w:rsidRDefault="008D744C" w:rsidP="00C03F42">
            <w:pPr>
              <w:spacing w:line="240" w:lineRule="auto"/>
              <w:rPr>
                <w:sz w:val="22"/>
              </w:rPr>
            </w:pPr>
            <w:r w:rsidRPr="009102D5">
              <w:rPr>
                <w:rFonts w:ascii="Segoe UI Symbol" w:hAnsi="Segoe UI Symbol" w:cs="Segoe UI Symbol"/>
                <w:sz w:val="20"/>
                <w:szCs w:val="20"/>
              </w:rPr>
              <w:t>✯</w:t>
            </w:r>
          </w:p>
        </w:tc>
        <w:tc>
          <w:tcPr>
            <w:tcW w:w="389" w:type="pct"/>
          </w:tcPr>
          <w:p w:rsidR="00C03F42" w:rsidRPr="004A4572" w:rsidRDefault="008D744C" w:rsidP="00C03F42">
            <w:pPr>
              <w:spacing w:line="240" w:lineRule="auto"/>
              <w:rPr>
                <w:sz w:val="22"/>
              </w:rPr>
            </w:pPr>
            <w:r w:rsidRPr="009102D5">
              <w:rPr>
                <w:rFonts w:ascii="Segoe UI Symbol" w:hAnsi="Segoe UI Symbol" w:cs="Segoe UI Symbol"/>
                <w:sz w:val="20"/>
                <w:szCs w:val="20"/>
              </w:rPr>
              <w:t>✯</w:t>
            </w:r>
          </w:p>
        </w:tc>
        <w:tc>
          <w:tcPr>
            <w:tcW w:w="389" w:type="pct"/>
          </w:tcPr>
          <w:p w:rsidR="00C03F42" w:rsidRPr="004A4572" w:rsidRDefault="008D744C" w:rsidP="00C03F42">
            <w:pPr>
              <w:spacing w:line="240" w:lineRule="auto"/>
              <w:rPr>
                <w:sz w:val="22"/>
              </w:rPr>
            </w:pPr>
            <w:r>
              <w:rPr>
                <w:sz w:val="22"/>
              </w:rPr>
              <w:t>6</w:t>
            </w:r>
            <w:r w:rsidRPr="009102D5">
              <w:rPr>
                <w:rFonts w:ascii="Segoe UI Symbol" w:hAnsi="Segoe UI Symbol" w:cs="Segoe UI Symbol"/>
                <w:sz w:val="20"/>
                <w:szCs w:val="20"/>
              </w:rPr>
              <w:t>✯</w:t>
            </w:r>
          </w:p>
        </w:tc>
        <w:tc>
          <w:tcPr>
            <w:tcW w:w="435" w:type="pct"/>
          </w:tcPr>
          <w:p w:rsidR="00C03F42" w:rsidRPr="004A4572" w:rsidRDefault="005504C1" w:rsidP="00C03F42">
            <w:pPr>
              <w:spacing w:line="240" w:lineRule="auto"/>
              <w:rPr>
                <w:sz w:val="22"/>
              </w:rPr>
            </w:pPr>
            <w:r>
              <w:rPr>
                <w:sz w:val="22"/>
              </w:rPr>
              <w:t>Fair</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proofErr w:type="spellStart"/>
            <w:r w:rsidRPr="004A4572">
              <w:rPr>
                <w:sz w:val="22"/>
              </w:rPr>
              <w:t>Bakeera</w:t>
            </w:r>
            <w:proofErr w:type="spellEnd"/>
            <w:r w:rsidRPr="004A4572">
              <w:rPr>
                <w:sz w:val="22"/>
              </w:rPr>
              <w:t>-Kitaka et al</w:t>
            </w:r>
            <w:r>
              <w:rPr>
                <w:sz w:val="22"/>
              </w:rPr>
              <w:t xml:space="preserve"> (</w:t>
            </w:r>
            <w:r w:rsidRPr="004A4572">
              <w:rPr>
                <w:sz w:val="22"/>
              </w:rPr>
              <w:t>2011</w:t>
            </w:r>
            <w:r>
              <w:rPr>
                <w:sz w:val="22"/>
              </w:rPr>
              <w:t xml:space="preserve">) </w:t>
            </w:r>
            <w:r>
              <w:rPr>
                <w:sz w:val="22"/>
              </w:rPr>
              <w:fldChar w:fldCharType="begin" w:fldLock="1"/>
            </w:r>
            <w:r>
              <w:rPr>
                <w:sz w:val="22"/>
              </w:rPr>
              <w:instrText>ADDIN CSL_CITATION {"citationItems":[{"id":"ITEM-1","itemData":{"DOI":"10.5588/ijtld.10.0538","ISSN":"1027-3719","author":[{"dropping-particle":"","family":"Bakeera-Kitaka","given":"S.","non-dropping-particle":"","parse-names":false,"suffix":""},{"dropping-particle":"","family":"Conesa-Botella","given":"A.","non-dropping-particle":"","parse-names":false,"suffix":""},{"dropping-particle":"","family":"Dhabangi","given":"Aggrey","non-dropping-particle":"","parse-names":false,"suffix":""},{"dropping-particle":"","family":"Maganda","given":"Albert","non-dropping-particle":"","parse-names":false,"suffix":""},{"dropping-particle":"","family":"Kekitiinwa","given":"Addy","non-dropping-particle":"","parse-names":false,"suffix":""},{"dropping-particle":"","family":"Colebunders","given":"Robert","non-dropping-particle":"","parse-names":false,"suffix":""},{"dropping-particle":"","family":"Boulware","given":"D. R.","non-dropping-particle":"","parse-names":false,"suffix":""}],"container-title":"The International Journal of Tuberculosis and Lung Disease","id":"ITEM-1","issue":"8","issued":{"date-parts":[["2011","8","1"]]},"page":"1082-1086","title":"Tuberculosis in human immunodeficiency virus infected Ugandan children starting on antiretroviral therapy","type":"article-journal","volume":"15"},"uris":["http://www.mendeley.com/documents/?uuid=f83a076c-56c8-452c-9623-8464d7e84227"]}],"mendeley":{"formattedCitation":"(8)","plainTextFormattedCitation":"(8)","previouslyFormattedCitation":"(24)"},"properties":{"noteIndex":0},"schema":"https://github.com/citation-style-language/schema/raw/master/csl-citation.json"}</w:instrText>
            </w:r>
            <w:r>
              <w:rPr>
                <w:sz w:val="22"/>
              </w:rPr>
              <w:fldChar w:fldCharType="separate"/>
            </w:r>
            <w:r w:rsidRPr="00D61E61">
              <w:rPr>
                <w:noProof/>
                <w:sz w:val="22"/>
              </w:rPr>
              <w:t>(8)</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sz w:val="22"/>
              </w:rPr>
              <w:t>7</w:t>
            </w:r>
            <w:r w:rsidRPr="009102D5">
              <w:rPr>
                <w:rFonts w:ascii="Segoe UI Symbol" w:hAnsi="Segoe UI Symbol" w:cs="Segoe UI Symbol"/>
                <w:sz w:val="20"/>
                <w:szCs w:val="20"/>
              </w:rPr>
              <w:t>✯</w:t>
            </w:r>
          </w:p>
        </w:tc>
        <w:tc>
          <w:tcPr>
            <w:tcW w:w="435" w:type="pct"/>
          </w:tcPr>
          <w:p w:rsidR="005504C1" w:rsidRDefault="005504C1" w:rsidP="005504C1">
            <w:r w:rsidRPr="0053390A">
              <w:rPr>
                <w:sz w:val="22"/>
              </w:rPr>
              <w:t>Good</w:t>
            </w:r>
          </w:p>
        </w:tc>
      </w:tr>
      <w:tr w:rsidR="005504C1" w:rsidRPr="004A4572" w:rsidTr="00500DAA">
        <w:trPr>
          <w:trHeight w:val="288"/>
        </w:trPr>
        <w:tc>
          <w:tcPr>
            <w:tcW w:w="727" w:type="pct"/>
            <w:noWrap/>
            <w:hideMark/>
          </w:tcPr>
          <w:p w:rsidR="005504C1" w:rsidRPr="004A4572" w:rsidRDefault="005504C1" w:rsidP="005504C1">
            <w:pPr>
              <w:tabs>
                <w:tab w:val="left" w:pos="2100"/>
              </w:tabs>
              <w:spacing w:line="240" w:lineRule="auto"/>
              <w:rPr>
                <w:sz w:val="22"/>
              </w:rPr>
            </w:pPr>
            <w:r w:rsidRPr="004A4572">
              <w:rPr>
                <w:sz w:val="22"/>
              </w:rPr>
              <w:t>Buck et al</w:t>
            </w:r>
            <w:r>
              <w:rPr>
                <w:sz w:val="22"/>
              </w:rPr>
              <w:t xml:space="preserve"> (</w:t>
            </w:r>
            <w:r w:rsidRPr="004A4572">
              <w:rPr>
                <w:sz w:val="22"/>
              </w:rPr>
              <w:t>2013</w:t>
            </w:r>
            <w:r>
              <w:rPr>
                <w:sz w:val="22"/>
              </w:rPr>
              <w:t xml:space="preserve">) </w:t>
            </w:r>
            <w:r>
              <w:rPr>
                <w:sz w:val="22"/>
              </w:rPr>
              <w:fldChar w:fldCharType="begin" w:fldLock="1"/>
            </w:r>
            <w:r>
              <w:rPr>
                <w:sz w:val="22"/>
              </w:rPr>
              <w:instrText>ADDIN CSL_CITATION {"citationItems":[{"id":"ITEM-1","itemData":{"DOI":"10.5588/ijtld.13.0030","ISBN":"3902264330","ISSN":"1027-3719","abstract":"</w:instrText>
            </w:r>
            <w:r>
              <w:rPr>
                <w:rFonts w:ascii="Microsoft JhengHei" w:eastAsia="Microsoft JhengHei" w:hAnsi="Microsoft JhengHei" w:cs="Microsoft JhengHei" w:hint="eastAsia"/>
                <w:sz w:val="22"/>
              </w:rPr>
              <w:instrText>环境中砷与铬暴露对于儿童肾功能的影响</w:instrText>
            </w:r>
            <w:r>
              <w:rPr>
                <w:sz w:val="22"/>
              </w:rPr>
              <w:instrText>","author":[{"dropping-particle":"","family":"Buck","given":"W. C.","non-dropping-particle":"","parse-names":false,"suffix":""},{"dropping-particle":"","family":"Olson","given":"D.","non-dropping-particle":"","parse-names":false,"suffix":""},{"dropping-particle":"","family":"Kabue","given":"M. M.","non-dropping-particle":"","parse-names":false,"suffix":""},{"dropping-particle":"","family":"Ahmed","given":"S.","non-dropping-particle":"","parse-names":false,"suffix":""},{"dropping-particle":"","family":"Nchama","given":"L. K.","non-dropping-particle":"","parse-names":false,"suffix":""},{"dropping-particle":"","family":"Munthali","given":"A.","non-dropping-particle":"","parse-names":false,"suffix":""},{"dropping-particle":"","family":"Hosseinipour","given":"M. C.","non-dropping-particle":"","parse-names":false,"suffix":""},{"dropping-particle":"","family":"Kazembe","given":"P. N.","non-dropping-particle":"","parse-names":false,"suffix":""}],"container-title":"The International Journal of Tuberculosis and Lung Disease","id":"ITEM-1","issue":"11","issued":{"date-parts":[["2013","11","1"]]},"page":"1389-1395","title":"Risk factors for mortality in Malawian children with human immunodeficiency virus and tuberculosis co-infection","type":"article-journal","volume":"17"},"uris":["http://www.mendeley.com/documents/?uuid=a9d9f6bd-63e7-48e4-a855-3f6eaa1d2db9"]}],"mendeley":{"formattedCitation":"(10)","plainTextFormattedCitation":"(10)","previouslyFormattedCitation":"(26)"},"properties":{"noteIndex":0},"schema":"https://github.com/citation-style-language/schema/raw/master/csl-citation.json"}</w:instrText>
            </w:r>
            <w:r>
              <w:rPr>
                <w:sz w:val="22"/>
              </w:rPr>
              <w:fldChar w:fldCharType="separate"/>
            </w:r>
            <w:r w:rsidRPr="00D61E61">
              <w:rPr>
                <w:noProof/>
                <w:sz w:val="22"/>
              </w:rPr>
              <w:t>(10)</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sz w:val="22"/>
              </w:rPr>
              <w:t>9</w:t>
            </w:r>
            <w:r w:rsidRPr="009102D5">
              <w:rPr>
                <w:rFonts w:ascii="Segoe UI Symbol" w:hAnsi="Segoe UI Symbol" w:cs="Segoe UI Symbol"/>
                <w:sz w:val="20"/>
                <w:szCs w:val="20"/>
              </w:rPr>
              <w:t>✯</w:t>
            </w:r>
          </w:p>
        </w:tc>
        <w:tc>
          <w:tcPr>
            <w:tcW w:w="435" w:type="pct"/>
          </w:tcPr>
          <w:p w:rsidR="005504C1" w:rsidRDefault="005504C1" w:rsidP="005504C1">
            <w:r w:rsidRPr="0053390A">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Hicks et al</w:t>
            </w:r>
            <w:r>
              <w:rPr>
                <w:sz w:val="22"/>
              </w:rPr>
              <w:t xml:space="preserve"> (</w:t>
            </w:r>
            <w:r w:rsidRPr="004A4572">
              <w:rPr>
                <w:sz w:val="22"/>
              </w:rPr>
              <w:t>2014</w:t>
            </w:r>
            <w:r>
              <w:rPr>
                <w:sz w:val="22"/>
              </w:rPr>
              <w:t xml:space="preserve">) </w:t>
            </w:r>
            <w:r>
              <w:rPr>
                <w:sz w:val="22"/>
              </w:rPr>
              <w:fldChar w:fldCharType="begin" w:fldLock="1"/>
            </w:r>
            <w:r>
              <w:rPr>
                <w:sz w:val="22"/>
              </w:rPr>
              <w:instrText>ADDIN CSL_CITATION {"citationItems":[{"id":"ITEM-1","itemData":{"DOI":"10.5588/ijtld.14.0231","ISSN":"10273719","PMID":"25189555","abstract":"SETTING: Pediatric multidrug-resistant tuberculosis (MDR-TB) is complicated by difficult diagnosis, complex treatment, and high mortality. In South Africa, these challenges are amplified by human immunodeficiency virus (HIV) co-infection; however, evidence on treatment outcomes among co-infected children is limited. OBJECTIVE: Using conventional and new pediatric definitions, to describe treatment outcomes and identify risk factors for unfavorable outcome and mortality in children aged &lt;15 years with MDR-TB or extensively drug-resistant TB (XDR-TB) in KwaZulu-Natal, South Africa. DESIGN: Retrospective cohort study in a regional TB referral hospital. RESULTS: From January 2009 to June 2010, 84 children (median age 8 years, IQR 4-12) with MDR-TB (n = 78) or XDR-TB (n = 6) initiated treatment. Sixty-four (77%) were HIV-positive and 62 (97%) received antiretroviral therapy. Sixty-six (79%) achieved favorable treatment outcomes. Overall mortality was 11% (n = 9) at 18 months after initiation of treatment. Malnutrition (aOR 27.4, 95%CI 2.7-278.7) and severe radiographic findings (aOR 4.68, 95%CI 1.01-21.9) were associated with unfavorable outcome. New pediatric outcome definitions increased the proportion classified as cured. CONCLUSION: It is possible to successfully treat pediatric MDR-TB-HIV even in resource-poor settings. Malnutrition is a marker for severe TB-HIV disease, and is a potential target for future interventions in these patients. © 2014 The Union.","author":[{"dropping-particle":"","family":"Hicks","given":"R. M.","non-dropping-particle":"","parse-names":false,"suffix":""},{"dropping-particle":"","family":"Padayatchi","given":"N.","non-dropping-particle":"","parse-names":false,"suffix":""},{"dropping-particle":"","family":"Shah","given":"N. S.","non-dropping-particle":"","parse-names":false,"suffix":""},{"dropping-particle":"","family":"Wolf","given":"A.","non-dropping-particle":"","parse-names":false,"suffix":""},{"dropping-particle":"","family":"Werner","given":"L.","non-dropping-particle":"","parse-names":false,"suffix":""},{"dropping-particle":"","family":"Sunkari","given":"V. B.","non-dropping-particle":"","parse-names":false,"suffix":""},{"dropping-particle":"","family":"O'Donnell","given":"Max R.","non-dropping-particle":"","parse-names":false,"suffix":""}],"container-title":"International Journal of Tuberculosis and Lung Disease","id":"ITEM-1","issue":"9","issued":{"date-parts":[["2014"]]},"page":"1074-1079","title":"Malnutrition associated with unfavorable outcome and death among South African MDR-TB and HIV co-infected children","type":"article-journal","volume":"18"},"uris":["http://www.mendeley.com/documents/?uuid=4ec4fc22-fce4-4928-86f7-1b55a4dad574"]}],"mendeley":{"formattedCitation":"(12)","plainTextFormattedCitation":"(12)","previouslyFormattedCitation":"(28)"},"properties":{"noteIndex":0},"schema":"https://github.com/citation-style-language/schema/raw/master/csl-citation.json"}</w:instrText>
            </w:r>
            <w:r>
              <w:rPr>
                <w:sz w:val="22"/>
              </w:rPr>
              <w:fldChar w:fldCharType="separate"/>
            </w:r>
            <w:r w:rsidRPr="00D61E61">
              <w:rPr>
                <w:noProof/>
                <w:sz w:val="22"/>
              </w:rPr>
              <w:t>(12)</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53390A">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Ebonyi et al</w:t>
            </w:r>
            <w:r>
              <w:rPr>
                <w:sz w:val="22"/>
              </w:rPr>
              <w:t xml:space="preserve"> (</w:t>
            </w:r>
            <w:r w:rsidRPr="004A4572">
              <w:rPr>
                <w:sz w:val="22"/>
              </w:rPr>
              <w:t>2014</w:t>
            </w:r>
            <w:r>
              <w:rPr>
                <w:sz w:val="22"/>
              </w:rPr>
              <w:t xml:space="preserve">) </w:t>
            </w:r>
            <w:r>
              <w:rPr>
                <w:sz w:val="22"/>
              </w:rPr>
              <w:fldChar w:fldCharType="begin" w:fldLock="1"/>
            </w:r>
            <w:r>
              <w:rPr>
                <w:sz w:val="22"/>
              </w:rPr>
              <w:instrText>ADDIN CSL_CITATION {"citationItems":[{"id":"ITEM-1","itemData":{"DOI":"10.4172/2155-6113.1000403","ISSN":"21556113","abstract":"Background: Mortality among Human Immunodeficiency Virus-1 (HIV-1) infected children initiated on Antiretroviral Therapy (ART) though on a decline still remains high in resource-limited countries. Identifying baseline factors that predict mortality could allow their possible modification in order to improve pediatric HIV care and reduce mortality. Methods: We conducted a retrospective cohort study analyzing data on 691 children, aged 2 months-15 years, diagnosed with HIV-1 infection and initiated on ART between July 2005 and March 2013 at the pediatric HIV clinic of Jos University Teaching Hospital. Lost to follow-up children were excluded from the analyses. A multivariate Cox proportional hazards model was fitted to identify predictors of mortality. Results: Median follow-up time for the 691 children initiated on ART was 4.4 years (interquartile range (IQR), 1.8-5.9) and at the end of 2752 person-years of follow-up, 32 (4.6%) had died and 659 (95.4%) survived. The mortality rate was 1.0 per 100 child-years of follow-up period. The median age of those who died was about two times lower than that of survivors [1.7 years (IQR, 0.6-3.6) versus 3.9 years (IQR, 3.9 - 10.3), p&lt;0.001]. On unadjusted Cox regression, the risk of dying was about three and half times more in children &lt;5 years of age compared to those &gt;5 years (p=0.02) Multivariate modeling identified age as the main predictor of death with mortality decreasing by 24% for every 1 year increase in age (Adjusted Hazard Ratio (AHR)=0.76 [0.62-0.94], p=0.013. Conclusion: The lower mortality rate for our study suggests that even in RLCs, mortality rates could be reduced given a good standard of care. Early initiation of ART in younger children with close monitoring during follow-up could further reduce mortality.","author":[{"dropping-particle":"","family":"Ebonyi","given":"Augustine O","non-dropping-particle":"","parse-names":false,"suffix":""},{"dropping-particle":"","family":"Oguche","given":"Stephen","non-dropping-particle":"","parse-names":false,"suffix":""},{"dropping-particle":"","family":"Meloni","given":"Seema T","non-dropping-particle":"","parse-names":false,"suffix":""},{"dropping-particle":"","family":"Sagay","given":"Solomon A","non-dropping-particle":"","parse-names":false,"suffix":""},{"dropping-particle":"","family":"Kyriacou","given":"Demetrios N","non-dropping-particle":"","parse-names":false,"suffix":""},{"dropping-particle":"","family":"Achenbach","given":"Chad J","non-dropping-particle":"","parse-names":false,"suffix":""},{"dropping-particle":"","family":"Agbaji","given":"Oche O","non-dropping-particle":"","parse-names":false,"suffix":""},{"dropping-particle":"","family":"Oyebode","given":"Tinuade A","non-dropping-particle":"","parse-names":false,"suffix":""},{"dropping-particle":"","family":"Okonkwo","given":"Prosper","non-dropping-particle":"","parse-names":false,"suffix":""},{"dropping-particle":"","family":"Idoko","given":"John A","non-dropping-particle":"","parse-names":false,"suffix":""},{"dropping-particle":"","family":"Kanki","given":"Phyllis J","non-dropping-particle":"","parse-names":false,"suffix":""}],"container-title":"Journal of AIDS &amp; Clinical Research","id":"ITEM-1","issue":"12","issued":{"date-parts":[["2014"]]},"page":"1-15","title":"Predictors of Mortality in a Clinic Cohort of HIV-1 Infected Children Initiated on Antiretroviral Therapy in Jos, Nigeria","type":"article-journal","volume":"5"},"uris":["http://www.mendeley.com/documents/?uuid=03ee0ef6-ce06-4b75-963d-5defb58ac6b8"]}],"mendeley":{"formattedCitation":"(13)","plainTextFormattedCitation":"(13)","previouslyFormattedCitation":"(29)"},"properties":{"noteIndex":0},"schema":"https://github.com/citation-style-language/schema/raw/master/csl-citation.json"}</w:instrText>
            </w:r>
            <w:r>
              <w:rPr>
                <w:sz w:val="22"/>
              </w:rPr>
              <w:fldChar w:fldCharType="separate"/>
            </w:r>
            <w:r w:rsidRPr="00D61E61">
              <w:rPr>
                <w:noProof/>
                <w:sz w:val="22"/>
              </w:rPr>
              <w:t>(13)</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Pr>
                <w:sz w:val="22"/>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sz w:val="22"/>
              </w:rPr>
              <w:t>7</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Brophy et al</w:t>
            </w:r>
            <w:r>
              <w:rPr>
                <w:sz w:val="22"/>
              </w:rPr>
              <w:t xml:space="preserve"> (</w:t>
            </w:r>
            <w:r w:rsidRPr="004A4572">
              <w:rPr>
                <w:sz w:val="22"/>
              </w:rPr>
              <w:t>2016</w:t>
            </w:r>
            <w:r>
              <w:rPr>
                <w:sz w:val="22"/>
              </w:rPr>
              <w:t xml:space="preserve">) </w:t>
            </w:r>
            <w:r>
              <w:rPr>
                <w:sz w:val="22"/>
              </w:rPr>
              <w:fldChar w:fldCharType="begin" w:fldLock="1"/>
            </w:r>
            <w:r>
              <w:rPr>
                <w:sz w:val="22"/>
              </w:rPr>
              <w:instrText>ADDIN CSL_CITATION {"citationItems":[{"id":"ITEM-1","itemData":{"DOI":"10.1371/journal.pone.0165772","ISSN":"19326203","PMID":"27812166","abstract":"Background: Pediatric uptake and outcomes in antiretroviral treatment (ART) programmes have lagged behind adult programmes. We describe outcomes from a population-based pediatric ART cohort in rural southern Malawi. Methods: Data were analyzed on children who initiated ART from October/2003-September/2011. Demographics and diagnoses were described and survival analyses conducted to assess the impact of age, presenting features at enrolment, and drug selection. Results: The cohort consisted of 2203 children &lt;15 years of age. Age at entry was &lt;1 year for 219 (10%), 1-1.9 years for 343 (16%), 2-4.9 years for 584 (27%), and 5-15 years for 1057 (48%) patients. Initial clinical diagnoses of tuberculosis and wasting were documented for 409 (19%) and 523 (24%) patients, respectively. Median follow-up time was 1.5 years (range 0-8 years), with 3900 patient-years of follow-up. Over the period of observation, 134 patients (6%) died, 1324 (60%) remained in the cohort, 345 (16%) transferred out, and 387 (18%) defaulted. Infants &lt;1 year of age accounted for 19% of deaths, with a 2.7-fold adjusted mortality hazard ratio relative to 5-15 year olds; median time to death was also shorter for infants (60 days) than older children (108 days). Survival analysis demonstrated younger age at ART initiation, more advanced HIV stage, and presence of tuberculosis to each be associated with shorter survival time. Among children &lt;5 years, severe wasting (weight-for-height z-score &lt;/= -3.0) was also associated with reduced survival. Conclusions: Cumulative incidence of mortality was 5.2%, 7.1% and 7.7% after 1, 3, and 5 years, respectively, with disproportionate mortality in infants &lt;1 year of age and those presenting with tuberculosis. These findings reinforce the urgent need for early diagnosis and treatment in this population, but also demonstrate that provision of pediatric care in a rural setting can yield outcomes comparable to more resourced urban settings of poor countries.","author":[{"dropping-particle":"","family":"Brophy","given":"Jason C.","non-dropping-particle":"","parse-names":false,"suffix":""},{"dropping-particle":"","family":"Hawkes","given":"Michael T.","non-dropping-particle":"","parse-names":false,"suffix":""},{"dropping-particle":"","family":"Mwinjiwa","given":"Edson","non-dropping-particle":"","parse-names":false,"suffix":""},{"dropping-particle":"","family":"Mateyu","given":"Gabriel","non-dropping-particle":"","parse-names":false,"suffix":""},{"dropping-particle":"","family":"Sodhi","given":"Sumeet K.","non-dropping-particle":"","parse-names":false,"suffix":""},{"dropping-particle":"","family":"Chan","given":"Adrienne K.","non-dropping-particle":"","parse-names":false,"suffix":""}],"container-title":"PLoS ONE","id":"ITEM-1","issue":"11","issued":{"date-parts":[["2016"]]},"page":"1-14","title":"Survival outcomes in a pediatric antiretroviral treatment cohort in southern Malawi","type":"article-journal","volume":"11"},"uris":["http://www.mendeley.com/documents/?uuid=5e52f602-3a41-4e35-8a85-12241bb067e5"]}],"mendeley":{"formattedCitation":"(17)","plainTextFormattedCitation":"(17)","previouslyFormattedCitation":"(5)"},"properties":{"noteIndex":0},"schema":"https://github.com/citation-style-language/schema/raw/master/csl-citation.json"}</w:instrText>
            </w:r>
            <w:r>
              <w:rPr>
                <w:sz w:val="22"/>
              </w:rPr>
              <w:fldChar w:fldCharType="separate"/>
            </w:r>
            <w:r w:rsidRPr="00D61E61">
              <w:rPr>
                <w:noProof/>
                <w:sz w:val="22"/>
              </w:rPr>
              <w:t>(17)</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Ebonyi et al</w:t>
            </w:r>
            <w:r>
              <w:rPr>
                <w:sz w:val="22"/>
              </w:rPr>
              <w:t xml:space="preserve"> (</w:t>
            </w:r>
            <w:r w:rsidRPr="004A4572">
              <w:rPr>
                <w:sz w:val="22"/>
              </w:rPr>
              <w:t>2016</w:t>
            </w:r>
            <w:r>
              <w:rPr>
                <w:sz w:val="22"/>
              </w:rPr>
              <w:t xml:space="preserve">) </w:t>
            </w:r>
            <w:r>
              <w:rPr>
                <w:sz w:val="22"/>
              </w:rPr>
              <w:fldChar w:fldCharType="begin" w:fldLock="1"/>
            </w:r>
            <w:r>
              <w:rPr>
                <w:sz w:val="22"/>
              </w:rPr>
              <w:instrText>ADDIN CSL_CITATION {"citationItems":[{"id":"ITEM-1","itemData":{"abstract":"Background Mortality data, including the risk factors for mortality in HIV-infected children with pulmonary TB (PTB) being treated for PTB and who are on antiretroviral therapy (ART), are scarce in Nigeria. We determined the mortality rate and risk factors for mortality among such children, at the pediatric HIV clinic of the Jos University Teaching Hospital (JUTH) in Jos, Nigeria. Methods We performed a retrospective cohort study on 260 PTB-HIV-1 co-infected children, aged 2 months to 13 years, being treated for PTB and on ART from July 2005 to March 2013. The mortality rate and associated risk factors were determined using multivariate Cox proportional hazards modelling. Results The mortality rate for the study cohort was 1.4 per 100 child-years of follow-up. Median follow-up time was 5.2 years (IQR, 3.5-6.0 years) with total study time being 1159 child-years. The median age of those who died was lower than that of survivors, 1.9 years (IQR, 0.6-3.6 years) versus 3.8 years (IQR, 1.8-6.0 years), p=0.005). The majority of the deaths occurred in males (13, 81.2%), those &lt;5 years of age (14, 87.4%) and those who had severe immunosuppression (11, 68.8%). Risk factors for death were age (with the risk of dying decreasing by 25% for every 1 year increase in age, adjusted hazard ratio (AHR)=0.75 [0.58-0.98], p=0.032), male gender (AHR=3.80 [1.07-13.5], p=0.039) and severe immunosuppression (AHR=3.35 [1.16-9.66], p=0.025). Conclusion In our clinic setting, mortality among our PTB-HIV co-infected children being treated for PTB and on ART was low. However, those presenting with severe immunosuppression and who are males and very young, should be monitored more closely during follow-up in order to further reduce mortality. Copyright © GERMS 2016.","author":[{"dropping-particle":"","family":"A.O.","given":"Ebonyi","non-dropping-particle":"","parse-names":false,"suffix":""},{"dropping-particle":"","family":"S.","given":"Oguche","non-dropping-particle":"","parse-names":false,"suffix":""},{"dropping-particle":"","family":"O.O.","given":"Agbaji","non-dropping-particle":"","parse-names":false,"suffix":""},{"dropping-particle":"","family":"A.S.","given":"Sagay","non-dropping-particle":"","parse-names":false,"suffix":""},{"dropping-particle":"","family":"P.I.","given":"Okonkwo","non-dropping-particle":"","parse-names":false,"suffix":""},{"dropping-particle":"","family":"J.A.","given":"Idoko","non-dropping-particle":"","parse-names":false,"suffix":""}],"container-title":"Germs","id":"ITEM-1","issue":"4","issued":{"date-parts":[["2016"]]},"page":"139-150","title":"Mortality among pulmonary tuberculosis and HIV-1 co-infected nigerian children being treated for pulmonary tuberculosis and on antiretroviral therapy: A retrospective cohort study","type":"article-journal","volume":"6"},"uris":["http://www.mendeley.com/documents/?uuid=4f7298f9-2fcf-411f-93d0-2c065619ab4b"]}],"mendeley":{"formattedCitation":"(16)","plainTextFormattedCitation":"(16)","previouslyFormattedCitation":"(4)"},"properties":{"noteIndex":0},"schema":"https://github.com/citation-style-language/schema/raw/master/csl-citation.json"}</w:instrText>
            </w:r>
            <w:r>
              <w:rPr>
                <w:sz w:val="22"/>
              </w:rPr>
              <w:fldChar w:fldCharType="separate"/>
            </w:r>
            <w:r w:rsidRPr="00D61E61">
              <w:rPr>
                <w:noProof/>
                <w:sz w:val="22"/>
              </w:rPr>
              <w:t>(16)</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lastRenderedPageBreak/>
              <w:t>Rees et al</w:t>
            </w:r>
            <w:r>
              <w:rPr>
                <w:sz w:val="22"/>
              </w:rPr>
              <w:t xml:space="preserve"> (</w:t>
            </w:r>
            <w:r w:rsidRPr="004A4572">
              <w:rPr>
                <w:sz w:val="22"/>
              </w:rPr>
              <w:t>2017</w:t>
            </w:r>
            <w:r>
              <w:rPr>
                <w:sz w:val="22"/>
              </w:rPr>
              <w:t xml:space="preserve">) </w:t>
            </w:r>
            <w:r>
              <w:rPr>
                <w:sz w:val="22"/>
              </w:rPr>
              <w:fldChar w:fldCharType="begin" w:fldLock="1"/>
            </w:r>
            <w:r>
              <w:rPr>
                <w:sz w:val="22"/>
              </w:rPr>
              <w:instrText>ADDIN CSL_CITATION {"citationItems":[{"id":"ITEM-1","itemData":{"DOI":"10.1371/journal.pone.0169057","ISBN":"1111111111","ISSN":"19326203","PMID":"28099432","abstract":"Background: Human immunodeficiency virus (HIV) contributes to nearly 20% of all deaths in children under five years of age in Malawi. Expanded coverage of antiretroviral therapy has allowed children to access treatment on an outpatient basis. Little is known about characteristics of the final outpatient encounter prior to mortality in the outpatient setting. Methods: This retrospective cohort study assessed clinical factors associated with mortality among HIV-exposed infants and HIV-infected children less than 18 years of age at the Baylor College of Medicine Abbott Fund Children's Center of Excellence in Lilongwe, Malawi. We compared clinical indicators documented from the final outpatient encounter for patients who died in the outpatient setting versus those who were alive after their penultimate clinical encounter. Results: Of the 8,546 patients who were attended to over a 10-year period at the Baylor Center of Excellence, 851 had died (10%). Of children who died, 392 (46%) were directly admitted to the hospital after their last clinical encounter and died as inpatients. Of the remaining 459 who died as outpatients after their last visit, 53.5% had a World Health Organization (WHO) stage IV condition at their last visit, and 25% had a WHO stage III condition. Multivariate regression analysis demonstrated that poor nutritional status, female gender, shorter time as a patient, more clinical encounters in the prior month, if last visit was an unscheduled sick visit, and if the patient had lost weight since their prior visit independently predicted increased mortality in the outpatient setting after the final clinical encounter. Conclusion: Clinical indicators may assist in identifying children with HIV who have increased risk of mortality in the outpatient setting. Recognizing these indicators may aid in identifying HIVinfected children who require a higher level of care or closer follow-up.","author":[{"dropping-particle":"","family":"Rees","given":"Chris A.","non-dropping-particle":"","parse-names":false,"suffix":""},{"dropping-particle":"","family":"Flick","given":"Robert J.","non-dropping-particle":"","parse-names":false,"suffix":""},{"dropping-particle":"","family":"Sullivan","given":"David","non-dropping-particle":"","parse-names":false,"suffix":""},{"dropping-particle":"","family":"Bvumbwe","given":"Menard","non-dropping-particle":"","parse-names":false,"suffix":""},{"dropping-particle":"","family":"Mhango","given":"Joseph","non-dropping-particle":"","parse-names":false,"suffix":""},{"dropping-particle":"","family":"Hosseinipour","given":"Mina C.","non-dropping-particle":"","parse-names":false,"suffix":""},{"dropping-particle":"","family":"Kazembe","given":"Peter N.","non-dropping-particle":"","parse-names":false,"suffix":""}],"container-title":"PLoS ONE","id":"ITEM-1","issue":"1","issued":{"date-parts":[["2017"]]},"page":"1-10","title":"An analysis of the last clinical encounter before outpatient mortality among children with HIV infection and exposure in Lilongwe, Malawi","type":"article-journal","volume":"12"},"uris":["http://www.mendeley.com/documents/?uuid=382e8f9a-880c-4d29-9539-3bed05315cc9"]}],"mendeley":{"formattedCitation":"(18)","plainTextFormattedCitation":"(18)","previouslyFormattedCitation":"(6)"},"properties":{"noteIndex":0},"schema":"https://github.com/citation-style-language/schema/raw/master/csl-citation.json"}</w:instrText>
            </w:r>
            <w:r>
              <w:rPr>
                <w:sz w:val="22"/>
              </w:rPr>
              <w:fldChar w:fldCharType="separate"/>
            </w:r>
            <w:r w:rsidRPr="00D61E61">
              <w:rPr>
                <w:noProof/>
                <w:sz w:val="22"/>
              </w:rPr>
              <w:t>(18)</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Hall et al</w:t>
            </w:r>
            <w:r>
              <w:rPr>
                <w:sz w:val="22"/>
              </w:rPr>
              <w:t xml:space="preserve"> (</w:t>
            </w:r>
            <w:r w:rsidRPr="004A4572">
              <w:rPr>
                <w:sz w:val="22"/>
              </w:rPr>
              <w:t>2017</w:t>
            </w:r>
            <w:r>
              <w:rPr>
                <w:sz w:val="22"/>
              </w:rPr>
              <w:t xml:space="preserve">) </w:t>
            </w:r>
            <w:r>
              <w:rPr>
                <w:sz w:val="22"/>
              </w:rPr>
              <w:fldChar w:fldCharType="begin" w:fldLock="1"/>
            </w:r>
            <w:r>
              <w:rPr>
                <w:sz w:val="22"/>
              </w:rPr>
              <w:instrText>ADDIN CSL_CITATION {"citationItems":[{"id":"ITEM-1","itemData":{"DOI":"10.1097/INF.0000000000001691","ISBN":"0000000000","ISSN":"0891-3668","author":[{"dropping-particle":"","family":"Hall","given":"Eric W.","non-dropping-particle":"","parse-names":false,"suffix":""},{"dropping-particle":"","family":"Morris","given":"Sapna B.","non-dropping-particle":"","parse-names":false,"suffix":""},{"dropping-particle":"","family":"Moore","given":"Brittany K.","non-dropping-particle":"","parse-names":false,"suffix":""},{"dropping-particle":"","family":"Erasmus","given":"Linda","non-dropping-particle":"","parse-names":false,"suffix":""},{"dropping-particle":"","family":"Odendaal","given":"Ronel","non-dropping-particle":"","parse-names":false,"suffix":""},{"dropping-particle":"","family":"Menzies","given":"Heather","non-dropping-particle":"","parse-names":false,"suffix":""},{"dropping-particle":"","family":"Walt","given":"Martie","non-dropping-particle":"van der","parse-names":false,"suffix":""},{"dropping-particle":"","family":"Smith","given":"Sarah E.","non-dropping-particle":"","parse-names":false,"suffix":""}],"container-title":"Pediatric Infectious Disease Journal","id":"ITEM-1","issue":"12","issued":{"date-parts":[["2017","12"]]},"page":"e322-e327","title":"Treatment Outcomes of Children With HIV Infection and Drug-resistant TB in Three Provinces in South Africa, 2005–2008","type":"article-journal","volume":"36"},"uris":["http://www.mendeley.com/documents/?uuid=29c4a86f-5f49-4515-989b-144df5d46623"]}],"mendeley":{"formattedCitation":"(21)","plainTextFormattedCitation":"(21)","previouslyFormattedCitation":"(9)"},"properties":{"noteIndex":0},"schema":"https://github.com/citation-style-language/schema/raw/master/csl-citation.json"}</w:instrText>
            </w:r>
            <w:r>
              <w:rPr>
                <w:sz w:val="22"/>
              </w:rPr>
              <w:fldChar w:fldCharType="separate"/>
            </w:r>
            <w:r w:rsidRPr="00D61E61">
              <w:rPr>
                <w:noProof/>
                <w:sz w:val="22"/>
              </w:rPr>
              <w:t>(21)</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Adamu et al</w:t>
            </w:r>
            <w:r>
              <w:rPr>
                <w:sz w:val="22"/>
              </w:rPr>
              <w:t xml:space="preserve"> (</w:t>
            </w:r>
            <w:r w:rsidRPr="004A4572">
              <w:rPr>
                <w:sz w:val="22"/>
              </w:rPr>
              <w:t>2017</w:t>
            </w:r>
            <w:r>
              <w:rPr>
                <w:sz w:val="22"/>
              </w:rPr>
              <w:t xml:space="preserve">) </w:t>
            </w:r>
            <w:r>
              <w:rPr>
                <w:sz w:val="22"/>
              </w:rPr>
              <w:fldChar w:fldCharType="begin" w:fldLock="1"/>
            </w:r>
            <w:r>
              <w:rPr>
                <w:sz w:val="22"/>
              </w:rPr>
              <w:instrText>ADDIN CSL_CITATION {"citationItems":[{"id":"ITEM-1","itemData":{"DOI":"10.1371/journal.pone.0183270","ISBN":"1111111111","ISSN":"19326203","PMID":"28817675","abstract":"Background: Despite availability of effective cure, tuberculosis (TB) remains a leading cause of death in children. In many high-burden countries, childhood TB is underdiagnosed and underreported, and care is often accessed too late, resulting in adverse treatment outcomes. In this study, we examined the time to death and its associated factors among a cohort of children that commenced TB treatment in a large treatment centre in northern Nigeria. Methods: This is a retrospective cohort study of children that started TB treatment between 2010 and 2014. We determined mortality rates per 100 person-months of treatment, as well as across treatment and calendar periods. We used Cox proportional hazards regression to determine adjusted hazard ratios (aHR) for factors associated with mortality. Results: Among 299 children with a median age 4 years and HIV prevalence of 33.4%; 85 (28.4%) died after 1,383 months of follow-up. Overall mortality rate was 6.1 per 100 person-months. Deaths occurred early during treatment and declined from 42.4 per 100 person-months in the 1st week of treatment to 2.2 per 100 person-months after at the 3rd month of treatment. Mortality was highest between October to December period (9.1 per 100 pm) and lowest between July and September (2.8 per 100 pm). Risk factors for mortality included previous TB treatment (aHR 2.04:95%CI;1.09–3.84); HIV infection (aHR 1.66:95%CI;1.02–2.71), having either extra-pulmonary disease (aHR 2.21:95%CI;1.26–3.89) or both pulmonary and extrapulmonary disease (aHR 3.03:95%CI;1.70–5.40). Conclusions: Mortality was high and occurred early during treatment in this cohort, likely indicative of poor access to prompt TB diagnosis and treatment. A redoubling of efforts at improving universal health coverage are required to achieve the End TB Strategy target of zero deaths from TB.","author":[{"dropping-particle":"","family":"Adamu","given":"Aishatu L.","non-dropping-particle":"","parse-names":false,"suffix":""},{"dropping-particle":"","family":"Aliyu","given":"Muktar H.","non-dropping-particle":"","parse-names":false,"suffix":""},{"dropping-particle":"","family":"Galadanci","given":"Najiba Aliyu","non-dropping-particle":"","parse-names":false,"suffix":""},{"dropping-particle":"","family":"Musa","given":"Baba Maiyaki","non-dropping-particle":"","parse-names":false,"suffix":""},{"dropping-particle":"","family":"Gadanya","given":"Muktar A.","non-dropping-particle":"","parse-names":false,"suffix":""},{"dropping-particle":"","family":"Gajida","given":"Auwalu U.","non-dropping-particle":"","parse-names":false,"suffix":""},{"dropping-particle":"","family":"Amole","given":"Taiwo G.","non-dropping-particle":"","parse-names":false,"suffix":""},{"dropping-particle":"","family":"Bello","given":"Imam W.","non-dropping-particle":"","parse-names":false,"suffix":""},{"dropping-particle":"","family":"Gambo","given":"Safiya","non-dropping-particle":"","parse-names":false,"suffix":""},{"dropping-particle":"","family":"Abubakar","given":"Ibrahim","non-dropping-particle":"","parse-names":false,"suffix":""}],"container-title":"PLoS ONE","id":"ITEM-1","issue":"8","issued":{"date-parts":[["2017"]]},"page":"1-12","title":"Deaths during tuberculosis treatment among paediatric patients in a large tertiary hospital in Nigeria","type":"article-journal","volume":"12"},"uris":["http://www.mendeley.com/documents/?uuid=7aa74d04-379e-4e0f-bca0-6c6ac91cbfca"]}],"mendeley":{"formattedCitation":"(19)","plainTextFormattedCitation":"(19)","previouslyFormattedCitation":"(7)"},"properties":{"noteIndex":0},"schema":"https://github.com/citation-style-language/schema/raw/master/csl-citation.json"}</w:instrText>
            </w:r>
            <w:r>
              <w:rPr>
                <w:sz w:val="22"/>
              </w:rPr>
              <w:fldChar w:fldCharType="separate"/>
            </w:r>
            <w:r w:rsidRPr="00D61E61">
              <w:rPr>
                <w:noProof/>
                <w:sz w:val="22"/>
              </w:rPr>
              <w:t>(19)</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proofErr w:type="spellStart"/>
            <w:r w:rsidRPr="004A4572">
              <w:rPr>
                <w:sz w:val="22"/>
              </w:rPr>
              <w:t>Atalell</w:t>
            </w:r>
            <w:proofErr w:type="spellEnd"/>
            <w:r w:rsidRPr="004A4572">
              <w:rPr>
                <w:sz w:val="22"/>
              </w:rPr>
              <w:t xml:space="preserve"> et al</w:t>
            </w:r>
            <w:r>
              <w:rPr>
                <w:sz w:val="22"/>
              </w:rPr>
              <w:t xml:space="preserve"> (</w:t>
            </w:r>
            <w:r w:rsidRPr="004A4572">
              <w:rPr>
                <w:sz w:val="22"/>
              </w:rPr>
              <w:t>2018</w:t>
            </w:r>
            <w:r>
              <w:rPr>
                <w:sz w:val="22"/>
              </w:rPr>
              <w:t xml:space="preserve">) </w:t>
            </w:r>
            <w:r>
              <w:rPr>
                <w:sz w:val="22"/>
              </w:rPr>
              <w:fldChar w:fldCharType="begin" w:fldLock="1"/>
            </w:r>
            <w:r>
              <w:rPr>
                <w:sz w:val="22"/>
              </w:rPr>
              <w:instrText>ADDIN CSL_CITATION {"citationItems":[{"id":"ITEM-1","itemData":{"DOI":"10.1371/journal.pone.0197145","ISBN":"1111111111","ISSN":"19326203","PMID":"29787596","abstract":"Background Tuberculosis (TB) is the leading cause of death in Human immunodeficiency virus (HIV) infected children globally. The aims of this study were to determine the mortality rate and to identify the predictors of mortality among TB/HIV co-infected children at University of Gondar Comprehensive Specialized Hospital. Method A retrospective follow-up study was conducted among TB/HIV co-infected children from February 2005 to March 2017. A Kaplan–Meier curve was used to estimate the median survival time. Bivariate and multivariable Cox proportional hazards models were fitted to identify the predictors of mortality. Results A total of 271 TB/HIV co-infected children were included in the analysis. Of these, 38 (14.02%) children were died during the follow-up period. This gives a total of 1167.67 child-years of observations. The overall mortality rate was 3.27(95%CI: 2.3–4.5) per 100 child-years. The independent predictors of time to death were age 1–5 years (as compared to age &lt;1 year) (AHR = 0.3; 95%CI:0.09–0.98)), being anemic (AHR = 2.6; 95%CI:1.24–5.3), cotrimoxazole preventive therapy(CPT) non-users (AHR = 4.1; 95%CI:1.4–16.75), isoniazid preventive therapy(IPT) non-users (AHR = 2.95; 95%CI:1.16–7.5), having extra pulmonary tuberculosis(EPTB) (AHR = 2.43; 95%CI:1.1–5.3)) and fair or poor adherence to Anti-Retro-viral Therapy (ART)(AHR = 3.5; 95%CI:1.7–7.5). Conclusion Mortality rate among TB/HIV co-infected children was high at University of Gondar Comprehensive Specialized Hospital. Age, extra-pulmonary tuberculosis, anemia, adherence, CPT and IPT were the independent predictors of mortality.","author":[{"dropping-particle":"","family":"Atalell","given":"Kendalem Asmare","non-dropping-particle":"","parse-names":false,"suffix":""},{"dropping-particle":"","family":"Tebeje","given":"Nigusie Birhan","non-dropping-particle":"","parse-names":false,"suffix":""},{"dropping-particle":"","family":"Ekubagewargies","given":"Daniale Tekelia","non-dropping-particle":"","parse-names":false,"suffix":""}],"container-title":"PLoS ONE","id":"ITEM-1","issue":"5","issued":{"date-parts":[["2018"]]},"page":"1-12","title":"Survival and predictors of mortality among children co-infected with tuberculosis and human immunodeficiency virus at University of Gondar Comprehensive Specialized Hospital, Northwest Ethiopia. A retrospective follow-up study","type":"article-journal","volume":"13"},"uris":["http://www.mendeley.com/documents/?uuid=7d0a2de9-82aa-4c3f-adad-ace22472151c"]}],"mendeley":{"formattedCitation":"(23)","plainTextFormattedCitation":"(23)","previouslyFormattedCitation":"(11)"},"properties":{"noteIndex":0},"schema":"https://github.com/citation-style-language/schema/raw/master/csl-citation.json"}</w:instrText>
            </w:r>
            <w:r>
              <w:rPr>
                <w:sz w:val="22"/>
              </w:rPr>
              <w:fldChar w:fldCharType="separate"/>
            </w:r>
            <w:r w:rsidRPr="00D61E61">
              <w:rPr>
                <w:noProof/>
                <w:sz w:val="22"/>
              </w:rPr>
              <w:t>(23)</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Onyango et al</w:t>
            </w:r>
            <w:r>
              <w:rPr>
                <w:sz w:val="22"/>
              </w:rPr>
              <w:t xml:space="preserve"> (</w:t>
            </w:r>
            <w:r w:rsidRPr="004A4572">
              <w:rPr>
                <w:sz w:val="22"/>
              </w:rPr>
              <w:t>2018</w:t>
            </w:r>
            <w:r>
              <w:rPr>
                <w:sz w:val="22"/>
              </w:rPr>
              <w:t xml:space="preserve">) </w:t>
            </w:r>
            <w:r>
              <w:rPr>
                <w:sz w:val="22"/>
              </w:rPr>
              <w:fldChar w:fldCharType="begin" w:fldLock="1"/>
            </w:r>
            <w:r>
              <w:rPr>
                <w:sz w:val="22"/>
              </w:rPr>
              <w:instrText>ADDIN CSL_CITATION {"citationItems":[{"id":"ITEM-1","itemData":{"DOI":"10.1016/j.jpeds.2018.05.017","ISSN":"10976833","PMID":"29885751","abstract":"Objectives: To describe the epidemiology of childhood tuberculosis (TB) in Kenya, assess the magnitude of TB/human immunodeficiency virus (HIV) co-infection and identify risk factors for mortality during TB treatment. Study design: We conducted a retrospective analysis of the Kenyan national TB program data for patients enrolled from 2013 through 2015. A total of 23 753 children aged less than 15 years were included in the analysis. Survival analysis was performed with censorship at 9 months and mortality was the main outcome. We used Cox proportional hazards regression for assessing risk factors for mortality. Results: Childhood TB accounted for 9% (n = 24 216) of all patients with TB; 98% of the notified children (n = 23 753) were included in the analysis. TB/HIV co-infection was 28% (n = 6112). Most TB cases (71%; n = 16 969) were detected through self-referral. Treatment was successful in 90% (n = 19 088) and 4% (n = 1058) died. Independent risk factors for mortality included being HIV infected but not on antiretroviral therapy (adjusted hazard ratio [aHR], 4.84; 95% CI, 3.59-6.51), being HIV infected and on antiretroviral therapy (aHR, 3.69; 95% CI, 3.14-4.35), children aged less than 5 years (aHR, 1.25; 95% CI, 1.08-1.44), and being diagnosed with smear negative pulmonary disease (aHR, 1.68; 95% CI, 1.27-2.24). Conclusions: Most childhood TB cases in Kenya were detected through passive case finding. TB/HIV co-infection is high among children on treatment for TB, and HIV is associated with an increased risk of death. There is a need to intensify active case finding among children. TB prevention interventions among HIV-infected children, early diagnosis of HIV, and early antiretroviral therapy initiation among children on TB treatment should be strengthened.","author":[{"dropping-particle":"","family":"Onyango","given":"Dickens Otieno","non-dropping-particle":"","parse-names":false,"suffix":""},{"dropping-particle":"","family":"Yuen","given":"Courtney M.","non-dropping-particle":"","parse-names":false,"suffix":""},{"dropping-particle":"","family":"Masini","given":"Enos","non-dropping-particle":"","parse-names":false,"suffix":""},{"dropping-particle":"","family":"Borgdorff","given":"Martien Willem","non-dropping-particle":"","parse-names":false,"suffix":""}],"container-title":"Journal of Pediatrics","id":"ITEM-1","issued":{"date-parts":[["2018"]]},"page":"115-121","publisher":"Elsevier Inc.","title":"Epidemiology of Pediatric Tuberculosis in Kenya and Risk Factors for Mortality during Treatment: A National Retrospective Cohort Study","type":"article-journal","volume":"201"},"uris":["http://www.mendeley.com/documents/?uuid=262c623a-1879-4198-aac7-e3185e878b37"]}],"mendeley":{"formattedCitation":"(24)","plainTextFormattedCitation":"(24)","previouslyFormattedCitation":"(12)"},"properties":{"noteIndex":0},"schema":"https://github.com/citation-style-language/schema/raw/master/csl-citation.json"}</w:instrText>
            </w:r>
            <w:r>
              <w:rPr>
                <w:sz w:val="22"/>
              </w:rPr>
              <w:fldChar w:fldCharType="separate"/>
            </w:r>
            <w:r w:rsidRPr="00D61E61">
              <w:rPr>
                <w:noProof/>
                <w:sz w:val="22"/>
              </w:rPr>
              <w:t>(24)</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Mutanga et al</w:t>
            </w:r>
            <w:r>
              <w:rPr>
                <w:sz w:val="22"/>
              </w:rPr>
              <w:t xml:space="preserve"> (</w:t>
            </w:r>
            <w:r w:rsidRPr="004A4572">
              <w:rPr>
                <w:sz w:val="22"/>
              </w:rPr>
              <w:t>2019</w:t>
            </w:r>
            <w:r>
              <w:rPr>
                <w:sz w:val="22"/>
              </w:rPr>
              <w:t xml:space="preserve">) </w:t>
            </w:r>
            <w:r>
              <w:rPr>
                <w:sz w:val="22"/>
              </w:rPr>
              <w:fldChar w:fldCharType="begin" w:fldLock="1"/>
            </w:r>
            <w:r>
              <w:rPr>
                <w:sz w:val="22"/>
              </w:rPr>
              <w:instrText>ADDIN CSL_CITATION {"citationItems":[{"id":"ITEM-1","itemData":{"DOI":"10.1186/s12889-019-6444-7","ISSN":"14712458","PMID":"30691416","abstract":"Background: In 2017, 64% of children living with HIV in Zambia accessed Antiretroviral Therapy (ART). Despite expanded ART coverage, there is paucity of information on effectiveness of pediatric ART in reducing mortality. The aim of this research is to describe treatment outcomes, measure mortality rates and assess predictors of mortality among children receiving ART. Methods: Using a retrospective cohort study design, we abstracted routinely collected clinical data from medical records of children from birth to 15 years old, who had received ART for at least 6 months at Livingstone Central Hospital in Southern Province Zambia, between January 2003 and June 2015. The primary outcome was death. Cause of death was ascertained from medical records and death certificates. Distribution of survival times according to baseline covariates were estimated using Kaplan Meier and Cox Proportional Hazards methods. Results: Overall, 1039 children were commenced on ART during the study period. The median age at treatment initiation was 3.6 years (IQR: 1.3-8.6) and 520 (50%) children were female. Of these, 71 (7%) died, 164 (16%) were lost to follow-up, 210 (20%) transferred and 594 (56%) were actively on treatment. After 4450 person years, mortality rate was 1.6/100 (95% CI: 1.4-1.8). Mortality was highest during the first 3 months of treatment (11.7/100 (95% CI: 7.6-16.3). In multivariable proportional hazards regression, the adjusted hazards of death were highest among children aged &lt; 1 year (aHR = 3.1 (95% CI: 1.3-6.4), compared to those aged 6-15 years, WHO stage 4 (aHR =4.8 (95% CI: 2.3-10), compared to WHO stage 1 and 2. In the sensitivity analysis to address bias due to loss to follow-up, mortality increased 5 times when we assumed that all the children who were lost to follow up died within 90 days of their last visit. Conclusion: We observed low attrition due to mortality among children on ART. Loss to follow-up was high (16%). Mortality was highest during the first 3 months of treatment. Children aged less than one year and those with advanced WHO disease stage had higher mortality. We recommend effective interventions to improve retention in care and early diagnosis of HIV in children.","author":[{"dropping-particle":"","family":"Mutanga","given":"Jane N","non-dropping-particle":"","parse-names":false,"suffix":""},{"dropping-particle":"","family":"Mutembo","given":"Simon","non-dropping-particle":"","parse-names":false,"suffix":""},{"dropping-particle":"","family":"Ezeamama","given":"Amara E","non-dropping-particle":"","parse-names":false,"suffix":""},{"dropping-particle":"","family":"Song","given":"Xiao","non-dropping-particle":"","parse-names":false,"suffix":""},{"dropping-particle":"","family":"Fubisha","given":"Robert C","non-dropping-particle":"","parse-names":false,"suffix":""},{"dropping-particle":"","family":"Mutesu-Kapembwa","given":"Kunda","non-dropping-particle":"","parse-names":false,"suffix":""},{"dropping-particle":"","family":"Sialondwe","given":"Derrick","non-dropping-particle":"","parse-names":false,"suffix":""},{"dropping-particle":"","family":"Simuchembu","given":"Brenda","non-dropping-particle":"","parse-names":false,"suffix":""},{"dropping-particle":"","family":"Chinyonga","given":"Jelita","non-dropping-particle":"","parse-names":false,"suffix":""},{"dropping-particle":"","family":"Thuma","given":"Philip E","non-dropping-particle":"","parse-names":false,"suffix":""},{"dropping-particle":"","family":"Whalen","given":"Christopher C","non-dropping-particle":"","parse-names":false,"suffix":""}],"container-title":"BMC Public Health","id":"ITEM-1","issue":"1","issued":{"date-parts":[["2019","12","28"]]},"page":"115","publisher":"BMC Public Health","title":"Long-term survival outcomes of HIV infected children receiving antiretroviral therapy: An observational study from Zambia (2003-2015)","type":"article-journal","volume":"19"},"uris":["http://www.mendeley.com/documents/?uuid=b3b34698-14bf-4e51-9bd0-d0d4d37afb6d"]}],"mendeley":{"formattedCitation":"(26)","plainTextFormattedCitation":"(26)","previouslyFormattedCitation":"(15)"},"properties":{"noteIndex":0},"schema":"https://github.com/citation-style-language/schema/raw/master/csl-citation.json"}</w:instrText>
            </w:r>
            <w:r>
              <w:rPr>
                <w:sz w:val="22"/>
              </w:rPr>
              <w:fldChar w:fldCharType="separate"/>
            </w:r>
            <w:r w:rsidRPr="00D61E61">
              <w:rPr>
                <w:noProof/>
                <w:sz w:val="22"/>
              </w:rPr>
              <w:t>(26)</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Chanie et al</w:t>
            </w:r>
            <w:r>
              <w:rPr>
                <w:sz w:val="22"/>
              </w:rPr>
              <w:t xml:space="preserve"> (</w:t>
            </w:r>
            <w:r w:rsidRPr="004A4572">
              <w:rPr>
                <w:sz w:val="22"/>
              </w:rPr>
              <w:t>2021</w:t>
            </w:r>
            <w:r>
              <w:rPr>
                <w:sz w:val="22"/>
              </w:rPr>
              <w:t xml:space="preserve">) </w:t>
            </w:r>
            <w:r>
              <w:rPr>
                <w:sz w:val="22"/>
              </w:rPr>
              <w:fldChar w:fldCharType="begin" w:fldLock="1"/>
            </w:r>
            <w:r>
              <w:rPr>
                <w:sz w:val="22"/>
              </w:rPr>
              <w:instrText>ADDIN CSL_CITATION {"citationItems":[{"id":"ITEM-1","itemData":{"DOI":"10.1371/journal.pone.0258964","ISBN":"1111111111","ISSN":"19326203","PMID":"34932563","abstract":"Introduction In resource-limited settings, the mortality rate among tuberculosis and human Immunodeficiency virus co-infected children is higher. However, there is no adequate evidence in Ethiopia in general and in the study area in particular. Hence, this study aims to estimate lifetime survival and predictors of mortality among TB with HIV co-infected children after test and treat strategies launched in Northwest Ethiopia Hospitals, 2021. Methods Institution-based historical follow-up study was conducted in Northwest Ethiopia Hospitals among 227 Tuberculosis and Human Immunodeficiency Virus co-infected children from March 1, 2014, to January 12, 2021. The data were entered into Epi info-7 and then exported to STATA version 14 for analysis. The log-rank test was used to estimate the curve difference of the predictor variables. Bivariable cox-proportional hazard models were employed for each predictor variable. Additionally, those variables having a p-value &lt; 0.25 in bivariate analysis were fitted into a multivariable cox-proportional hazards model. P-value &lt; 0.05 was used to declare significance associated with the dependent variable. Results From a total of 227 TB and HIV co-infected children, 39 died during the follow-up period. The overall mortality rate was 3.7 (95% CI (confidence interval): 2.9-4.7) per 100 personyears with a total of 1063.2-year observations. Cotrimoxazole preventive therapy (CPT) non-users [Adjusted Hazarded Ratio (AHR) = 3.8 (95% CI: 1.64-8.86)], presence of treatment failure [AHR = 3.0 (95% CI: 1.14-78.17)], and Cluster of differentiation 4(CD4) count below threshold [AHR = 2.7 (95% CI: 1.21-6.45)] were significant predictors of mortality. Conclusion In this study, the mortality rate among TB and HIV co-infected children was found to be very high. The risk of mortality among TB and HIV co-infected children was associated with treatment failure, CD4 count below the threshold, and cotrimoxazole preventive therapy nonusers. Further research should conduct to assess and improve the quality of ART service in Northwest Ethiopia Hospitals.","author":[{"dropping-particle":"","family":"Chanie","given":"Ermias Sisay","non-dropping-particle":"","parse-names":false,"suffix":""},{"dropping-particle":"","family":"Gelaye","given":"Getnet Asmare","non-dropping-particle":"","parse-names":false,"suffix":""},{"dropping-particle":"","family":"Tadesse","given":"Tesfaye Yimer","non-dropping-particle":"","parse-names":false,"suffix":""},{"dropping-particle":"","family":"Feleke","given":"Dejen Getaneh","non-dropping-particle":"","parse-names":false,"suffix":""},{"dropping-particle":"","family":"Admas","given":"Wubet Taklual","non-dropping-particle":"","parse-names":false,"suffix":""},{"dropping-particle":"","family":"Alemu","given":"Eshetie Molla","non-dropping-particle":"","parse-names":false,"suffix":""},{"dropping-particle":"","family":"Azanaw","given":"Melkalem Mamoye","non-dropping-particle":"","parse-names":false,"suffix":""},{"dropping-particle":"","family":"Tiruneh","given":"Sofonyas Abebaw","non-dropping-particle":"","parse-names":false,"suffix":""},{"dropping-particle":"","family":"Gebremariam","given":"Alemayehu Digssie","non-dropping-particle":"","parse-names":false,"suffix":""},{"dropping-particle":"","family":"Birhane","given":"Binyam Minuye","non-dropping-particle":"","parse-names":false,"suffix":""},{"dropping-particle":"","family":"Bayih","given":"Wubet Alebachew","non-dropping-particle":"","parse-names":false,"suffix":""},{"dropping-particle":"","family":"Aragie","given":"Getachew","non-dropping-particle":"","parse-names":false,"suffix":""}],"container-title":"PLoS ONE","id":"ITEM-1","issue":"12 December","issued":{"date-parts":[["2021"]]},"page":"1-13","title":"Estimation of lifetime survival and predictors of mortality among TB with HIV co-infected children after test and treat strategies launched in Northwest, Ethiopia, 2021; a multicentre historical follow-up study","type":"article-journal","volume":"16"},"uris":["http://www.mendeley.com/documents/?uuid=85ec33ba-1c91-4a31-8505-6124e995587b"]}],"mendeley":{"formattedCitation":"(30)","plainTextFormattedCitation":"(30)","previouslyFormattedCitation":"(19)"},"properties":{"noteIndex":0},"schema":"https://github.com/citation-style-language/schema/raw/master/csl-citation.json"}</w:instrText>
            </w:r>
            <w:r>
              <w:rPr>
                <w:sz w:val="22"/>
              </w:rPr>
              <w:fldChar w:fldCharType="separate"/>
            </w:r>
            <w:r w:rsidRPr="00D61E61">
              <w:rPr>
                <w:noProof/>
                <w:sz w:val="22"/>
              </w:rPr>
              <w:t>(30)</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Nigussie et al</w:t>
            </w:r>
            <w:r>
              <w:rPr>
                <w:sz w:val="22"/>
              </w:rPr>
              <w:t xml:space="preserve"> (</w:t>
            </w:r>
            <w:r w:rsidRPr="004A4572">
              <w:rPr>
                <w:sz w:val="22"/>
              </w:rPr>
              <w:t>2021</w:t>
            </w:r>
            <w:r>
              <w:rPr>
                <w:sz w:val="22"/>
              </w:rPr>
              <w:t xml:space="preserve">) </w:t>
            </w:r>
            <w:r>
              <w:rPr>
                <w:sz w:val="22"/>
              </w:rPr>
              <w:fldChar w:fldCharType="begin" w:fldLock="1"/>
            </w:r>
            <w:r>
              <w:rPr>
                <w:sz w:val="22"/>
              </w:rPr>
              <w:instrText>ADDIN CSL_CITATION {"citationItems":[{"id":"ITEM-1","itemData":{"DOI":"10.26717/BJSTR.2021.39.006252","ISSN":"25741241","abstract":"… Tuberculosis is a major cause of morbidity and mortality in children infected with the human immunodeficiency virus. Evidence on survival and predictors of mortality among TB and HIV …","author":[{"dropping-particle":"","family":"Nigussie","given":"Jemberu","non-dropping-particle":"","parse-names":false,"suffix":""},{"dropping-particle":"","family":"Kassa","given":"Mekuria","non-dropping-particle":"","parse-names":false,"suffix":""},{"dropping-particle":"","family":"Halefom","given":"Goitom","non-dropping-particle":"","parse-names":false,"suffix":""},{"dropping-particle":"","family":"Hadush","given":"Haven","non-dropping-particle":"","parse-names":false,"suffix":""},{"dropping-particle":"","family":"Grima","given":"Bekahegn","non-dropping-particle":"","parse-names":false,"suffix":""}],"container-title":"Biomedical Journal of Scientific &amp; Technical Research","id":"ITEM-1","issue":"1","issued":{"date-parts":[["2021","9","30"]]},"page":"31026-31034","title":"Predictors of Mortality Among Children Co-Infected with Tuberculosis and Human Immunodeficiency Virus in Region, North Ethiopia, Retrospective Follow- Up Study","type":"article-journal","volume":"39"},"uris":["http://www.mendeley.com/documents/?uuid=744238c7-1b5a-41cd-b86c-9d5d06af1378"]}],"mendeley":{"formattedCitation":"(29)","plainTextFormattedCitation":"(29)","previouslyFormattedCitation":"(18)"},"properties":{"noteIndex":0},"schema":"https://github.com/citation-style-language/schema/raw/master/csl-citation.json"}</w:instrText>
            </w:r>
            <w:r>
              <w:rPr>
                <w:sz w:val="22"/>
              </w:rPr>
              <w:fldChar w:fldCharType="separate"/>
            </w:r>
            <w:r w:rsidRPr="00D61E61">
              <w:rPr>
                <w:noProof/>
                <w:sz w:val="22"/>
              </w:rPr>
              <w:t>(29)</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r w:rsidRPr="004A4572">
              <w:rPr>
                <w:sz w:val="22"/>
              </w:rPr>
              <w:t>Dawit et al</w:t>
            </w:r>
            <w:r>
              <w:rPr>
                <w:sz w:val="22"/>
              </w:rPr>
              <w:t xml:space="preserve"> (</w:t>
            </w:r>
            <w:r w:rsidRPr="004A4572">
              <w:rPr>
                <w:sz w:val="22"/>
              </w:rPr>
              <w:t>2021</w:t>
            </w:r>
            <w:r>
              <w:rPr>
                <w:sz w:val="22"/>
              </w:rPr>
              <w:t xml:space="preserve">) </w:t>
            </w:r>
            <w:r>
              <w:rPr>
                <w:sz w:val="22"/>
              </w:rPr>
              <w:fldChar w:fldCharType="begin" w:fldLock="1"/>
            </w:r>
            <w:r>
              <w:rPr>
                <w:sz w:val="22"/>
              </w:rPr>
              <w:instrText>ADDIN CSL_CITATION {"citationItems":[{"id":"ITEM-1","itemData":{"DOI":"10.1371/journal.pone.0253449","ISBN":"1111111111","ISSN":"19326203","PMID":"34191846","abstract":"Background Tuberculosis and human immune deficiency virus co-infections remained the most common cause of child mortality for the last ten years. Globally, 1.2 million cases of tuberculosis occurred in patients living with HIV/AIDS, of which 1.0 million cases occurred in children. The public health impact of tuberculosis and human immune deficiency virus co-infection among children is high in developing countries and Sub-Saharan Africa accompanied three fourth of the global burden. However, there are limited studies that assess the incidence and predictors of mortality among tuberculosis and human immune deficiency virus co-infected children in Ethiopia. Methods A facility-based retrospective cohort study was conducted at Public hospitals in Southern Ethiopia with a total of 286 randomly selected records of ART enrolled children from 1st January 2009 to 31stDecember 2018. Data were entered into Epi Data version 3.1 and exported to STATA version 14 for analysis. Bivariate and multivariable Cox proportional hazards model was fitted to identify the predictors of mortality. Variables that had a p-value&lt;0.05 at 95%CI in the multivariable cox proportional hazard model were considered as statistically significant. Results A total of 274 tuberculosis and human immunodeficiency virus co-infected children's records were reviewed. The incidence of mortality among tuberculosis and human immunodeficiency virus co-infected children was 17.15 per 100 children. The overall incidence density rate of mortality was 2.97(95%CI: 2.2, 3.9) per 100 child year of observation and being anemic (AHR: 2.6; 95%CI: 1.28, 5.21), not initiating isoniazid prophylaxis therapy (AHR: 2.8; 95%CI: 1.44, 5.48), developing extrapulmonary tuberculosis (AHR: 5.7; 95%CI: 2.67, 12.56) and non-adherence (AHR: 5.2; 95%CI: 2.19, 12.39) were independent predictors of mortality. Conclusion Mortality rate was high among TB/HIV co-infected children at the public hospitals in Southern Ethiopia. Extra-pulmonary tuberculosis, anemia, non-adherence, and isoniazid preventive therapy use were statistically significant predictors of mortality among TB/HIV coinfected children. Therefore, extra pulmonary tuberculosis, and anemia should be closely monitored to increase their adherence as well as they should be provided with isoniazid preventive therapy.","author":[{"dropping-particle":"","family":"Dawit","given":"Zinabu","non-dropping-particle":"","parse-names":false,"suffix":""},{"dropping-particle":"","family":"Abebe","given":"Sintayehu","non-dropping-particle":"","parse-names":false,"suffix":""},{"dropping-particle":"","family":"Dessu","given":"Samuel","non-dropping-particle":"","parse-names":false,"suffix":""},{"dropping-particle":"","family":"Mesele","given":"Molalegn","non-dropping-particle":"","parse-names":false,"suffix":""},{"dropping-particle":"","family":"Sahile","given":"Serekebirhan","non-dropping-particle":"","parse-names":false,"suffix":""},{"dropping-particle":"","family":"Ajema","given":"Desalegn","non-dropping-particle":"","parse-names":false,"suffix":""}],"container-title":"PLoS ONE","id":"ITEM-1","issue":"6 June","issued":{"date-parts":[["2021"]]},"page":"1-14","title":"Incidence and predictors of mortality among children co-infected with tuberculosis and human immunodeficiency virus at public hospitals in Southern Ethiopia","type":"article-journal","volume":"16"},"uris":["http://www.mendeley.com/documents/?uuid=2b9635ce-5382-414b-9700-122993a3c30a"]}],"mendeley":{"formattedCitation":"(28)","plainTextFormattedCitation":"(28)","previouslyFormattedCitation":"(17)"},"properties":{"noteIndex":0},"schema":"https://github.com/citation-style-language/schema/raw/master/csl-citation.json"}</w:instrText>
            </w:r>
            <w:r>
              <w:rPr>
                <w:sz w:val="22"/>
              </w:rPr>
              <w:fldChar w:fldCharType="separate"/>
            </w:r>
            <w:r w:rsidRPr="00D61E61">
              <w:rPr>
                <w:noProof/>
                <w:sz w:val="22"/>
              </w:rPr>
              <w:t>(28)</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proofErr w:type="spellStart"/>
            <w:r w:rsidRPr="004A4572">
              <w:rPr>
                <w:sz w:val="22"/>
              </w:rPr>
              <w:t>Afrane</w:t>
            </w:r>
            <w:proofErr w:type="spellEnd"/>
            <w:r w:rsidRPr="004A4572">
              <w:rPr>
                <w:sz w:val="22"/>
              </w:rPr>
              <w:t xml:space="preserve"> et al</w:t>
            </w:r>
            <w:r>
              <w:rPr>
                <w:sz w:val="22"/>
              </w:rPr>
              <w:t xml:space="preserve"> (</w:t>
            </w:r>
            <w:r w:rsidRPr="004A4572">
              <w:rPr>
                <w:sz w:val="22"/>
              </w:rPr>
              <w:t>2022</w:t>
            </w:r>
            <w:r>
              <w:rPr>
                <w:sz w:val="22"/>
              </w:rPr>
              <w:t xml:space="preserve">) </w:t>
            </w:r>
            <w:r>
              <w:rPr>
                <w:sz w:val="22"/>
              </w:rPr>
              <w:fldChar w:fldCharType="begin" w:fldLock="1"/>
            </w:r>
            <w:r>
              <w:rPr>
                <w:sz w:val="22"/>
              </w:rPr>
              <w:instrText>ADDIN CSL_CITATION {"citationItems":[{"id":"ITEM-1","itemData":{"DOI":"10.11604/pamj.2022.43.90.35440","ISSN":"19378688","PMID":"36605983","abstract":"Introduction: tuberculosis (TB) is a major cause of morbidity and mortality in children in low-and middle-income countries. This study described the clinical presentation and identified factors contributing to poor outcome of childhood TB at Korle Bu Teaching Hospital (KBTH), Accra, Ghana. Methods: this was a retrospective cohort study of children aged ≤ 14 years with TB registered for treatment at KBTH from 2015 to 2019. Treatment outcomes were recorded as treatment success and unsuccessful outcome (died and loss to follow-up). Multivariable logistics regression was conducted to assess factors associated with an unsuccessful outcome. Results: of 407 children with TB registered during the period, 269 (66.1%) patients had pulmonary tuberculosis (PTB). Of the 138 patients with extra-pulmonary TB (EPTB), 68 (49.3%) had TB lymphadenitis. The TB/HIV coinfection rate was 42.8%. The overall treatment success rate was 68.3%, whilst 71(17.4%) died, and 58 (14.3%) were lost to follow-up. Factors associated with death were age below 1 year (AOR: 3.46, 95% CI: 1.48-8.10, p=0.004) and having HIV coinfection (AOR: 1.89, 95% CI: 1.04-3.43, p=0.037). Factors associated with loss to follow-up were age below 1 year (AOR: 2.91, 95% CI: 1.12-8.59, p=0.029) and having EPTB (AOR: 2.40, 95% CI: 1.24-4.65, p=0.009). Conclusion: childhood TB treatment success in our population was below the national target of 85%, with high mortality and loss to follow-up rates, especially in younger children and those with HIV coinfection or EPTB. Tailored treatment strategies may be needed for children at risk of unsuccessful treatment outcome, especially among infants.","author":[{"dropping-particle":"","family":"Afrane","given":"Adwoa Kumiwa Asare","non-dropping-particle":"","parse-names":false,"suffix":""},{"dropping-particle":"","family":"Alhassan","given":"Yakubu","non-dropping-particle":"","parse-names":false,"suffix":""},{"dropping-particle":"","family":"Ganu","given":"Vincent","non-dropping-particle":"","parse-names":false,"suffix":""},{"dropping-particle":"","family":"Adusi-Poku","given":"Yaw","non-dropping-particle":"","parse-names":false,"suffix":""},{"dropping-particle":"","family":"Goka","given":"Bamenla Quarm","non-dropping-particle":"","parse-names":false,"suffix":""},{"dropping-particle":"","family":"Kwara","given":"Awewura","non-dropping-particle":"","parse-names":false,"suffix":""}],"container-title":"Pan African Medical Journal","id":"ITEM-1","issued":{"date-parts":[["2022"]]},"title":"Childhood tuberculosis and factors associated with mortality and loss to follow-up at a major paediatric treatment centre in Southern Ghana","type":"article-journal","volume":"43"},"uris":["http://www.mendeley.com/documents/?uuid=26086a8e-9950-4a3f-9720-3063c01a52a4"]}],"mendeley":{"formattedCitation":"(33)","plainTextFormattedCitation":"(33)","previouslyFormattedCitation":"(22)"},"properties":{"noteIndex":0},"schema":"https://github.com/citation-style-language/schema/raw/master/csl-citation.json"}</w:instrText>
            </w:r>
            <w:r>
              <w:rPr>
                <w:sz w:val="22"/>
              </w:rPr>
              <w:fldChar w:fldCharType="separate"/>
            </w:r>
            <w:r w:rsidRPr="00D61E61">
              <w:rPr>
                <w:noProof/>
                <w:sz w:val="22"/>
              </w:rPr>
              <w:t>(33)</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Pr>
                <w:sz w:val="22"/>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9F1030">
              <w:rPr>
                <w:sz w:val="22"/>
              </w:rPr>
              <w:t>Good</w:t>
            </w:r>
          </w:p>
        </w:tc>
      </w:tr>
      <w:tr w:rsidR="00435D8D" w:rsidRPr="004A4572" w:rsidTr="00500DAA">
        <w:trPr>
          <w:trHeight w:val="288"/>
        </w:trPr>
        <w:tc>
          <w:tcPr>
            <w:tcW w:w="727" w:type="pct"/>
            <w:noWrap/>
            <w:hideMark/>
          </w:tcPr>
          <w:p w:rsidR="00435D8D" w:rsidRPr="004A4572" w:rsidRDefault="00435D8D" w:rsidP="00435D8D">
            <w:pPr>
              <w:spacing w:line="240" w:lineRule="auto"/>
              <w:rPr>
                <w:sz w:val="22"/>
              </w:rPr>
            </w:pPr>
            <w:r w:rsidRPr="004A4572">
              <w:rPr>
                <w:sz w:val="22"/>
              </w:rPr>
              <w:t>Gemechu et al</w:t>
            </w:r>
            <w:r>
              <w:rPr>
                <w:sz w:val="22"/>
              </w:rPr>
              <w:t xml:space="preserve"> (</w:t>
            </w:r>
            <w:r w:rsidRPr="004A4572">
              <w:rPr>
                <w:sz w:val="22"/>
              </w:rPr>
              <w:t>2022</w:t>
            </w:r>
            <w:r>
              <w:rPr>
                <w:sz w:val="22"/>
              </w:rPr>
              <w:t xml:space="preserve">) </w:t>
            </w:r>
            <w:r>
              <w:rPr>
                <w:sz w:val="22"/>
              </w:rPr>
              <w:fldChar w:fldCharType="begin" w:fldLock="1"/>
            </w:r>
            <w:r>
              <w:rPr>
                <w:sz w:val="22"/>
              </w:rPr>
              <w:instrText>ADDIN CSL_CITATION {"citationItems":[{"id":"ITEM-1","itemData":{"DOI":"10.1186/s13690-021-00713-1","ISSN":"20493258","abstract":"Background: Co-infection of tuberculosis and HIV has a significant impact on public health. TB is the most common opportunistic infection and the leading cause of death in HIV-positive children worldwide. But there is paucity of studies concerning the predictors of mortality among TB-HIV co-infected children. This study aimed to determine the predictors of mortality among TB-HIV co-infected children attending ART clinics of public hospitals in Southern Nation, Nationalities and Peoples Region (SNNPR), Ethiopia. Methods: A hospital-based retrospective cohort study design was used among 284 TB-HIV co-infected children attending ART clinics at selected public hospitals in SNNPR, Ethiopia, from January 2009 to December 2019. Then, medical records of children who were TB/HIV co-infected and on ART were reviewed using a structured data extraction tool. Data were entered using Epidata 4.6 and analyzed using SPSS version 23. The Kaplan Meier survival curve along with log rank tests was used to estimate and compare survival time. Bivariable and multivariable analyses were conducted to identify predictors of mortality among TB/HIV co-infected children. Adjusted Hazard Ratio with p value &lt; 0.05 and 95% confidence interval was considered statistically significant. Result: A total of 284 TB/HIV co-infected children were included in the study. Among these, 35 (12.3%) of them died during the study period. The overall mortality rate was 2.78 (95%CI = 1.98-3.99) per 100 child years of observation. The predictors of mortality were anemia (AHR = 3.6; 95%CI: 1.39-9.31), fair or poor ART drug adherence (AHR = 2.9; 95%CI = 1.15-7.43), extrapulmonary TB (AHR = 3.9; 95%CI: 1.34-11.45) and TB drug resistance (AHR = 5.7; 95%CI: 2.07-15.96). Conclusion: Mortality rate of TB/HIV co-infected children in selected public hospitals in SNNPR, Ethiopia was documented as 2.78 per child years of observation as a result of this study. Moreover, Anemia, drug resistant tuberculosis, extrapulmonary TB and poor adherence to ART drugs were identified as the predictors of mortality among these children.","author":[{"dropping-particle":"","family":"Gemechu","given":"Jifare","non-dropping-particle":"","parse-names":false,"suffix":""},{"dropping-particle":"","family":"Gebremichael","given":"Bereket","non-dropping-particle":"","parse-names":false,"suffix":""},{"dropping-particle":"","family":"Tesfaye","given":"Tewodros","non-dropping-particle":"","parse-names":false,"suffix":""},{"dropping-particle":"","family":"Seyum","given":"Alula","non-dropping-particle":"","parse-names":false,"suffix":""},{"dropping-particle":"","family":"Erkalo","given":"Desta","non-dropping-particle":"","parse-names":false,"suffix":""}],"container-title":"Archives of Public Health","id":"ITEM-1","issue":"1","issued":{"date-parts":[["2022"]]},"page":"1-13","publisher":"Archives of Public Health","title":"Predictors of mortality among TB-HIV co-infected children attending anti-retroviral therapy clinics of selected public hospitals in southern, Ethiopia: retrospective cohort study","type":"article-journal","volume":"80"},"uris":["http://www.mendeley.com/documents/?uuid=bcaf3847-4d77-4aff-bca6-279bc493ccda"]}],"mendeley":{"formattedCitation":"(31)","plainTextFormattedCitation":"(31)","previouslyFormattedCitation":"(20)"},"properties":{"noteIndex":0},"schema":"https://github.com/citation-style-language/schema/raw/master/csl-citation.json"}</w:instrText>
            </w:r>
            <w:r>
              <w:rPr>
                <w:sz w:val="22"/>
              </w:rPr>
              <w:fldChar w:fldCharType="separate"/>
            </w:r>
            <w:r w:rsidRPr="00D61E61">
              <w:rPr>
                <w:noProof/>
                <w:sz w:val="22"/>
              </w:rPr>
              <w:t>(31)</w:t>
            </w:r>
            <w:r>
              <w:rPr>
                <w:sz w:val="22"/>
              </w:rPr>
              <w:fldChar w:fldCharType="end"/>
            </w:r>
          </w:p>
        </w:tc>
        <w:tc>
          <w:tcPr>
            <w:tcW w:w="374" w:type="pct"/>
            <w:noWrap/>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404" w:type="pct"/>
            <w:noWrap/>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437" w:type="pct"/>
            <w:noWrap/>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582" w:type="pct"/>
          </w:tcPr>
          <w:p w:rsidR="00435D8D" w:rsidRPr="004A4572" w:rsidRDefault="00435D8D" w:rsidP="00435D8D">
            <w:pPr>
              <w:spacing w:line="240" w:lineRule="auto"/>
              <w:rPr>
                <w:sz w:val="22"/>
              </w:rPr>
            </w:pPr>
            <w:r>
              <w:rPr>
                <w:sz w:val="22"/>
              </w:rPr>
              <w:t>-</w:t>
            </w:r>
          </w:p>
        </w:tc>
        <w:tc>
          <w:tcPr>
            <w:tcW w:w="485" w:type="pct"/>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437" w:type="pct"/>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341" w:type="pct"/>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389" w:type="pct"/>
          </w:tcPr>
          <w:p w:rsidR="00435D8D" w:rsidRPr="004A4572" w:rsidRDefault="00435D8D" w:rsidP="00435D8D">
            <w:pPr>
              <w:spacing w:line="240" w:lineRule="auto"/>
              <w:rPr>
                <w:sz w:val="22"/>
              </w:rPr>
            </w:pPr>
            <w:r w:rsidRPr="009102D5">
              <w:rPr>
                <w:rFonts w:ascii="Segoe UI Symbol" w:hAnsi="Segoe UI Symbol" w:cs="Segoe UI Symbol"/>
                <w:sz w:val="20"/>
                <w:szCs w:val="20"/>
              </w:rPr>
              <w:t>✯</w:t>
            </w:r>
          </w:p>
        </w:tc>
        <w:tc>
          <w:tcPr>
            <w:tcW w:w="389" w:type="pct"/>
          </w:tcPr>
          <w:p w:rsidR="00435D8D" w:rsidRPr="004A4572" w:rsidRDefault="00435D8D" w:rsidP="00435D8D">
            <w:pPr>
              <w:spacing w:line="240" w:lineRule="auto"/>
              <w:rPr>
                <w:sz w:val="22"/>
              </w:rPr>
            </w:pPr>
            <w:r>
              <w:rPr>
                <w:sz w:val="22"/>
              </w:rPr>
              <w:t>6</w:t>
            </w:r>
            <w:r w:rsidRPr="009102D5">
              <w:rPr>
                <w:rFonts w:ascii="Segoe UI Symbol" w:hAnsi="Segoe UI Symbol" w:cs="Segoe UI Symbol"/>
                <w:sz w:val="20"/>
                <w:szCs w:val="20"/>
              </w:rPr>
              <w:t>✯</w:t>
            </w:r>
          </w:p>
        </w:tc>
        <w:tc>
          <w:tcPr>
            <w:tcW w:w="435" w:type="pct"/>
          </w:tcPr>
          <w:p w:rsidR="00435D8D" w:rsidRPr="004A4572" w:rsidRDefault="005504C1" w:rsidP="00435D8D">
            <w:pPr>
              <w:spacing w:line="240" w:lineRule="auto"/>
              <w:rPr>
                <w:sz w:val="22"/>
              </w:rPr>
            </w:pPr>
            <w:r>
              <w:rPr>
                <w:sz w:val="22"/>
              </w:rPr>
              <w:t>Fair</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proofErr w:type="spellStart"/>
            <w:r w:rsidRPr="004A4572">
              <w:rPr>
                <w:sz w:val="22"/>
              </w:rPr>
              <w:t>Vukugah</w:t>
            </w:r>
            <w:proofErr w:type="spellEnd"/>
            <w:r w:rsidRPr="004A4572">
              <w:rPr>
                <w:sz w:val="22"/>
              </w:rPr>
              <w:t xml:space="preserve"> et al</w:t>
            </w:r>
            <w:r>
              <w:rPr>
                <w:sz w:val="22"/>
              </w:rPr>
              <w:t xml:space="preserve"> (</w:t>
            </w:r>
            <w:r w:rsidRPr="004A4572">
              <w:rPr>
                <w:sz w:val="22"/>
              </w:rPr>
              <w:t>2022</w:t>
            </w:r>
            <w:r>
              <w:rPr>
                <w:sz w:val="22"/>
              </w:rPr>
              <w:t xml:space="preserve">) </w:t>
            </w:r>
            <w:r>
              <w:rPr>
                <w:sz w:val="22"/>
              </w:rPr>
              <w:fldChar w:fldCharType="begin" w:fldLock="1"/>
            </w:r>
            <w:r>
              <w:rPr>
                <w:sz w:val="22"/>
              </w:rPr>
              <w:instrText>ADDIN CSL_CITATION {"citationItems":[{"id":"ITEM-1","itemData":{"DOI":"10.1155/2022/2236110","ISSN":"16877098","abstract":"Background. In Cameroon, there are limited data on treatment outcomes of pediatric tuberculosis (TB). We sought to identify the factors associated with unsuccessful treatment outcomes and the risk factors for mortality among children receiving TB treatment in the Centre Region of Cameroon. Methods. This was a multicentre facility-based retrospective cohort study using routinely collected programmatic data. All children &lt;15 years old treated for TB between 2018 and 2020 in 21 health facilities were included. We assessed risk factors for experiencing an unsuccessful treatment outcome and mortality through multivariable logistic regression analysis. Results. Of the 610 children with TB, 307 (50.3%) were females and the median age was 6 years (IQR = 2-12). One hundred and fifty-three (25.1%) of the children were TB/HIV co-infected patients. TB treatment success (cases categorized as cured and completed treatment) was observed in 488 (80.0%) of the patients. Unsuccessful treatment outcomes were experienced by 122 (20.0%) children. Of these, 73 (12.0%) died, 4 (0.6%) had treatment failure, 25 (4.1%) were lost to follow-up, and the outcomes of 20 (3.3%) children were not evaluated. In multivariable analysis, HIV-positive status (adjusted odds ratio [AOR] = 2.43; 95% CI, 1.55-3.80, p&lt;0.001) and clinical method of TB diagnosis (AOR = 2.46; 95% CI, 1.55-3.91, p&lt;0.001] were associated with unsuccessful treatment outcomes. HIV-positive status (AOR = 4.23; 95% CI, 2.44-7.33, p&lt;0.001) and clinical method of TB diagnosis (AOR = 2.22; 95% CI, 1.25-3.91, p=0.006) were the risk factors for mortality among children on TB treatment. Conclusion. The study found that HIV-TB co-infected children and those clinically diagnosed with TB were significantly more likely to have had unsuccessful TB treatment outcomes and mortality. Our findings underscore the need for healthcare workers to closely monitor and support HIV-TB co-infected children on TB treatment. TB/HIV collaborative activities should be strengthened by implementing TB preventive interventions among HIV-infected children.","author":[{"dropping-particle":"","family":"Vukugah","given":"Thomas Achombwom","non-dropping-particle":"","parse-names":false,"suffix":""},{"dropping-particle":"","family":"Akoku","given":"Derick Akompab","non-dropping-particle":"","parse-names":false,"suffix":""},{"dropping-particle":"","family":"Tchoupa","given":"Micheline Mekemnang","non-dropping-particle":"","parse-names":false,"suffix":""},{"dropping-particle":"","family":"Lambert","given":"Edward","non-dropping-particle":"","parse-names":false,"suffix":""}],"container-title":"Interdisciplinary Perspectives on Infectious Diseases","id":"ITEM-1","issued":{"date-parts":[["2022"]]},"title":"Epidemiology of Pediatric Tuberculosis and Factors Associated with Unsuccessful Treatment Outcomes in the Centre Region of Cameroon: A Three-Year Retrospective Cohort Study","type":"article-journal","volume":"2022"},"uris":["http://www.mendeley.com/documents/?uuid=dd5031f5-ae70-45ec-99c5-489f7c714e6f"]}],"mendeley":{"formattedCitation":"(32)","plainTextFormattedCitation":"(32)","previouslyFormattedCitation":"(21)"},"properties":{"noteIndex":0},"schema":"https://github.com/citation-style-language/schema/raw/master/csl-citation.json"}</w:instrText>
            </w:r>
            <w:r>
              <w:rPr>
                <w:sz w:val="22"/>
              </w:rPr>
              <w:fldChar w:fldCharType="separate"/>
            </w:r>
            <w:r w:rsidRPr="00D61E61">
              <w:rPr>
                <w:noProof/>
                <w:sz w:val="22"/>
              </w:rPr>
              <w:t>(32)</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Pr>
                <w:sz w:val="22"/>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35477D">
              <w:rPr>
                <w:sz w:val="22"/>
              </w:rPr>
              <w:t>Good</w:t>
            </w:r>
          </w:p>
        </w:tc>
      </w:tr>
      <w:tr w:rsidR="005504C1" w:rsidRPr="004A4572" w:rsidTr="00500DAA">
        <w:trPr>
          <w:trHeight w:val="288"/>
        </w:trPr>
        <w:tc>
          <w:tcPr>
            <w:tcW w:w="727" w:type="pct"/>
            <w:noWrap/>
            <w:hideMark/>
          </w:tcPr>
          <w:p w:rsidR="005504C1" w:rsidRPr="004A4572" w:rsidRDefault="005504C1" w:rsidP="005504C1">
            <w:pPr>
              <w:spacing w:line="240" w:lineRule="auto"/>
              <w:rPr>
                <w:sz w:val="22"/>
              </w:rPr>
            </w:pPr>
            <w:proofErr w:type="spellStart"/>
            <w:r w:rsidRPr="004A4572">
              <w:rPr>
                <w:sz w:val="22"/>
              </w:rPr>
              <w:t>Burusie</w:t>
            </w:r>
            <w:proofErr w:type="spellEnd"/>
            <w:r w:rsidRPr="004A4572">
              <w:rPr>
                <w:sz w:val="22"/>
              </w:rPr>
              <w:t xml:space="preserve"> et al</w:t>
            </w:r>
            <w:r>
              <w:rPr>
                <w:sz w:val="22"/>
              </w:rPr>
              <w:t xml:space="preserve"> (</w:t>
            </w:r>
            <w:r w:rsidRPr="004A4572">
              <w:rPr>
                <w:sz w:val="22"/>
              </w:rPr>
              <w:t>2023</w:t>
            </w:r>
            <w:r>
              <w:rPr>
                <w:sz w:val="22"/>
              </w:rPr>
              <w:t xml:space="preserve">) </w:t>
            </w:r>
            <w:r>
              <w:rPr>
                <w:sz w:val="22"/>
              </w:rPr>
              <w:fldChar w:fldCharType="begin" w:fldLock="1"/>
            </w:r>
            <w:r>
              <w:rPr>
                <w:sz w:val="22"/>
              </w:rPr>
              <w:instrText>ADDIN CSL_CITATION {"citationItems":[{"id":"ITEM-1","itemData":{"DOI":"10.1186/s12889-023-16183-9","ISSN":"14712458","PMID":"37403013","abstract":"Background: Childhood tuberculosis (TB) was poorly studied in Ethiopia. This study aimed to describe the epidemiology of childhood TB and identify predictors of death among children on TB treatment. Methods: This is a retrospective cohort study of children aged 16 and younger who were treated for TB between 2014 and 2022. Data were extracted from TB registers of 32 healthcare facilities in central Ethiopia. Phone interview was also conducted to measure variables without a space and not recorded in the registers. Frequency tables and a graph were used to describe the epidemiology of childhood TB. To perform survival analysis, we used a Cox proportional hazards model, which was then challenged with an extended Cox model. Results: We enrolled 640 children with TB, 80 (12.5%) of whom were under the age of two. Five hundred and fifty-seven (87.0%) of the enrolled children had not had known household TB contact. Thirty-six (5.6%) children died while being treated for TB. Nine (25%) of those who died were under the age of two. HIV infection (aHR = 4.2; 95% CI = 1.9–9.3), under nutrition (aHR = 4.2; 95% CI = 2.2-10.48), being under 10 years old (aHR = 4.1; 95% CI = 1.7–9.7), and relapsed TB (aHR = 3.7; 95% CI = 1.1–13.1) were all independent predictors of death. Children who were found to be still undernourished two months after starting TB treatment also had a higher risk of death (aHR = 5.64, 95% CI = 2.42–13.14) than normally nourished children. Conclusions: The majority of children had no known pulmonary TB household contact implying that they contracted TB from the community. The death rate among children on TB treatment was unacceptably high, with children under the age of two being disproportionately impacted. HIV infection, baseline as well as persistent under nutrition, age &lt; 10 years, and relapsed TB all increased the risk of death in children undergoing TB treatment.","author":[{"dropping-particle":"","family":"Burusie","given":"Abay","non-dropping-particle":"","parse-names":false,"suffix":""},{"dropping-particle":"","family":"Enquesilassie","given":"Fikre","non-dropping-particle":"","parse-names":false,"suffix":""},{"dropping-particle":"","family":"Salazar-Austin","given":"Nicole","non-dropping-particle":"","parse-names":false,"suffix":""},{"dropping-particle":"","family":"Addissie","given":"Adamu","non-dropping-particle":"","parse-names":false,"suffix":""}],"container-title":"BMC Public Health","id":"ITEM-1","issue":"1","issued":{"date-parts":[["2023"]]},"page":"1-12","publisher":"BioMed Central","title":"Epidemiology of childhood tuberculosis and predictors of death among children on tuberculosis treatment in central Ethiopia: an extended Cox model challenged survival analysis","type":"article-journal","volume":"23"},"uris":["http://www.mendeley.com/documents/?uuid=9e69352d-8b99-40db-8197-de7b2106afdf"]}],"mendeley":{"formattedCitation":"(34)","plainTextFormattedCitation":"(34)","previouslyFormattedCitation":"(23)"},"properties":{"noteIndex":0},"schema":"https://github.com/citation-style-language/schema/raw/master/csl-citation.json"}</w:instrText>
            </w:r>
            <w:r>
              <w:rPr>
                <w:sz w:val="22"/>
              </w:rPr>
              <w:fldChar w:fldCharType="separate"/>
            </w:r>
            <w:r w:rsidRPr="00D61E61">
              <w:rPr>
                <w:noProof/>
                <w:sz w:val="22"/>
              </w:rPr>
              <w:t>(34)</w:t>
            </w:r>
            <w:r>
              <w:rPr>
                <w:sz w:val="22"/>
              </w:rPr>
              <w:fldChar w:fldCharType="end"/>
            </w:r>
          </w:p>
        </w:tc>
        <w:tc>
          <w:tcPr>
            <w:tcW w:w="37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04"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noWrap/>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582" w:type="pct"/>
          </w:tcPr>
          <w:p w:rsidR="005504C1" w:rsidRPr="004A4572" w:rsidRDefault="005504C1" w:rsidP="005504C1">
            <w:pPr>
              <w:spacing w:line="240" w:lineRule="auto"/>
              <w:rPr>
                <w:sz w:val="22"/>
              </w:rPr>
            </w:pPr>
            <w:r>
              <w:rPr>
                <w:sz w:val="22"/>
              </w:rPr>
              <w:t>-</w:t>
            </w:r>
          </w:p>
        </w:tc>
        <w:tc>
          <w:tcPr>
            <w:tcW w:w="485"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437"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41"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sidRPr="009102D5">
              <w:rPr>
                <w:rFonts w:ascii="Segoe UI Symbol" w:hAnsi="Segoe UI Symbol" w:cs="Segoe UI Symbol"/>
                <w:sz w:val="20"/>
                <w:szCs w:val="20"/>
              </w:rPr>
              <w:t>✯</w:t>
            </w:r>
          </w:p>
        </w:tc>
        <w:tc>
          <w:tcPr>
            <w:tcW w:w="389" w:type="pct"/>
          </w:tcPr>
          <w:p w:rsidR="005504C1" w:rsidRPr="004A4572" w:rsidRDefault="005504C1" w:rsidP="005504C1">
            <w:pPr>
              <w:spacing w:line="240" w:lineRule="auto"/>
              <w:rPr>
                <w:sz w:val="22"/>
              </w:rPr>
            </w:pPr>
            <w:r>
              <w:rPr>
                <w:rFonts w:cs="Segoe UI Symbol"/>
                <w:sz w:val="20"/>
                <w:szCs w:val="20"/>
              </w:rPr>
              <w:t>8</w:t>
            </w:r>
            <w:r w:rsidRPr="009102D5">
              <w:rPr>
                <w:rFonts w:ascii="Segoe UI Symbol" w:hAnsi="Segoe UI Symbol" w:cs="Segoe UI Symbol"/>
                <w:sz w:val="20"/>
                <w:szCs w:val="20"/>
              </w:rPr>
              <w:t>✯</w:t>
            </w:r>
          </w:p>
        </w:tc>
        <w:tc>
          <w:tcPr>
            <w:tcW w:w="435" w:type="pct"/>
          </w:tcPr>
          <w:p w:rsidR="005504C1" w:rsidRDefault="005504C1" w:rsidP="005504C1">
            <w:r w:rsidRPr="0035477D">
              <w:rPr>
                <w:sz w:val="22"/>
              </w:rPr>
              <w:t>Good</w:t>
            </w:r>
          </w:p>
        </w:tc>
      </w:tr>
    </w:tbl>
    <w:p w:rsidR="00500DAA" w:rsidRDefault="00500DAA" w:rsidP="00500DAA">
      <w:pPr>
        <w:spacing w:after="0"/>
      </w:pPr>
      <w:r w:rsidRPr="00500DAA">
        <w:t>Thresholds for converting the Newcastle</w:t>
      </w:r>
      <w:r>
        <w:t xml:space="preserve"> </w:t>
      </w:r>
      <w:r w:rsidRPr="00500DAA">
        <w:t>Ottawa scales to AHRQ standards (good, fair, and poor):</w:t>
      </w:r>
    </w:p>
    <w:p w:rsidR="00500DAA" w:rsidRDefault="00500DAA" w:rsidP="00500DAA">
      <w:pPr>
        <w:spacing w:after="0"/>
      </w:pPr>
      <w:r w:rsidRPr="00500DAA">
        <w:rPr>
          <w:b/>
          <w:bCs/>
        </w:rPr>
        <w:t>Good quality:</w:t>
      </w:r>
      <w:r w:rsidRPr="00500DAA">
        <w:t xml:space="preserve"> 3 or 4 stars in selection domain AND 1 or 2 stars in comparability domain AND 2 or 3 stars in outcome/exposure domain</w:t>
      </w:r>
    </w:p>
    <w:p w:rsidR="00500DAA" w:rsidRDefault="00500DAA" w:rsidP="00500DAA">
      <w:pPr>
        <w:spacing w:after="0"/>
      </w:pPr>
      <w:r w:rsidRPr="00500DAA">
        <w:rPr>
          <w:b/>
          <w:bCs/>
        </w:rPr>
        <w:t>Fair quality:</w:t>
      </w:r>
      <w:r w:rsidRPr="00500DAA">
        <w:t xml:space="preserve"> 2 stars in selection domain AND 1 or 2 stars in comparability domain AND 2 or 3 stars in outcome/exposure domain</w:t>
      </w:r>
    </w:p>
    <w:p w:rsidR="007E43DE" w:rsidRDefault="00500DAA" w:rsidP="00500DAA">
      <w:pPr>
        <w:spacing w:after="0"/>
      </w:pPr>
      <w:r w:rsidRPr="00500DAA">
        <w:rPr>
          <w:b/>
          <w:bCs/>
        </w:rPr>
        <w:t>Poor</w:t>
      </w:r>
      <w:r w:rsidRPr="00500DAA">
        <w:rPr>
          <w:b/>
          <w:bCs/>
        </w:rPr>
        <w:t xml:space="preserve"> </w:t>
      </w:r>
      <w:r w:rsidRPr="00500DAA">
        <w:rPr>
          <w:b/>
          <w:bCs/>
        </w:rPr>
        <w:t>quality:</w:t>
      </w:r>
      <w:r w:rsidRPr="00500DAA">
        <w:t xml:space="preserve"> 0 or 1 star in selection domain OR 0 stars in comparability domain OR 0 or 1 stars in outcome/exposure domai</w:t>
      </w:r>
      <w:r>
        <w:t>n</w:t>
      </w:r>
    </w:p>
    <w:sectPr w:rsidR="007E43DE" w:rsidSect="00637B58">
      <w:pgSz w:w="15840" w:h="12240" w:orient="landscape"/>
      <w:pgMar w:top="567"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86B"/>
    <w:rsid w:val="00084AFB"/>
    <w:rsid w:val="00192CF8"/>
    <w:rsid w:val="002A6FEE"/>
    <w:rsid w:val="002B5E97"/>
    <w:rsid w:val="00320EB8"/>
    <w:rsid w:val="00321C86"/>
    <w:rsid w:val="003B5BAC"/>
    <w:rsid w:val="003D6428"/>
    <w:rsid w:val="003E0848"/>
    <w:rsid w:val="00435D8D"/>
    <w:rsid w:val="004A6D21"/>
    <w:rsid w:val="004B0EA1"/>
    <w:rsid w:val="00500DAA"/>
    <w:rsid w:val="005504C1"/>
    <w:rsid w:val="00560EF7"/>
    <w:rsid w:val="0057769F"/>
    <w:rsid w:val="005A67B4"/>
    <w:rsid w:val="006263C3"/>
    <w:rsid w:val="00637B58"/>
    <w:rsid w:val="0068263E"/>
    <w:rsid w:val="00773074"/>
    <w:rsid w:val="007E43DE"/>
    <w:rsid w:val="008D250C"/>
    <w:rsid w:val="008D744C"/>
    <w:rsid w:val="008F0491"/>
    <w:rsid w:val="009102D5"/>
    <w:rsid w:val="009374D9"/>
    <w:rsid w:val="00946CDF"/>
    <w:rsid w:val="00971CA7"/>
    <w:rsid w:val="00997553"/>
    <w:rsid w:val="009B0B3B"/>
    <w:rsid w:val="009E54F3"/>
    <w:rsid w:val="009F486B"/>
    <w:rsid w:val="009F674B"/>
    <w:rsid w:val="00A64D98"/>
    <w:rsid w:val="00AE02CE"/>
    <w:rsid w:val="00B35C4C"/>
    <w:rsid w:val="00B46E1E"/>
    <w:rsid w:val="00BA10F5"/>
    <w:rsid w:val="00C03F42"/>
    <w:rsid w:val="00C055E7"/>
    <w:rsid w:val="00C52FFC"/>
    <w:rsid w:val="00CB1413"/>
    <w:rsid w:val="00CE437D"/>
    <w:rsid w:val="00CF0B1A"/>
    <w:rsid w:val="00DC7A3B"/>
    <w:rsid w:val="00E563AE"/>
    <w:rsid w:val="00F13610"/>
    <w:rsid w:val="00F72A85"/>
    <w:rsid w:val="00FA56C6"/>
    <w:rsid w:val="00FA582B"/>
    <w:rsid w:val="00FD4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E44D6"/>
  <w15:chartTrackingRefBased/>
  <w15:docId w15:val="{1677EF50-2241-4931-B5D4-A51D8F38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86B"/>
    <w:pPr>
      <w:spacing w:line="360" w:lineRule="auto"/>
      <w:jc w:val="both"/>
    </w:pPr>
    <w:rPr>
      <w:rFonts w:ascii="Times New Roman" w:hAnsi="Times New Roman"/>
      <w:color w:val="000000" w:themeColor="text1"/>
      <w:sz w:val="24"/>
    </w:rPr>
  </w:style>
  <w:style w:type="paragraph" w:styleId="Heading1">
    <w:name w:val="heading 1"/>
    <w:basedOn w:val="Normal"/>
    <w:next w:val="Normal"/>
    <w:link w:val="Heading1Char"/>
    <w:uiPriority w:val="9"/>
    <w:qFormat/>
    <w:rsid w:val="00C055E7"/>
    <w:pPr>
      <w:keepNext/>
      <w:keepLines/>
      <w:spacing w:before="240" w:after="0"/>
      <w:outlineLvl w:val="0"/>
    </w:pPr>
    <w:rPr>
      <w:rFonts w:eastAsiaTheme="majorEastAsia" w:cstheme="majorBidi"/>
      <w:b/>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E7"/>
    <w:rPr>
      <w:rFonts w:ascii="Times New Roman" w:eastAsiaTheme="majorEastAsia" w:hAnsi="Times New Roman" w:cstheme="majorBidi"/>
      <w:b/>
      <w:color w:val="2F5496" w:themeColor="accent1" w:themeShade="BF"/>
      <w:sz w:val="32"/>
      <w:szCs w:val="32"/>
    </w:rPr>
  </w:style>
  <w:style w:type="table" w:styleId="TableGrid">
    <w:name w:val="Table Grid"/>
    <w:basedOn w:val="TableNormal"/>
    <w:uiPriority w:val="39"/>
    <w:rsid w:val="009F4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B0EA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2</Pages>
  <Words>21914</Words>
  <Characters>73197</Characters>
  <Application>Microsoft Office Word</Application>
  <DocSecurity>0</DocSecurity>
  <Lines>18299</Lines>
  <Paragraphs>15851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Derara Girma</dc:creator>
  <cp:keywords/>
  <dc:description/>
  <cp:lastModifiedBy>Derara Girma</cp:lastModifiedBy>
  <cp:revision>43</cp:revision>
  <dcterms:created xsi:type="dcterms:W3CDTF">2024-08-28T12:26:00Z</dcterms:created>
  <dcterms:modified xsi:type="dcterms:W3CDTF">2024-08-28T19:16:00Z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4cf3f76c-03fc-4c4b-90ee-96ca01e90a23</vt:lpwstr>
  </property>
</Properties>
</file>