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77427B" w14:textId="50957F2F" w:rsidR="00BF2D5E" w:rsidRPr="001439B7" w:rsidRDefault="00BF2D5E" w:rsidP="00BF2D5E">
      <w:pPr>
        <w:bidi w:val="0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Additional file</w:t>
      </w:r>
      <w:r w:rsidRPr="001439B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1. Summary of custom resistance profiles for each microbial agent</w:t>
      </w:r>
    </w:p>
    <w:tbl>
      <w:tblPr>
        <w:tblStyle w:val="GridTable41"/>
        <w:tblW w:w="0" w:type="auto"/>
        <w:tblLook w:val="04A0" w:firstRow="1" w:lastRow="0" w:firstColumn="1" w:lastColumn="0" w:noHBand="0" w:noVBand="1"/>
      </w:tblPr>
      <w:tblGrid>
        <w:gridCol w:w="2254"/>
        <w:gridCol w:w="3553"/>
        <w:gridCol w:w="3209"/>
      </w:tblGrid>
      <w:tr w:rsidR="00BF2D5E" w:rsidRPr="001439B7" w14:paraId="461D17C6" w14:textId="77777777" w:rsidTr="00F9687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4" w:type="dxa"/>
          </w:tcPr>
          <w:p w14:paraId="263E3689" w14:textId="77777777" w:rsidR="00BF2D5E" w:rsidRPr="001439B7" w:rsidRDefault="00BF2D5E" w:rsidP="00F96872">
            <w:pPr>
              <w:bidi w:val="0"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1439B7">
              <w:rPr>
                <w:rFonts w:ascii="Times New Roman" w:eastAsia="Calibri" w:hAnsi="Times New Roman" w:cs="Times New Roman"/>
              </w:rPr>
              <w:t>Bacteria</w:t>
            </w:r>
          </w:p>
        </w:tc>
        <w:tc>
          <w:tcPr>
            <w:tcW w:w="3553" w:type="dxa"/>
          </w:tcPr>
          <w:p w14:paraId="3BBEF50B" w14:textId="77777777" w:rsidR="00BF2D5E" w:rsidRPr="001439B7" w:rsidRDefault="00BF2D5E" w:rsidP="00F96872">
            <w:pPr>
              <w:bidi w:val="0"/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1439B7">
              <w:rPr>
                <w:rFonts w:ascii="Times New Roman" w:eastAsia="Calibri" w:hAnsi="Times New Roman" w:cs="Times New Roman"/>
              </w:rPr>
              <w:t>Key Antibiotics in Resistance Pattern Definition</w:t>
            </w:r>
          </w:p>
        </w:tc>
        <w:tc>
          <w:tcPr>
            <w:tcW w:w="3209" w:type="dxa"/>
          </w:tcPr>
          <w:p w14:paraId="27CB8795" w14:textId="77777777" w:rsidR="00BF2D5E" w:rsidRPr="001439B7" w:rsidRDefault="00BF2D5E" w:rsidP="00F96872">
            <w:pPr>
              <w:bidi w:val="0"/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1439B7">
              <w:rPr>
                <w:rFonts w:ascii="Times New Roman" w:eastAsia="Calibri" w:hAnsi="Times New Roman" w:cs="Times New Roman"/>
              </w:rPr>
              <w:t>Comments</w:t>
            </w:r>
          </w:p>
        </w:tc>
      </w:tr>
      <w:tr w:rsidR="00BF2D5E" w:rsidRPr="001439B7" w14:paraId="02C6E8C8" w14:textId="77777777" w:rsidTr="00F968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4" w:type="dxa"/>
          </w:tcPr>
          <w:p w14:paraId="6525ED0E" w14:textId="77777777" w:rsidR="00BF2D5E" w:rsidRPr="001439B7" w:rsidRDefault="00BF2D5E" w:rsidP="00F96872">
            <w:pPr>
              <w:bidi w:val="0"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1439B7">
              <w:rPr>
                <w:rFonts w:ascii="Times New Roman" w:eastAsia="Calibri" w:hAnsi="Times New Roman" w:cs="Times New Roman"/>
              </w:rPr>
              <w:t>Staphylococcus spp.</w:t>
            </w:r>
          </w:p>
        </w:tc>
        <w:tc>
          <w:tcPr>
            <w:tcW w:w="3553" w:type="dxa"/>
          </w:tcPr>
          <w:p w14:paraId="7B042207" w14:textId="77777777" w:rsidR="00BF2D5E" w:rsidRPr="001439B7" w:rsidRDefault="00BF2D5E" w:rsidP="00F96872">
            <w:pPr>
              <w:bidi w:val="0"/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1439B7">
              <w:rPr>
                <w:rFonts w:ascii="Times New Roman" w:eastAsia="Calibri" w:hAnsi="Times New Roman" w:cs="Times New Roman"/>
              </w:rPr>
              <w:t xml:space="preserve">Aminoglycosides, β-lactams, Fluoroquinolones, Glycopeptides, Macrolides, </w:t>
            </w:r>
            <w:proofErr w:type="spellStart"/>
            <w:r w:rsidRPr="001439B7">
              <w:rPr>
                <w:rFonts w:ascii="Times New Roman" w:eastAsia="Calibri" w:hAnsi="Times New Roman" w:cs="Times New Roman"/>
              </w:rPr>
              <w:t>Lincosamides</w:t>
            </w:r>
            <w:proofErr w:type="spellEnd"/>
            <w:r w:rsidRPr="001439B7">
              <w:rPr>
                <w:rFonts w:ascii="Times New Roman" w:eastAsia="Calibri" w:hAnsi="Times New Roman" w:cs="Times New Roman"/>
              </w:rPr>
              <w:t xml:space="preserve">, </w:t>
            </w:r>
            <w:proofErr w:type="spellStart"/>
            <w:r w:rsidRPr="001439B7">
              <w:rPr>
                <w:rFonts w:ascii="Times New Roman" w:eastAsia="Calibri" w:hAnsi="Times New Roman" w:cs="Times New Roman"/>
              </w:rPr>
              <w:t>Phenicols</w:t>
            </w:r>
            <w:proofErr w:type="spellEnd"/>
            <w:r w:rsidRPr="001439B7">
              <w:rPr>
                <w:rFonts w:ascii="Times New Roman" w:eastAsia="Calibri" w:hAnsi="Times New Roman" w:cs="Times New Roman"/>
              </w:rPr>
              <w:t>, Tetracyclines, Oxazolidinones.</w:t>
            </w:r>
          </w:p>
        </w:tc>
        <w:tc>
          <w:tcPr>
            <w:tcW w:w="3209" w:type="dxa"/>
          </w:tcPr>
          <w:p w14:paraId="689A4E9E" w14:textId="77777777" w:rsidR="00BF2D5E" w:rsidRPr="001439B7" w:rsidRDefault="00BF2D5E" w:rsidP="00F96872">
            <w:pPr>
              <w:bidi w:val="0"/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1439B7">
              <w:rPr>
                <w:rFonts w:ascii="Times New Roman" w:eastAsia="Calibri" w:hAnsi="Times New Roman" w:cs="Times New Roman"/>
              </w:rPr>
              <w:t>MRSA was always considered MDR. Resistance to Cloxacillin was used as a marker for β-lactam resistance. Vancomycin and Linezolid resistance were critical indicators for XDR and PDR.</w:t>
            </w:r>
          </w:p>
        </w:tc>
      </w:tr>
      <w:tr w:rsidR="00BF2D5E" w:rsidRPr="001439B7" w14:paraId="66067FB2" w14:textId="77777777" w:rsidTr="00F9687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4" w:type="dxa"/>
          </w:tcPr>
          <w:p w14:paraId="23DCEAEB" w14:textId="77777777" w:rsidR="00BF2D5E" w:rsidRPr="001439B7" w:rsidRDefault="00BF2D5E" w:rsidP="00F96872">
            <w:pPr>
              <w:bidi w:val="0"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1439B7">
              <w:rPr>
                <w:rFonts w:ascii="Times New Roman" w:eastAsia="Calibri" w:hAnsi="Times New Roman" w:cs="Times New Roman"/>
              </w:rPr>
              <w:t>Enterococcus spp.</w:t>
            </w:r>
          </w:p>
        </w:tc>
        <w:tc>
          <w:tcPr>
            <w:tcW w:w="3553" w:type="dxa"/>
          </w:tcPr>
          <w:p w14:paraId="6D2CFDEE" w14:textId="77777777" w:rsidR="00BF2D5E" w:rsidRPr="001439B7" w:rsidRDefault="00BF2D5E" w:rsidP="00F96872">
            <w:pPr>
              <w:bidi w:val="0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1439B7">
              <w:rPr>
                <w:rFonts w:ascii="Times New Roman" w:eastAsia="Calibri" w:hAnsi="Times New Roman" w:cs="Times New Roman"/>
              </w:rPr>
              <w:t xml:space="preserve">Aminoglycosides, Carbapenems, Glycopeptides, Oxazolidinones, </w:t>
            </w:r>
            <w:proofErr w:type="spellStart"/>
            <w:r w:rsidRPr="001439B7">
              <w:rPr>
                <w:rFonts w:ascii="Times New Roman" w:eastAsia="Calibri" w:hAnsi="Times New Roman" w:cs="Times New Roman"/>
              </w:rPr>
              <w:t>Penicillins</w:t>
            </w:r>
            <w:proofErr w:type="spellEnd"/>
            <w:r w:rsidRPr="001439B7">
              <w:rPr>
                <w:rFonts w:ascii="Times New Roman" w:eastAsia="Calibri" w:hAnsi="Times New Roman" w:cs="Times New Roman"/>
              </w:rPr>
              <w:t>, Tetracyclines.</w:t>
            </w:r>
          </w:p>
        </w:tc>
        <w:tc>
          <w:tcPr>
            <w:tcW w:w="3209" w:type="dxa"/>
          </w:tcPr>
          <w:p w14:paraId="72168C05" w14:textId="77777777" w:rsidR="00BF2D5E" w:rsidRPr="001439B7" w:rsidRDefault="00BF2D5E" w:rsidP="00F96872">
            <w:pPr>
              <w:bidi w:val="0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1439B7">
              <w:rPr>
                <w:rFonts w:ascii="Times New Roman" w:eastAsia="Calibri" w:hAnsi="Times New Roman" w:cs="Times New Roman"/>
              </w:rPr>
              <w:t>High-level resistance to Gentamicin and Vancomycin were critical markers.</w:t>
            </w:r>
          </w:p>
        </w:tc>
      </w:tr>
      <w:tr w:rsidR="00BF2D5E" w:rsidRPr="001439B7" w14:paraId="496E0094" w14:textId="77777777" w:rsidTr="00F968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4" w:type="dxa"/>
          </w:tcPr>
          <w:p w14:paraId="225DAE73" w14:textId="77777777" w:rsidR="00BF2D5E" w:rsidRPr="001439B7" w:rsidRDefault="00BF2D5E" w:rsidP="00F96872">
            <w:pPr>
              <w:bidi w:val="0"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1439B7">
              <w:rPr>
                <w:rFonts w:ascii="Times New Roman" w:eastAsia="Calibri" w:hAnsi="Times New Roman" w:cs="Times New Roman"/>
              </w:rPr>
              <w:t>Enterobacteriaceae</w:t>
            </w:r>
          </w:p>
        </w:tc>
        <w:tc>
          <w:tcPr>
            <w:tcW w:w="3553" w:type="dxa"/>
          </w:tcPr>
          <w:p w14:paraId="7EFA42FF" w14:textId="77777777" w:rsidR="00BF2D5E" w:rsidRPr="001439B7" w:rsidRDefault="00BF2D5E" w:rsidP="00F96872">
            <w:pPr>
              <w:bidi w:val="0"/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1439B7">
              <w:rPr>
                <w:rFonts w:ascii="Times New Roman" w:eastAsia="Calibri" w:hAnsi="Times New Roman" w:cs="Times New Roman"/>
              </w:rPr>
              <w:t xml:space="preserve">Aminoglycosides, Carbapenems, Cephalosporins, Fluoroquinolones, Polymyxins, </w:t>
            </w:r>
            <w:proofErr w:type="spellStart"/>
            <w:r w:rsidRPr="001439B7">
              <w:rPr>
                <w:rFonts w:ascii="Times New Roman" w:eastAsia="Calibri" w:hAnsi="Times New Roman" w:cs="Times New Roman"/>
              </w:rPr>
              <w:t>Penicillins</w:t>
            </w:r>
            <w:proofErr w:type="spellEnd"/>
            <w:r w:rsidRPr="001439B7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3209" w:type="dxa"/>
          </w:tcPr>
          <w:p w14:paraId="61E92CF1" w14:textId="77777777" w:rsidR="00BF2D5E" w:rsidRPr="001439B7" w:rsidRDefault="00BF2D5E" w:rsidP="00F96872">
            <w:pPr>
              <w:bidi w:val="0"/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1439B7">
              <w:rPr>
                <w:rFonts w:ascii="Times New Roman" w:eastAsia="Calibri" w:hAnsi="Times New Roman" w:cs="Times New Roman"/>
              </w:rPr>
              <w:t>Non-susceptibility to ≥1 agent in Extended-Spectrum Cephalosporins and Carbapenems were essential indicators.</w:t>
            </w:r>
          </w:p>
        </w:tc>
      </w:tr>
      <w:tr w:rsidR="00BF2D5E" w:rsidRPr="001439B7" w14:paraId="5D195048" w14:textId="77777777" w:rsidTr="00F9687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4" w:type="dxa"/>
          </w:tcPr>
          <w:p w14:paraId="1C18FE3E" w14:textId="77777777" w:rsidR="00BF2D5E" w:rsidRPr="001439B7" w:rsidRDefault="00BF2D5E" w:rsidP="00F96872">
            <w:pPr>
              <w:bidi w:val="0"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1439B7">
              <w:rPr>
                <w:rFonts w:ascii="Times New Roman" w:eastAsia="Calibri" w:hAnsi="Times New Roman" w:cs="Times New Roman"/>
              </w:rPr>
              <w:t>Pseudomonas spp.</w:t>
            </w:r>
          </w:p>
        </w:tc>
        <w:tc>
          <w:tcPr>
            <w:tcW w:w="3553" w:type="dxa"/>
          </w:tcPr>
          <w:p w14:paraId="05DE4726" w14:textId="77777777" w:rsidR="00BF2D5E" w:rsidRPr="001439B7" w:rsidRDefault="00BF2D5E" w:rsidP="00F96872">
            <w:pPr>
              <w:bidi w:val="0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1439B7">
              <w:rPr>
                <w:rFonts w:ascii="Times New Roman" w:eastAsia="Calibri" w:hAnsi="Times New Roman" w:cs="Times New Roman"/>
              </w:rPr>
              <w:t>Aminoglycosides, Antipseudomonal Carbapenems, Fluoroquinolones, Polymyxins.</w:t>
            </w:r>
          </w:p>
        </w:tc>
        <w:tc>
          <w:tcPr>
            <w:tcW w:w="3209" w:type="dxa"/>
          </w:tcPr>
          <w:p w14:paraId="3B5C403E" w14:textId="77777777" w:rsidR="00BF2D5E" w:rsidRPr="001439B7" w:rsidRDefault="00BF2D5E" w:rsidP="00F96872">
            <w:pPr>
              <w:bidi w:val="0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1439B7">
              <w:rPr>
                <w:rFonts w:ascii="Times New Roman" w:eastAsia="Calibri" w:hAnsi="Times New Roman" w:cs="Times New Roman"/>
              </w:rPr>
              <w:t>Resistance to Ciprofloxacin, Colistin, and Meropenem were critical indicators.</w:t>
            </w:r>
          </w:p>
        </w:tc>
      </w:tr>
      <w:tr w:rsidR="00BF2D5E" w:rsidRPr="001439B7" w14:paraId="5B2F32BB" w14:textId="77777777" w:rsidTr="00F968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4" w:type="dxa"/>
          </w:tcPr>
          <w:p w14:paraId="2F29B81E" w14:textId="77777777" w:rsidR="00BF2D5E" w:rsidRPr="001439B7" w:rsidRDefault="00BF2D5E" w:rsidP="00F96872">
            <w:pPr>
              <w:bidi w:val="0"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1439B7">
              <w:rPr>
                <w:rFonts w:ascii="Times New Roman" w:eastAsia="Calibri" w:hAnsi="Times New Roman" w:cs="Times New Roman"/>
              </w:rPr>
              <w:t>Acinetobacter spp.</w:t>
            </w:r>
          </w:p>
        </w:tc>
        <w:tc>
          <w:tcPr>
            <w:tcW w:w="3553" w:type="dxa"/>
          </w:tcPr>
          <w:p w14:paraId="6E892831" w14:textId="77777777" w:rsidR="00BF2D5E" w:rsidRPr="001439B7" w:rsidRDefault="00BF2D5E" w:rsidP="00F96872">
            <w:pPr>
              <w:bidi w:val="0"/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1439B7">
              <w:rPr>
                <w:rFonts w:ascii="Times New Roman" w:eastAsia="Calibri" w:hAnsi="Times New Roman" w:cs="Times New Roman"/>
              </w:rPr>
              <w:t>Aminoglycosides, Carbapenems, Fluoroquinolones, Polymyxins.</w:t>
            </w:r>
          </w:p>
        </w:tc>
        <w:tc>
          <w:tcPr>
            <w:tcW w:w="3209" w:type="dxa"/>
          </w:tcPr>
          <w:p w14:paraId="1ED7E314" w14:textId="77777777" w:rsidR="00BF2D5E" w:rsidRPr="001439B7" w:rsidRDefault="00BF2D5E" w:rsidP="00F96872">
            <w:pPr>
              <w:bidi w:val="0"/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1439B7">
              <w:rPr>
                <w:rFonts w:ascii="Times New Roman" w:eastAsia="Calibri" w:hAnsi="Times New Roman" w:cs="Times New Roman"/>
              </w:rPr>
              <w:t>Resistance to Colistin was a marker for PDR.</w:t>
            </w:r>
          </w:p>
        </w:tc>
      </w:tr>
      <w:tr w:rsidR="00BF2D5E" w:rsidRPr="001439B7" w14:paraId="0DC5C919" w14:textId="77777777" w:rsidTr="00F9687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4" w:type="dxa"/>
          </w:tcPr>
          <w:p w14:paraId="3CBA202D" w14:textId="77777777" w:rsidR="00BF2D5E" w:rsidRPr="001439B7" w:rsidRDefault="00BF2D5E" w:rsidP="00F96872">
            <w:pPr>
              <w:bidi w:val="0"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1439B7">
              <w:rPr>
                <w:rFonts w:ascii="Times New Roman" w:eastAsia="Calibri" w:hAnsi="Times New Roman" w:cs="Times New Roman"/>
              </w:rPr>
              <w:t>Streptococcus spp.</w:t>
            </w:r>
          </w:p>
        </w:tc>
        <w:tc>
          <w:tcPr>
            <w:tcW w:w="3553" w:type="dxa"/>
          </w:tcPr>
          <w:p w14:paraId="4B713BEF" w14:textId="77777777" w:rsidR="00BF2D5E" w:rsidRPr="001439B7" w:rsidRDefault="00BF2D5E" w:rsidP="00F96872">
            <w:pPr>
              <w:bidi w:val="0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proofErr w:type="spellStart"/>
            <w:r w:rsidRPr="001439B7">
              <w:rPr>
                <w:rFonts w:ascii="Times New Roman" w:eastAsia="Calibri" w:hAnsi="Times New Roman" w:cs="Times New Roman"/>
              </w:rPr>
              <w:t>Penicillins</w:t>
            </w:r>
            <w:proofErr w:type="spellEnd"/>
            <w:r w:rsidRPr="001439B7">
              <w:rPr>
                <w:rFonts w:ascii="Times New Roman" w:eastAsia="Calibri" w:hAnsi="Times New Roman" w:cs="Times New Roman"/>
              </w:rPr>
              <w:t xml:space="preserve">, Macrolides, Glycopeptides, </w:t>
            </w:r>
            <w:proofErr w:type="spellStart"/>
            <w:r w:rsidRPr="001439B7">
              <w:rPr>
                <w:rFonts w:ascii="Times New Roman" w:eastAsia="Calibri" w:hAnsi="Times New Roman" w:cs="Times New Roman"/>
              </w:rPr>
              <w:t>Lincosamides</w:t>
            </w:r>
            <w:proofErr w:type="spellEnd"/>
            <w:r w:rsidRPr="001439B7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3209" w:type="dxa"/>
          </w:tcPr>
          <w:p w14:paraId="521514A4" w14:textId="77777777" w:rsidR="00BF2D5E" w:rsidRPr="001439B7" w:rsidRDefault="00BF2D5E" w:rsidP="00F96872">
            <w:pPr>
              <w:bidi w:val="0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1439B7">
              <w:rPr>
                <w:rFonts w:ascii="Times New Roman" w:eastAsia="Calibri" w:hAnsi="Times New Roman" w:cs="Times New Roman"/>
              </w:rPr>
              <w:t>Resistance to Ampicillin, Erythromycin, and Clindamycin were prioritized.</w:t>
            </w:r>
          </w:p>
        </w:tc>
      </w:tr>
      <w:tr w:rsidR="00BF2D5E" w:rsidRPr="001439B7" w14:paraId="2EC88E56" w14:textId="77777777" w:rsidTr="00F968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6" w:type="dxa"/>
            <w:gridSpan w:val="3"/>
          </w:tcPr>
          <w:p w14:paraId="77C07EAC" w14:textId="77777777" w:rsidR="00BF2D5E" w:rsidRPr="001439B7" w:rsidRDefault="00BF2D5E" w:rsidP="00F96872">
            <w:pPr>
              <w:bidi w:val="0"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1439B7">
              <w:rPr>
                <w:rFonts w:ascii="Times New Roman" w:eastAsia="Calibri" w:hAnsi="Times New Roman" w:cs="Times New Roman"/>
              </w:rPr>
              <w:t xml:space="preserve">Notes: </w:t>
            </w:r>
            <w:r w:rsidRPr="001439B7">
              <w:rPr>
                <w:rFonts w:ascii="Times New Roman" w:eastAsia="Calibri" w:hAnsi="Times New Roman" w:cs="Times New Roman"/>
                <w:b w:val="0"/>
                <w:bCs w:val="0"/>
                <w:i/>
                <w:iCs/>
              </w:rPr>
              <w:t>Resistance profiles were mapped to the available dataset variables. Categories with missing agents (e.g., Tigecycline or Daptomycin) were excluded from classification for affected species. Validation was performed by cross-checking antimicrobial susceptibility patterns against the proposed criteria to ensure accuracy and consistency.</w:t>
            </w:r>
          </w:p>
        </w:tc>
      </w:tr>
    </w:tbl>
    <w:p w14:paraId="5F094AD6" w14:textId="77777777" w:rsidR="00BF2D5E" w:rsidRDefault="00BF2D5E" w:rsidP="00BF2D5E">
      <w:pPr>
        <w:bidi w:val="0"/>
        <w:spacing w:line="360" w:lineRule="auto"/>
        <w:rPr>
          <w:rFonts w:asciiTheme="majorBidi" w:hAnsiTheme="majorBidi" w:cstheme="majorBidi"/>
          <w:sz w:val="24"/>
          <w:szCs w:val="24"/>
        </w:rPr>
      </w:pPr>
    </w:p>
    <w:p w14:paraId="3BF93CFE" w14:textId="77777777" w:rsidR="00DC5B07" w:rsidRPr="00BF2D5E" w:rsidRDefault="00DC5B07"/>
    <w:sectPr w:rsidR="00DC5B07" w:rsidRPr="00BF2D5E">
      <w:foot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92BF39" w14:textId="77777777" w:rsidR="00DD6C23" w:rsidRDefault="00DD6C23" w:rsidP="00B70BCC">
      <w:pPr>
        <w:spacing w:after="0" w:line="240" w:lineRule="auto"/>
      </w:pPr>
      <w:r>
        <w:separator/>
      </w:r>
    </w:p>
  </w:endnote>
  <w:endnote w:type="continuationSeparator" w:id="0">
    <w:p w14:paraId="37561365" w14:textId="77777777" w:rsidR="00DD6C23" w:rsidRDefault="00DD6C23" w:rsidP="00B70B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tl/>
      </w:rPr>
      <w:id w:val="-95479531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68586A7" w14:textId="3C249C43" w:rsidR="00B70BCC" w:rsidRDefault="00B70BC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6907119" w14:textId="77777777" w:rsidR="00B70BCC" w:rsidRDefault="00B70BC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0DD78F" w14:textId="77777777" w:rsidR="00DD6C23" w:rsidRDefault="00DD6C23" w:rsidP="00B70BCC">
      <w:pPr>
        <w:spacing w:after="0" w:line="240" w:lineRule="auto"/>
      </w:pPr>
      <w:r>
        <w:separator/>
      </w:r>
    </w:p>
  </w:footnote>
  <w:footnote w:type="continuationSeparator" w:id="0">
    <w:p w14:paraId="64122D6F" w14:textId="77777777" w:rsidR="00DD6C23" w:rsidRDefault="00DD6C23" w:rsidP="00B70BC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66D1"/>
    <w:rsid w:val="0005423B"/>
    <w:rsid w:val="003E3F05"/>
    <w:rsid w:val="005F2A7C"/>
    <w:rsid w:val="006C7B3B"/>
    <w:rsid w:val="00A34ADE"/>
    <w:rsid w:val="00A466D1"/>
    <w:rsid w:val="00B70BCC"/>
    <w:rsid w:val="00BF2D5E"/>
    <w:rsid w:val="00D47C4D"/>
    <w:rsid w:val="00DC5B07"/>
    <w:rsid w:val="00DD6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D405CA"/>
  <w15:chartTrackingRefBased/>
  <w15:docId w15:val="{C83731CD-884E-4281-8316-0D15DD58A0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2D5E"/>
    <w:pPr>
      <w:bidi/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466D1"/>
    <w:pPr>
      <w:keepNext/>
      <w:keepLines/>
      <w:bidi w:val="0"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466D1"/>
    <w:pPr>
      <w:keepNext/>
      <w:keepLines/>
      <w:bidi w:val="0"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466D1"/>
    <w:pPr>
      <w:keepNext/>
      <w:keepLines/>
      <w:bidi w:val="0"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466D1"/>
    <w:pPr>
      <w:keepNext/>
      <w:keepLines/>
      <w:bidi w:val="0"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466D1"/>
    <w:pPr>
      <w:keepNext/>
      <w:keepLines/>
      <w:bidi w:val="0"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466D1"/>
    <w:pPr>
      <w:keepNext/>
      <w:keepLines/>
      <w:bidi w:val="0"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466D1"/>
    <w:pPr>
      <w:keepNext/>
      <w:keepLines/>
      <w:bidi w:val="0"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466D1"/>
    <w:pPr>
      <w:keepNext/>
      <w:keepLines/>
      <w:bidi w:val="0"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466D1"/>
    <w:pPr>
      <w:keepNext/>
      <w:keepLines/>
      <w:bidi w:val="0"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466D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466D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466D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466D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466D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466D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466D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466D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466D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466D1"/>
    <w:pPr>
      <w:bidi w:val="0"/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A466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466D1"/>
    <w:pPr>
      <w:numPr>
        <w:ilvl w:val="1"/>
      </w:numPr>
      <w:bidi w:val="0"/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A466D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466D1"/>
    <w:pPr>
      <w:bidi w:val="0"/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A466D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466D1"/>
    <w:pPr>
      <w:bidi w:val="0"/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A466D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466D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bidi w:val="0"/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466D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466D1"/>
    <w:rPr>
      <w:b/>
      <w:bCs/>
      <w:smallCaps/>
      <w:color w:val="2F5496" w:themeColor="accent1" w:themeShade="BF"/>
      <w:spacing w:val="5"/>
    </w:rPr>
  </w:style>
  <w:style w:type="table" w:customStyle="1" w:styleId="GridTable41">
    <w:name w:val="Grid Table 41"/>
    <w:basedOn w:val="TableNormal"/>
    <w:next w:val="GridTable4"/>
    <w:uiPriority w:val="49"/>
    <w:rsid w:val="00BF2D5E"/>
    <w:pPr>
      <w:spacing w:after="0" w:line="240" w:lineRule="auto"/>
    </w:pPr>
    <w:rPr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nil"/>
        </w:tcBorders>
        <w:shd w:val="clear" w:color="auto" w:fill="000000"/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styleId="GridTable4">
    <w:name w:val="Grid Table 4"/>
    <w:basedOn w:val="TableNormal"/>
    <w:uiPriority w:val="49"/>
    <w:rsid w:val="00BF2D5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B70BC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70BCC"/>
    <w:rPr>
      <w:kern w:val="0"/>
      <w:sz w:val="22"/>
      <w:szCs w:val="22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B70BC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70BCC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250</Words>
  <Characters>1425</Characters>
  <Application>Microsoft Office Word</Application>
  <DocSecurity>0</DocSecurity>
  <Lines>11</Lines>
  <Paragraphs>3</Paragraphs>
  <ScaleCrop>false</ScaleCrop>
  <Company/>
  <LinksUpToDate>false</LinksUpToDate>
  <CharactersWithSpaces>1672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Hossein Hosseini</dc:creator>
  <cp:keywords/>
  <dc:description/>
  <cp:lastModifiedBy>Hossein Hosseini</cp:lastModifiedBy>
  <cp:revision>3</cp:revision>
  <dcterms:created xsi:type="dcterms:W3CDTF">2025-07-30T05:55:00Z</dcterms:created>
  <dcterms:modified xsi:type="dcterms:W3CDTF">2025-07-30T06:11:00Z</dcterms:modified>
</cp:coreProperties>
</file>