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148F" w14:textId="401CBED0" w:rsidR="009C6E57" w:rsidRPr="00A3537A" w:rsidRDefault="009C6E57" w:rsidP="009C6E57">
      <w:pPr>
        <w:bidi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Additional file </w:t>
      </w:r>
      <w:r w:rsidR="0097104A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A35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Table s</w:t>
      </w:r>
      <w:r w:rsidRPr="00A3537A">
        <w:rPr>
          <w:rFonts w:ascii="Times New Roman" w:eastAsia="Calibri" w:hAnsi="Times New Roman" w:cs="Times New Roman"/>
          <w:b/>
          <w:bCs/>
          <w:sz w:val="24"/>
          <w:szCs w:val="24"/>
        </w:rPr>
        <w:t>ummary of the mean, median doses, and percentage of patients prescribed each antibiotic.</w:t>
      </w:r>
    </w:p>
    <w:tbl>
      <w:tblPr>
        <w:tblStyle w:val="GridTable44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C6E57" w:rsidRPr="00A3537A" w14:paraId="1B8F31C2" w14:textId="77777777" w:rsidTr="00F968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01C7BFB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Antibiotic</w:t>
            </w:r>
          </w:p>
        </w:tc>
        <w:tc>
          <w:tcPr>
            <w:tcW w:w="2254" w:type="dxa"/>
          </w:tcPr>
          <w:p w14:paraId="2FCD1158" w14:textId="77777777" w:rsidR="009C6E57" w:rsidRPr="00A3537A" w:rsidRDefault="009C6E57" w:rsidP="00F96872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Mean Doses per Patient (±SD)</w:t>
            </w:r>
          </w:p>
        </w:tc>
        <w:tc>
          <w:tcPr>
            <w:tcW w:w="2254" w:type="dxa"/>
          </w:tcPr>
          <w:p w14:paraId="691F298B" w14:textId="77777777" w:rsidR="009C6E57" w:rsidRPr="00A3537A" w:rsidRDefault="009C6E57" w:rsidP="00F96872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Median Doses (IQR)</w:t>
            </w:r>
          </w:p>
        </w:tc>
        <w:tc>
          <w:tcPr>
            <w:tcW w:w="2254" w:type="dxa"/>
          </w:tcPr>
          <w:p w14:paraId="6B89ABC2" w14:textId="77777777" w:rsidR="009C6E57" w:rsidRPr="00A3537A" w:rsidRDefault="009C6E57" w:rsidP="00F96872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% of Patients Prescribed</w:t>
            </w:r>
          </w:p>
        </w:tc>
      </w:tr>
      <w:tr w:rsidR="009C6E57" w:rsidRPr="00A3537A" w14:paraId="4412FDFF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F7491C0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Vancomycin</w:t>
            </w:r>
          </w:p>
        </w:tc>
        <w:tc>
          <w:tcPr>
            <w:tcW w:w="2254" w:type="dxa"/>
          </w:tcPr>
          <w:p w14:paraId="16086E62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20.71 ± 22.93</w:t>
            </w:r>
          </w:p>
        </w:tc>
        <w:tc>
          <w:tcPr>
            <w:tcW w:w="2254" w:type="dxa"/>
          </w:tcPr>
          <w:p w14:paraId="5C7F7433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10.0 (22.50)</w:t>
            </w:r>
          </w:p>
        </w:tc>
        <w:tc>
          <w:tcPr>
            <w:tcW w:w="2254" w:type="dxa"/>
          </w:tcPr>
          <w:p w14:paraId="2099B720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51.89%</w:t>
            </w:r>
          </w:p>
        </w:tc>
      </w:tr>
      <w:tr w:rsidR="009C6E57" w:rsidRPr="00A3537A" w14:paraId="1F0A2E36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7A70265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Meropenem</w:t>
            </w:r>
          </w:p>
        </w:tc>
        <w:tc>
          <w:tcPr>
            <w:tcW w:w="2254" w:type="dxa"/>
          </w:tcPr>
          <w:p w14:paraId="4D139F9A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25.10 ± 31.07</w:t>
            </w:r>
          </w:p>
        </w:tc>
        <w:tc>
          <w:tcPr>
            <w:tcW w:w="2254" w:type="dxa"/>
          </w:tcPr>
          <w:p w14:paraId="04DEB8A8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14.0 (33.00)</w:t>
            </w:r>
          </w:p>
        </w:tc>
        <w:tc>
          <w:tcPr>
            <w:tcW w:w="2254" w:type="dxa"/>
          </w:tcPr>
          <w:p w14:paraId="6F5EB31C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57.55%</w:t>
            </w:r>
          </w:p>
        </w:tc>
      </w:tr>
      <w:tr w:rsidR="009C6E57" w:rsidRPr="00A3537A" w14:paraId="64F2508E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49B9CF7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Ceftriaxone</w:t>
            </w:r>
          </w:p>
        </w:tc>
        <w:tc>
          <w:tcPr>
            <w:tcW w:w="2254" w:type="dxa"/>
          </w:tcPr>
          <w:p w14:paraId="40E19748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10.62 ± 9.77</w:t>
            </w:r>
          </w:p>
        </w:tc>
        <w:tc>
          <w:tcPr>
            <w:tcW w:w="2254" w:type="dxa"/>
          </w:tcPr>
          <w:p w14:paraId="2975800C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7.5 (12.00)</w:t>
            </w:r>
          </w:p>
        </w:tc>
        <w:tc>
          <w:tcPr>
            <w:tcW w:w="2254" w:type="dxa"/>
          </w:tcPr>
          <w:p w14:paraId="1BBE0C80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75.47%</w:t>
            </w:r>
          </w:p>
        </w:tc>
      </w:tr>
      <w:tr w:rsidR="009C6E57" w:rsidRPr="00A3537A" w14:paraId="741FBE3F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F09516B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Clindamycin</w:t>
            </w:r>
          </w:p>
        </w:tc>
        <w:tc>
          <w:tcPr>
            <w:tcW w:w="2254" w:type="dxa"/>
          </w:tcPr>
          <w:p w14:paraId="63855D0C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47.66 ± 40.45</w:t>
            </w:r>
          </w:p>
        </w:tc>
        <w:tc>
          <w:tcPr>
            <w:tcW w:w="2254" w:type="dxa"/>
          </w:tcPr>
          <w:p w14:paraId="0E4F73C6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34.0 (69.75)</w:t>
            </w:r>
          </w:p>
        </w:tc>
        <w:tc>
          <w:tcPr>
            <w:tcW w:w="2254" w:type="dxa"/>
          </w:tcPr>
          <w:p w14:paraId="19192150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30.19%</w:t>
            </w:r>
          </w:p>
        </w:tc>
      </w:tr>
      <w:tr w:rsidR="009C6E57" w:rsidRPr="00A3537A" w14:paraId="3606CA4A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0D25BF8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3537A">
              <w:rPr>
                <w:rFonts w:ascii="Times New Roman" w:eastAsia="Calibri" w:hAnsi="Times New Roman" w:cs="Times New Roman"/>
              </w:rPr>
              <w:t>Linezolide</w:t>
            </w:r>
            <w:proofErr w:type="spellEnd"/>
          </w:p>
        </w:tc>
        <w:tc>
          <w:tcPr>
            <w:tcW w:w="2254" w:type="dxa"/>
          </w:tcPr>
          <w:p w14:paraId="211EEDEC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22.08 ± 19.97</w:t>
            </w:r>
          </w:p>
        </w:tc>
        <w:tc>
          <w:tcPr>
            <w:tcW w:w="2254" w:type="dxa"/>
          </w:tcPr>
          <w:p w14:paraId="3A9A2C63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20.0 (17.00)</w:t>
            </w:r>
          </w:p>
        </w:tc>
        <w:tc>
          <w:tcPr>
            <w:tcW w:w="2254" w:type="dxa"/>
          </w:tcPr>
          <w:p w14:paraId="47A5930A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34.91%</w:t>
            </w:r>
          </w:p>
        </w:tc>
      </w:tr>
      <w:tr w:rsidR="009C6E57" w:rsidRPr="00A3537A" w14:paraId="6E873DC4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D8B42B0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Ciprofloxacin</w:t>
            </w:r>
          </w:p>
        </w:tc>
        <w:tc>
          <w:tcPr>
            <w:tcW w:w="2254" w:type="dxa"/>
          </w:tcPr>
          <w:p w14:paraId="228A308F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19.27 ± 22.20</w:t>
            </w:r>
          </w:p>
        </w:tc>
        <w:tc>
          <w:tcPr>
            <w:tcW w:w="2254" w:type="dxa"/>
          </w:tcPr>
          <w:p w14:paraId="2A759087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12.0 (18.00)</w:t>
            </w:r>
          </w:p>
        </w:tc>
        <w:tc>
          <w:tcPr>
            <w:tcW w:w="2254" w:type="dxa"/>
          </w:tcPr>
          <w:p w14:paraId="7B3655D1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31.13%</w:t>
            </w:r>
          </w:p>
        </w:tc>
      </w:tr>
      <w:tr w:rsidR="009C6E57" w:rsidRPr="00A3537A" w14:paraId="4E26CAD7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559785F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Metronidazole</w:t>
            </w:r>
          </w:p>
        </w:tc>
        <w:tc>
          <w:tcPr>
            <w:tcW w:w="2254" w:type="dxa"/>
          </w:tcPr>
          <w:p w14:paraId="646BAB34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21.31 ± 21.61</w:t>
            </w:r>
          </w:p>
        </w:tc>
        <w:tc>
          <w:tcPr>
            <w:tcW w:w="2254" w:type="dxa"/>
          </w:tcPr>
          <w:p w14:paraId="1193C9CD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15.0 (26.25)</w:t>
            </w:r>
          </w:p>
        </w:tc>
        <w:tc>
          <w:tcPr>
            <w:tcW w:w="2254" w:type="dxa"/>
          </w:tcPr>
          <w:p w14:paraId="6DB18421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bookmarkStart w:id="0" w:name="_Hlk194692511"/>
            <w:r w:rsidRPr="00A3537A">
              <w:rPr>
                <w:rFonts w:ascii="Times New Roman" w:eastAsia="Calibri" w:hAnsi="Times New Roman" w:cs="Times New Roman"/>
              </w:rPr>
              <w:t>67.92%</w:t>
            </w:r>
            <w:bookmarkEnd w:id="0"/>
          </w:p>
        </w:tc>
      </w:tr>
      <w:tr w:rsidR="009C6E57" w:rsidRPr="00A3537A" w14:paraId="022D5642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14086D4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Cefazoline</w:t>
            </w:r>
          </w:p>
        </w:tc>
        <w:tc>
          <w:tcPr>
            <w:tcW w:w="2254" w:type="dxa"/>
          </w:tcPr>
          <w:p w14:paraId="63813BFE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11.77 ± 21.61</w:t>
            </w:r>
          </w:p>
        </w:tc>
        <w:tc>
          <w:tcPr>
            <w:tcW w:w="2254" w:type="dxa"/>
          </w:tcPr>
          <w:p w14:paraId="6FE77C53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2.0 (2.00)</w:t>
            </w:r>
          </w:p>
        </w:tc>
        <w:tc>
          <w:tcPr>
            <w:tcW w:w="2254" w:type="dxa"/>
          </w:tcPr>
          <w:p w14:paraId="1E99826D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12.26%</w:t>
            </w:r>
          </w:p>
        </w:tc>
      </w:tr>
      <w:tr w:rsidR="009C6E57" w:rsidRPr="00A3537A" w14:paraId="2D22E614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052E078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Amikacin</w:t>
            </w:r>
          </w:p>
        </w:tc>
        <w:tc>
          <w:tcPr>
            <w:tcW w:w="2254" w:type="dxa"/>
          </w:tcPr>
          <w:p w14:paraId="267A21CE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19.10 ± 11.33</w:t>
            </w:r>
          </w:p>
        </w:tc>
        <w:tc>
          <w:tcPr>
            <w:tcW w:w="2254" w:type="dxa"/>
          </w:tcPr>
          <w:p w14:paraId="366FADE2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22.0 (18.75)</w:t>
            </w:r>
          </w:p>
        </w:tc>
        <w:tc>
          <w:tcPr>
            <w:tcW w:w="2254" w:type="dxa"/>
          </w:tcPr>
          <w:p w14:paraId="756E8CF7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9.43%</w:t>
            </w:r>
          </w:p>
        </w:tc>
      </w:tr>
      <w:tr w:rsidR="009C6E57" w:rsidRPr="00A3537A" w14:paraId="5DED0EF6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EE15AF8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Imipenem</w:t>
            </w:r>
          </w:p>
        </w:tc>
        <w:tc>
          <w:tcPr>
            <w:tcW w:w="2254" w:type="dxa"/>
          </w:tcPr>
          <w:p w14:paraId="166B9D6F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36.83 ± 53.68</w:t>
            </w:r>
          </w:p>
        </w:tc>
        <w:tc>
          <w:tcPr>
            <w:tcW w:w="2254" w:type="dxa"/>
          </w:tcPr>
          <w:p w14:paraId="39836DC9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12.0 (55.50)</w:t>
            </w:r>
          </w:p>
        </w:tc>
        <w:tc>
          <w:tcPr>
            <w:tcW w:w="2254" w:type="dxa"/>
          </w:tcPr>
          <w:p w14:paraId="02179649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37.74%</w:t>
            </w:r>
          </w:p>
        </w:tc>
      </w:tr>
      <w:tr w:rsidR="009C6E57" w:rsidRPr="00A3537A" w14:paraId="703B7E17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A63E628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Ceftazidime</w:t>
            </w:r>
          </w:p>
        </w:tc>
        <w:tc>
          <w:tcPr>
            <w:tcW w:w="2254" w:type="dxa"/>
          </w:tcPr>
          <w:p w14:paraId="158187DE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3.80 ± 3.43</w:t>
            </w:r>
          </w:p>
        </w:tc>
        <w:tc>
          <w:tcPr>
            <w:tcW w:w="2254" w:type="dxa"/>
          </w:tcPr>
          <w:p w14:paraId="25460260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2.0 (4.00)</w:t>
            </w:r>
          </w:p>
        </w:tc>
        <w:tc>
          <w:tcPr>
            <w:tcW w:w="2254" w:type="dxa"/>
          </w:tcPr>
          <w:p w14:paraId="09D5F598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4.72%</w:t>
            </w:r>
          </w:p>
        </w:tc>
      </w:tr>
      <w:tr w:rsidR="009C6E57" w:rsidRPr="00A3537A" w14:paraId="4BA6EDF2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5612933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Gentamycin</w:t>
            </w:r>
          </w:p>
        </w:tc>
        <w:tc>
          <w:tcPr>
            <w:tcW w:w="2254" w:type="dxa"/>
          </w:tcPr>
          <w:p w14:paraId="6B765248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12.60 ± 9.52</w:t>
            </w:r>
          </w:p>
        </w:tc>
        <w:tc>
          <w:tcPr>
            <w:tcW w:w="2254" w:type="dxa"/>
          </w:tcPr>
          <w:p w14:paraId="353F7C4F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6.0 (16.00)</w:t>
            </w:r>
          </w:p>
        </w:tc>
        <w:tc>
          <w:tcPr>
            <w:tcW w:w="2254" w:type="dxa"/>
          </w:tcPr>
          <w:p w14:paraId="5F90A8C1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4.72%</w:t>
            </w:r>
          </w:p>
        </w:tc>
      </w:tr>
      <w:tr w:rsidR="009C6E57" w:rsidRPr="00A3537A" w14:paraId="187168F3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E034417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Cotrimoxazole</w:t>
            </w:r>
          </w:p>
        </w:tc>
        <w:tc>
          <w:tcPr>
            <w:tcW w:w="2254" w:type="dxa"/>
          </w:tcPr>
          <w:p w14:paraId="3E5804C4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38.00 ± 0.00</w:t>
            </w:r>
          </w:p>
        </w:tc>
        <w:tc>
          <w:tcPr>
            <w:tcW w:w="2254" w:type="dxa"/>
          </w:tcPr>
          <w:p w14:paraId="51BBA7F2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38.0 (0.00)</w:t>
            </w:r>
          </w:p>
        </w:tc>
        <w:tc>
          <w:tcPr>
            <w:tcW w:w="2254" w:type="dxa"/>
          </w:tcPr>
          <w:p w14:paraId="2726D977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0.94%</w:t>
            </w:r>
          </w:p>
        </w:tc>
      </w:tr>
      <w:tr w:rsidR="009C6E57" w:rsidRPr="00A3537A" w14:paraId="5111D589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1D3E707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Ampicillin-Sulbactam</w:t>
            </w:r>
          </w:p>
        </w:tc>
        <w:tc>
          <w:tcPr>
            <w:tcW w:w="2254" w:type="dxa"/>
          </w:tcPr>
          <w:p w14:paraId="4952CC96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76.94 ± 86.49</w:t>
            </w:r>
          </w:p>
        </w:tc>
        <w:tc>
          <w:tcPr>
            <w:tcW w:w="2254" w:type="dxa"/>
          </w:tcPr>
          <w:p w14:paraId="087F768E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40.0 (87.75)</w:t>
            </w:r>
          </w:p>
        </w:tc>
        <w:tc>
          <w:tcPr>
            <w:tcW w:w="2254" w:type="dxa"/>
          </w:tcPr>
          <w:p w14:paraId="1CF3D3D2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16.98%</w:t>
            </w:r>
          </w:p>
        </w:tc>
      </w:tr>
      <w:tr w:rsidR="009C6E57" w:rsidRPr="00A3537A" w14:paraId="7DA3AFFE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439D617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Teicoplanin</w:t>
            </w:r>
          </w:p>
        </w:tc>
        <w:tc>
          <w:tcPr>
            <w:tcW w:w="2254" w:type="dxa"/>
          </w:tcPr>
          <w:p w14:paraId="29D70AB8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5.60 ± 3.72</w:t>
            </w:r>
          </w:p>
        </w:tc>
        <w:tc>
          <w:tcPr>
            <w:tcW w:w="2254" w:type="dxa"/>
          </w:tcPr>
          <w:p w14:paraId="39C310EE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4.0 (7.00)</w:t>
            </w:r>
          </w:p>
        </w:tc>
        <w:tc>
          <w:tcPr>
            <w:tcW w:w="2254" w:type="dxa"/>
          </w:tcPr>
          <w:p w14:paraId="0B6D5D5F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4.72%</w:t>
            </w:r>
          </w:p>
        </w:tc>
      </w:tr>
      <w:tr w:rsidR="009C6E57" w:rsidRPr="00A3537A" w14:paraId="796746EF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BA3A31B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Levofloxacin</w:t>
            </w:r>
          </w:p>
        </w:tc>
        <w:tc>
          <w:tcPr>
            <w:tcW w:w="2254" w:type="dxa"/>
          </w:tcPr>
          <w:p w14:paraId="1FB4F1CA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11.00 ± 10.87</w:t>
            </w:r>
          </w:p>
        </w:tc>
        <w:tc>
          <w:tcPr>
            <w:tcW w:w="2254" w:type="dxa"/>
          </w:tcPr>
          <w:p w14:paraId="7BACA7F3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7.5 (15.25)</w:t>
            </w:r>
          </w:p>
        </w:tc>
        <w:tc>
          <w:tcPr>
            <w:tcW w:w="2254" w:type="dxa"/>
          </w:tcPr>
          <w:p w14:paraId="29B3FFC1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11.32%</w:t>
            </w:r>
          </w:p>
        </w:tc>
      </w:tr>
      <w:tr w:rsidR="009C6E57" w:rsidRPr="00A3537A" w14:paraId="17A8BE60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A192508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Cefepime</w:t>
            </w:r>
          </w:p>
        </w:tc>
        <w:tc>
          <w:tcPr>
            <w:tcW w:w="2254" w:type="dxa"/>
          </w:tcPr>
          <w:p w14:paraId="01AE4E18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37.00 ± 0.00</w:t>
            </w:r>
          </w:p>
        </w:tc>
        <w:tc>
          <w:tcPr>
            <w:tcW w:w="2254" w:type="dxa"/>
          </w:tcPr>
          <w:p w14:paraId="16F6AC50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37.0 (0.00)</w:t>
            </w:r>
          </w:p>
        </w:tc>
        <w:tc>
          <w:tcPr>
            <w:tcW w:w="2254" w:type="dxa"/>
          </w:tcPr>
          <w:p w14:paraId="103D3862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0.94%</w:t>
            </w:r>
          </w:p>
        </w:tc>
      </w:tr>
      <w:tr w:rsidR="009C6E57" w:rsidRPr="00A3537A" w14:paraId="5B1F5667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F9C3A3F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Cefotaxime</w:t>
            </w:r>
          </w:p>
        </w:tc>
        <w:tc>
          <w:tcPr>
            <w:tcW w:w="2254" w:type="dxa"/>
          </w:tcPr>
          <w:p w14:paraId="677366C4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NA</w:t>
            </w:r>
          </w:p>
        </w:tc>
        <w:tc>
          <w:tcPr>
            <w:tcW w:w="2254" w:type="dxa"/>
          </w:tcPr>
          <w:p w14:paraId="513A4BE9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NA</w:t>
            </w:r>
          </w:p>
        </w:tc>
        <w:tc>
          <w:tcPr>
            <w:tcW w:w="2254" w:type="dxa"/>
          </w:tcPr>
          <w:p w14:paraId="447F1A43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0.00%</w:t>
            </w:r>
          </w:p>
        </w:tc>
      </w:tr>
      <w:tr w:rsidR="009C6E57" w:rsidRPr="00A3537A" w14:paraId="571F59C6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C4293FE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Co-Amoxiclav</w:t>
            </w:r>
          </w:p>
        </w:tc>
        <w:tc>
          <w:tcPr>
            <w:tcW w:w="2254" w:type="dxa"/>
          </w:tcPr>
          <w:p w14:paraId="01346AAB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10.00 ± 0.00</w:t>
            </w:r>
          </w:p>
        </w:tc>
        <w:tc>
          <w:tcPr>
            <w:tcW w:w="2254" w:type="dxa"/>
          </w:tcPr>
          <w:p w14:paraId="52ECCB1B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10.0 (0.00)</w:t>
            </w:r>
          </w:p>
        </w:tc>
        <w:tc>
          <w:tcPr>
            <w:tcW w:w="2254" w:type="dxa"/>
          </w:tcPr>
          <w:p w14:paraId="6138B25C" w14:textId="77777777" w:rsidR="009C6E57" w:rsidRPr="00A3537A" w:rsidRDefault="009C6E57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0.94%</w:t>
            </w:r>
          </w:p>
        </w:tc>
      </w:tr>
      <w:tr w:rsidR="009C6E57" w:rsidRPr="00A3537A" w14:paraId="4353558F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8C3DF69" w14:textId="77777777" w:rsidR="009C6E57" w:rsidRPr="00A3537A" w:rsidRDefault="009C6E57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3537A">
              <w:rPr>
                <w:rFonts w:ascii="Times New Roman" w:eastAsia="Calibri" w:hAnsi="Times New Roman" w:cs="Times New Roman"/>
              </w:rPr>
              <w:t>Pipracetam</w:t>
            </w:r>
            <w:proofErr w:type="spellEnd"/>
          </w:p>
        </w:tc>
        <w:tc>
          <w:tcPr>
            <w:tcW w:w="2254" w:type="dxa"/>
          </w:tcPr>
          <w:p w14:paraId="3D5EC138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NA</w:t>
            </w:r>
          </w:p>
        </w:tc>
        <w:tc>
          <w:tcPr>
            <w:tcW w:w="2254" w:type="dxa"/>
          </w:tcPr>
          <w:p w14:paraId="772767C5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NA</w:t>
            </w:r>
          </w:p>
        </w:tc>
        <w:tc>
          <w:tcPr>
            <w:tcW w:w="2254" w:type="dxa"/>
          </w:tcPr>
          <w:p w14:paraId="3DC4D605" w14:textId="77777777" w:rsidR="009C6E57" w:rsidRPr="00A3537A" w:rsidRDefault="009C6E57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3537A">
              <w:rPr>
                <w:rFonts w:ascii="Times New Roman" w:eastAsia="Calibri" w:hAnsi="Times New Roman" w:cs="Times New Roman"/>
              </w:rPr>
              <w:t>0.00%</w:t>
            </w:r>
          </w:p>
        </w:tc>
      </w:tr>
    </w:tbl>
    <w:p w14:paraId="6F061D52" w14:textId="77777777" w:rsidR="009C6E57" w:rsidRPr="00817826" w:rsidRDefault="009C6E57" w:rsidP="009C6E57">
      <w:pPr>
        <w:bidi w:val="0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0F8526" w14:textId="77777777" w:rsidR="00DC5B07" w:rsidRDefault="00DC5B07"/>
    <w:sectPr w:rsidR="00DC5B0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88030" w14:textId="77777777" w:rsidR="00484DC1" w:rsidRDefault="00484DC1" w:rsidP="009C6E57">
      <w:pPr>
        <w:spacing w:after="0" w:line="240" w:lineRule="auto"/>
      </w:pPr>
      <w:r>
        <w:separator/>
      </w:r>
    </w:p>
  </w:endnote>
  <w:endnote w:type="continuationSeparator" w:id="0">
    <w:p w14:paraId="520B0A31" w14:textId="77777777" w:rsidR="00484DC1" w:rsidRDefault="00484DC1" w:rsidP="009C6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0150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AE0C48" w14:textId="209E7566" w:rsidR="009C6E57" w:rsidRDefault="009C6E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64DE0C" w14:textId="77777777" w:rsidR="009C6E57" w:rsidRDefault="009C6E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52077" w14:textId="77777777" w:rsidR="00484DC1" w:rsidRDefault="00484DC1" w:rsidP="009C6E57">
      <w:pPr>
        <w:spacing w:after="0" w:line="240" w:lineRule="auto"/>
      </w:pPr>
      <w:r>
        <w:separator/>
      </w:r>
    </w:p>
  </w:footnote>
  <w:footnote w:type="continuationSeparator" w:id="0">
    <w:p w14:paraId="774A0458" w14:textId="77777777" w:rsidR="00484DC1" w:rsidRDefault="00484DC1" w:rsidP="009C6E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98"/>
    <w:rsid w:val="0005423B"/>
    <w:rsid w:val="003E3F05"/>
    <w:rsid w:val="00484DC1"/>
    <w:rsid w:val="005F2A7C"/>
    <w:rsid w:val="006C2BF2"/>
    <w:rsid w:val="006C7B3B"/>
    <w:rsid w:val="00736498"/>
    <w:rsid w:val="008825F3"/>
    <w:rsid w:val="0097104A"/>
    <w:rsid w:val="009C6E57"/>
    <w:rsid w:val="00A34ADE"/>
    <w:rsid w:val="00D47C4D"/>
    <w:rsid w:val="00DC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E639A"/>
  <w15:chartTrackingRefBased/>
  <w15:docId w15:val="{57D7A00A-7D5F-4D7D-B6C7-071E4A34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E57"/>
    <w:pPr>
      <w:bidi/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498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498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498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498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498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498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498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498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498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4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4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4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4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4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498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6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498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6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498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6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498"/>
    <w:pPr>
      <w:bidi w:val="0"/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64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4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4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49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6E57"/>
    <w:pPr>
      <w:tabs>
        <w:tab w:val="center" w:pos="4680"/>
        <w:tab w:val="right" w:pos="9360"/>
      </w:tabs>
      <w:bidi w:val="0"/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C6E57"/>
  </w:style>
  <w:style w:type="paragraph" w:styleId="Footer">
    <w:name w:val="footer"/>
    <w:basedOn w:val="Normal"/>
    <w:link w:val="FooterChar"/>
    <w:uiPriority w:val="99"/>
    <w:unhideWhenUsed/>
    <w:rsid w:val="009C6E57"/>
    <w:pPr>
      <w:tabs>
        <w:tab w:val="center" w:pos="4680"/>
        <w:tab w:val="right" w:pos="9360"/>
      </w:tabs>
      <w:bidi w:val="0"/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C6E57"/>
  </w:style>
  <w:style w:type="table" w:customStyle="1" w:styleId="GridTable44">
    <w:name w:val="Grid Table 44"/>
    <w:basedOn w:val="TableNormal"/>
    <w:next w:val="GridTable4"/>
    <w:uiPriority w:val="49"/>
    <w:rsid w:val="009C6E57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">
    <w:name w:val="Grid Table 4"/>
    <w:basedOn w:val="TableNormal"/>
    <w:uiPriority w:val="49"/>
    <w:rsid w:val="009C6E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Hosseini</dc:creator>
  <cp:keywords/>
  <dc:description/>
  <cp:lastModifiedBy>Hossein Hosseini</cp:lastModifiedBy>
  <cp:revision>3</cp:revision>
  <dcterms:created xsi:type="dcterms:W3CDTF">2025-07-30T06:25:00Z</dcterms:created>
  <dcterms:modified xsi:type="dcterms:W3CDTF">2025-09-16T08:34:00Z</dcterms:modified>
</cp:coreProperties>
</file>