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118C" w14:textId="4B02EB1F" w:rsidR="00D03B87" w:rsidRPr="00BC09D2" w:rsidRDefault="00D03B87" w:rsidP="00D03B87">
      <w:pPr>
        <w:bidi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Additional file </w:t>
      </w:r>
      <w:r w:rsidR="0085371B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bookmarkStart w:id="0" w:name="_Hlk208916731"/>
      <w:r w:rsidRPr="00BC09D2">
        <w:rPr>
          <w:rFonts w:ascii="Times New Roman" w:eastAsia="Calibri" w:hAnsi="Times New Roman" w:cs="Times New Roman"/>
          <w:b/>
          <w:bCs/>
          <w:sz w:val="24"/>
          <w:szCs w:val="24"/>
        </w:rPr>
        <w:t>Antibiotic Resistance Profiles Among Microbial Isolates in Surgical ICU Patients: Family-Level and Individual Agent Trends</w:t>
      </w:r>
    </w:p>
    <w:tbl>
      <w:tblPr>
        <w:tblStyle w:val="GridTable46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03B87" w:rsidRPr="00BC09D2" w14:paraId="23665D99" w14:textId="77777777" w:rsidTr="00F96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bookmarkEnd w:id="0"/>
          <w:p w14:paraId="436004B2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Antibiotic Family</w:t>
            </w:r>
          </w:p>
        </w:tc>
        <w:tc>
          <w:tcPr>
            <w:tcW w:w="2254" w:type="dxa"/>
          </w:tcPr>
          <w:p w14:paraId="55A0FC86" w14:textId="77777777" w:rsidR="00D03B87" w:rsidRPr="00BC09D2" w:rsidRDefault="00D03B87" w:rsidP="00F96872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Family Resistance Rate</w:t>
            </w:r>
          </w:p>
        </w:tc>
        <w:tc>
          <w:tcPr>
            <w:tcW w:w="2254" w:type="dxa"/>
          </w:tcPr>
          <w:p w14:paraId="1C04950C" w14:textId="77777777" w:rsidR="00D03B87" w:rsidRPr="00BC09D2" w:rsidRDefault="00D03B87" w:rsidP="00F96872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Antibiotics Tested</w:t>
            </w:r>
          </w:p>
        </w:tc>
        <w:tc>
          <w:tcPr>
            <w:tcW w:w="2254" w:type="dxa"/>
          </w:tcPr>
          <w:p w14:paraId="76D6A434" w14:textId="77777777" w:rsidR="00D03B87" w:rsidRPr="00BC09D2" w:rsidRDefault="00D03B87" w:rsidP="00F96872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Resistance Rate</w:t>
            </w:r>
          </w:p>
        </w:tc>
      </w:tr>
      <w:tr w:rsidR="00D03B87" w:rsidRPr="00BC09D2" w14:paraId="69EB5277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 w:val="restart"/>
          </w:tcPr>
          <w:p w14:paraId="2921700E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Aminoglycosides</w:t>
            </w:r>
          </w:p>
        </w:tc>
        <w:tc>
          <w:tcPr>
            <w:tcW w:w="2254" w:type="dxa"/>
            <w:vMerge w:val="restart"/>
          </w:tcPr>
          <w:p w14:paraId="02D488C7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77 (53.10%)</w:t>
            </w:r>
          </w:p>
        </w:tc>
        <w:tc>
          <w:tcPr>
            <w:tcW w:w="2254" w:type="dxa"/>
          </w:tcPr>
          <w:p w14:paraId="2E8FFCE8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Amikacin</w:t>
            </w:r>
          </w:p>
        </w:tc>
        <w:tc>
          <w:tcPr>
            <w:tcW w:w="2254" w:type="dxa"/>
          </w:tcPr>
          <w:p w14:paraId="64E6161D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44 (30.34%)</w:t>
            </w:r>
          </w:p>
        </w:tc>
      </w:tr>
      <w:tr w:rsidR="00D03B87" w:rsidRPr="00BC09D2" w14:paraId="129F2850" w14:textId="77777777" w:rsidTr="00F968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/>
          </w:tcPr>
          <w:p w14:paraId="03C789B5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18FA9C81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</w:tcPr>
          <w:p w14:paraId="6152B9BB" w14:textId="4DFB6936" w:rsidR="00D03B87" w:rsidRPr="00BC09D2" w:rsidRDefault="00E606B8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>G</w:t>
            </w:r>
            <w:r w:rsidRPr="00E606B8">
              <w:rPr>
                <w:rFonts w:ascii="Times New Roman" w:eastAsia="Calibri" w:hAnsi="Times New Roman" w:cs="Times New Roman"/>
              </w:rPr>
              <w:t>entamicin</w:t>
            </w:r>
          </w:p>
        </w:tc>
        <w:tc>
          <w:tcPr>
            <w:tcW w:w="2254" w:type="dxa"/>
          </w:tcPr>
          <w:p w14:paraId="3DAC35F7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67 (46.21%)</w:t>
            </w:r>
          </w:p>
        </w:tc>
      </w:tr>
      <w:tr w:rsidR="00D03B87" w:rsidRPr="00BC09D2" w14:paraId="008EDDE7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EDA47E5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C09D2">
              <w:rPr>
                <w:rFonts w:ascii="Times New Roman" w:eastAsia="Calibri" w:hAnsi="Times New Roman" w:cs="Times New Roman"/>
              </w:rPr>
              <w:t>Penicillins</w:t>
            </w:r>
            <w:proofErr w:type="spellEnd"/>
          </w:p>
        </w:tc>
        <w:tc>
          <w:tcPr>
            <w:tcW w:w="2254" w:type="dxa"/>
          </w:tcPr>
          <w:p w14:paraId="17051D4C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12 (8.27%)</w:t>
            </w:r>
          </w:p>
        </w:tc>
        <w:tc>
          <w:tcPr>
            <w:tcW w:w="2254" w:type="dxa"/>
          </w:tcPr>
          <w:p w14:paraId="3A419EE3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Ampicillin</w:t>
            </w:r>
          </w:p>
        </w:tc>
        <w:tc>
          <w:tcPr>
            <w:tcW w:w="2254" w:type="dxa"/>
          </w:tcPr>
          <w:p w14:paraId="02793FBD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12 (8.27%)</w:t>
            </w:r>
          </w:p>
        </w:tc>
      </w:tr>
      <w:tr w:rsidR="00D03B87" w:rsidRPr="00BC09D2" w14:paraId="35BA540C" w14:textId="77777777" w:rsidTr="00F96872">
        <w:trPr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 w:val="restart"/>
          </w:tcPr>
          <w:p w14:paraId="03E388CB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β-lactamase Inhibitor Combinations</w:t>
            </w:r>
          </w:p>
        </w:tc>
        <w:tc>
          <w:tcPr>
            <w:tcW w:w="2254" w:type="dxa"/>
            <w:vMerge w:val="restart"/>
          </w:tcPr>
          <w:p w14:paraId="4B037BC0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39 (26.89%)</w:t>
            </w:r>
          </w:p>
        </w:tc>
        <w:tc>
          <w:tcPr>
            <w:tcW w:w="2254" w:type="dxa"/>
          </w:tcPr>
          <w:p w14:paraId="5FAF61AD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C09D2">
              <w:rPr>
                <w:rFonts w:ascii="Times New Roman" w:eastAsia="Calibri" w:hAnsi="Times New Roman" w:cs="Times New Roman"/>
              </w:rPr>
              <w:t>Ampi</w:t>
            </w:r>
            <w:proofErr w:type="spellEnd"/>
            <w:r w:rsidRPr="00BC09D2">
              <w:rPr>
                <w:rFonts w:ascii="Times New Roman" w:eastAsia="Calibri" w:hAnsi="Times New Roman" w:cs="Times New Roman"/>
              </w:rPr>
              <w:t>/Sulbactam</w:t>
            </w:r>
          </w:p>
        </w:tc>
        <w:tc>
          <w:tcPr>
            <w:tcW w:w="2254" w:type="dxa"/>
          </w:tcPr>
          <w:p w14:paraId="66430F99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5 (3.45%)</w:t>
            </w:r>
          </w:p>
        </w:tc>
      </w:tr>
      <w:tr w:rsidR="00D03B87" w:rsidRPr="00BC09D2" w14:paraId="37B0BD11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/>
          </w:tcPr>
          <w:p w14:paraId="483726AD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06D39E48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</w:tcPr>
          <w:p w14:paraId="7F6BE50D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Tazobactam</w:t>
            </w:r>
          </w:p>
        </w:tc>
        <w:tc>
          <w:tcPr>
            <w:tcW w:w="2254" w:type="dxa"/>
          </w:tcPr>
          <w:p w14:paraId="693F2D10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34 (23.44%)</w:t>
            </w:r>
          </w:p>
        </w:tc>
      </w:tr>
      <w:tr w:rsidR="00D03B87" w:rsidRPr="00BC09D2" w14:paraId="369EAFE2" w14:textId="77777777" w:rsidTr="00F968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 w:val="restart"/>
          </w:tcPr>
          <w:p w14:paraId="1252117E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Carbapenems</w:t>
            </w:r>
          </w:p>
        </w:tc>
        <w:tc>
          <w:tcPr>
            <w:tcW w:w="2254" w:type="dxa"/>
            <w:vMerge w:val="restart"/>
          </w:tcPr>
          <w:p w14:paraId="7175B9DB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40 (27.58%)</w:t>
            </w:r>
          </w:p>
        </w:tc>
        <w:tc>
          <w:tcPr>
            <w:tcW w:w="2254" w:type="dxa"/>
          </w:tcPr>
          <w:p w14:paraId="4C67F168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Meropenem</w:t>
            </w:r>
          </w:p>
        </w:tc>
        <w:tc>
          <w:tcPr>
            <w:tcW w:w="2254" w:type="dxa"/>
          </w:tcPr>
          <w:p w14:paraId="4AA4FD85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7 (4.83%)</w:t>
            </w:r>
          </w:p>
        </w:tc>
      </w:tr>
      <w:tr w:rsidR="00D03B87" w:rsidRPr="00BC09D2" w14:paraId="3C7DF3CA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/>
          </w:tcPr>
          <w:p w14:paraId="00CE3F68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03632525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</w:tcPr>
          <w:p w14:paraId="0D949DF0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Imipenem</w:t>
            </w:r>
          </w:p>
        </w:tc>
        <w:tc>
          <w:tcPr>
            <w:tcW w:w="2254" w:type="dxa"/>
          </w:tcPr>
          <w:p w14:paraId="197BC695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33 (22.76%)</w:t>
            </w:r>
          </w:p>
        </w:tc>
      </w:tr>
      <w:tr w:rsidR="00D03B87" w:rsidRPr="00BC09D2" w14:paraId="2DD36712" w14:textId="77777777" w:rsidTr="00F968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 w:val="restart"/>
          </w:tcPr>
          <w:p w14:paraId="46FE581E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1st Generation Cephalosporins</w:t>
            </w:r>
          </w:p>
        </w:tc>
        <w:tc>
          <w:tcPr>
            <w:tcW w:w="2254" w:type="dxa"/>
            <w:vMerge w:val="restart"/>
          </w:tcPr>
          <w:p w14:paraId="26874ABF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53 (36.55%)</w:t>
            </w:r>
          </w:p>
        </w:tc>
        <w:tc>
          <w:tcPr>
            <w:tcW w:w="2254" w:type="dxa"/>
          </w:tcPr>
          <w:p w14:paraId="2F4B3EAE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Cefalexin</w:t>
            </w:r>
          </w:p>
        </w:tc>
        <w:tc>
          <w:tcPr>
            <w:tcW w:w="2254" w:type="dxa"/>
          </w:tcPr>
          <w:p w14:paraId="74B06303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28 (19.31%)</w:t>
            </w:r>
          </w:p>
        </w:tc>
      </w:tr>
      <w:tr w:rsidR="00D03B87" w:rsidRPr="00BC09D2" w14:paraId="2CF13376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/>
          </w:tcPr>
          <w:p w14:paraId="2225F67B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256D9777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</w:tcPr>
          <w:p w14:paraId="78586E58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Cefazoline</w:t>
            </w:r>
          </w:p>
        </w:tc>
        <w:tc>
          <w:tcPr>
            <w:tcW w:w="2254" w:type="dxa"/>
          </w:tcPr>
          <w:p w14:paraId="738E160F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25 (17.24%)</w:t>
            </w:r>
          </w:p>
        </w:tc>
      </w:tr>
      <w:tr w:rsidR="00D03B87" w:rsidRPr="00BC09D2" w14:paraId="00C7F8B5" w14:textId="77777777" w:rsidTr="00F968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 w:val="restart"/>
          </w:tcPr>
          <w:p w14:paraId="3C501301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bookmarkStart w:id="1" w:name="_Hlk194692851"/>
            <w:r w:rsidRPr="00BC09D2">
              <w:rPr>
                <w:rFonts w:ascii="Times New Roman" w:eastAsia="Calibri" w:hAnsi="Times New Roman" w:cs="Times New Roman"/>
              </w:rPr>
              <w:t>3rd Generation Cephalosporins</w:t>
            </w:r>
            <w:bookmarkEnd w:id="1"/>
          </w:p>
        </w:tc>
        <w:tc>
          <w:tcPr>
            <w:tcW w:w="2254" w:type="dxa"/>
            <w:vMerge w:val="restart"/>
          </w:tcPr>
          <w:p w14:paraId="66F5DEBC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bookmarkStart w:id="2" w:name="_Hlk194692810"/>
            <w:r w:rsidRPr="00BC09D2">
              <w:rPr>
                <w:rFonts w:ascii="Times New Roman" w:eastAsia="Calibri" w:hAnsi="Times New Roman" w:cs="Times New Roman"/>
              </w:rPr>
              <w:t>104 (71.72%)</w:t>
            </w:r>
            <w:bookmarkEnd w:id="2"/>
          </w:p>
        </w:tc>
        <w:tc>
          <w:tcPr>
            <w:tcW w:w="2254" w:type="dxa"/>
          </w:tcPr>
          <w:p w14:paraId="016EB62E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bookmarkStart w:id="3" w:name="_Hlk194692784"/>
            <w:r w:rsidRPr="00BC09D2">
              <w:rPr>
                <w:rFonts w:ascii="Times New Roman" w:eastAsia="Calibri" w:hAnsi="Times New Roman" w:cs="Times New Roman"/>
              </w:rPr>
              <w:t>Ceftriaxone</w:t>
            </w:r>
            <w:bookmarkEnd w:id="3"/>
          </w:p>
        </w:tc>
        <w:tc>
          <w:tcPr>
            <w:tcW w:w="2254" w:type="dxa"/>
          </w:tcPr>
          <w:p w14:paraId="0F4FBB0F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25 (17.24%)</w:t>
            </w:r>
          </w:p>
        </w:tc>
      </w:tr>
      <w:tr w:rsidR="00D03B87" w:rsidRPr="00BC09D2" w14:paraId="2E813E55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/>
          </w:tcPr>
          <w:p w14:paraId="129CF6F6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2ABAE3DE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</w:tcPr>
          <w:p w14:paraId="5EC49496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C09D2">
              <w:rPr>
                <w:rFonts w:ascii="Times New Roman" w:eastAsia="Calibri" w:hAnsi="Times New Roman" w:cs="Times New Roman"/>
              </w:rPr>
              <w:t>Cefixim</w:t>
            </w:r>
            <w:proofErr w:type="spellEnd"/>
          </w:p>
        </w:tc>
        <w:tc>
          <w:tcPr>
            <w:tcW w:w="2254" w:type="dxa"/>
          </w:tcPr>
          <w:p w14:paraId="36852FA3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82 (56.55%)</w:t>
            </w:r>
          </w:p>
        </w:tc>
      </w:tr>
      <w:tr w:rsidR="00D03B87" w:rsidRPr="00BC09D2" w14:paraId="08FBA854" w14:textId="77777777" w:rsidTr="00F968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/>
          </w:tcPr>
          <w:p w14:paraId="2F410C9C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6D8D8C51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</w:tcPr>
          <w:p w14:paraId="6A4D02D9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C09D2">
              <w:rPr>
                <w:rFonts w:ascii="Times New Roman" w:eastAsia="Calibri" w:hAnsi="Times New Roman" w:cs="Times New Roman"/>
              </w:rPr>
              <w:t>Cefotaxim</w:t>
            </w:r>
            <w:proofErr w:type="spellEnd"/>
          </w:p>
        </w:tc>
        <w:tc>
          <w:tcPr>
            <w:tcW w:w="2254" w:type="dxa"/>
          </w:tcPr>
          <w:p w14:paraId="27732FC0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87 (60%)</w:t>
            </w:r>
          </w:p>
        </w:tc>
      </w:tr>
      <w:tr w:rsidR="00D03B87" w:rsidRPr="00BC09D2" w14:paraId="006F609F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/>
          </w:tcPr>
          <w:p w14:paraId="39754E3F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64479569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</w:tcPr>
          <w:p w14:paraId="293BC4C6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Ceftazidime</w:t>
            </w:r>
          </w:p>
        </w:tc>
        <w:tc>
          <w:tcPr>
            <w:tcW w:w="2254" w:type="dxa"/>
          </w:tcPr>
          <w:p w14:paraId="74F89B6B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0 (0.0%)</w:t>
            </w:r>
          </w:p>
        </w:tc>
      </w:tr>
      <w:tr w:rsidR="00D03B87" w:rsidRPr="00BC09D2" w14:paraId="65485E91" w14:textId="77777777" w:rsidTr="00F968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BDA53E8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4th Generation Cephalosporins</w:t>
            </w:r>
          </w:p>
        </w:tc>
        <w:tc>
          <w:tcPr>
            <w:tcW w:w="2254" w:type="dxa"/>
          </w:tcPr>
          <w:p w14:paraId="11D1C234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34 (23.44%)</w:t>
            </w:r>
          </w:p>
        </w:tc>
        <w:tc>
          <w:tcPr>
            <w:tcW w:w="2254" w:type="dxa"/>
          </w:tcPr>
          <w:p w14:paraId="3713F871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Cefepime</w:t>
            </w:r>
          </w:p>
        </w:tc>
        <w:tc>
          <w:tcPr>
            <w:tcW w:w="2254" w:type="dxa"/>
          </w:tcPr>
          <w:p w14:paraId="142EDFB2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34 (23.45%)</w:t>
            </w:r>
          </w:p>
        </w:tc>
      </w:tr>
      <w:tr w:rsidR="00D03B87" w:rsidRPr="00BC09D2" w14:paraId="10483C31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 w:val="restart"/>
          </w:tcPr>
          <w:p w14:paraId="2460D5A4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Fluoroquinolones</w:t>
            </w:r>
          </w:p>
        </w:tc>
        <w:tc>
          <w:tcPr>
            <w:tcW w:w="2254" w:type="dxa"/>
            <w:vMerge w:val="restart"/>
          </w:tcPr>
          <w:p w14:paraId="31F0BCCF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99 (68.27%)</w:t>
            </w:r>
          </w:p>
        </w:tc>
        <w:tc>
          <w:tcPr>
            <w:tcW w:w="2254" w:type="dxa"/>
          </w:tcPr>
          <w:p w14:paraId="7B882EEE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Ciprofloxacin</w:t>
            </w:r>
          </w:p>
        </w:tc>
        <w:tc>
          <w:tcPr>
            <w:tcW w:w="2254" w:type="dxa"/>
          </w:tcPr>
          <w:p w14:paraId="327D6995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 xml:space="preserve">97 </w:t>
            </w:r>
            <w:bookmarkStart w:id="4" w:name="_Hlk194697366"/>
            <w:r w:rsidRPr="00BC09D2">
              <w:rPr>
                <w:rFonts w:ascii="Times New Roman" w:eastAsia="Calibri" w:hAnsi="Times New Roman" w:cs="Times New Roman"/>
              </w:rPr>
              <w:t>(66.89%)</w:t>
            </w:r>
            <w:bookmarkEnd w:id="4"/>
          </w:p>
        </w:tc>
      </w:tr>
      <w:tr w:rsidR="00D03B87" w:rsidRPr="00BC09D2" w14:paraId="705F710A" w14:textId="77777777" w:rsidTr="00F968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/>
          </w:tcPr>
          <w:p w14:paraId="3E39ED15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4F490AD5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</w:tcPr>
          <w:p w14:paraId="40315CCE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Norfloxacin</w:t>
            </w:r>
          </w:p>
        </w:tc>
        <w:tc>
          <w:tcPr>
            <w:tcW w:w="2254" w:type="dxa"/>
          </w:tcPr>
          <w:p w14:paraId="40C212FE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11 (7.58%)</w:t>
            </w:r>
          </w:p>
        </w:tc>
      </w:tr>
      <w:tr w:rsidR="00D03B87" w:rsidRPr="00BC09D2" w14:paraId="32A158E4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vMerge/>
          </w:tcPr>
          <w:p w14:paraId="18807383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  <w:vMerge/>
          </w:tcPr>
          <w:p w14:paraId="12DC2B34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</w:tcPr>
          <w:p w14:paraId="23722FBA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C09D2">
              <w:rPr>
                <w:rFonts w:ascii="Times New Roman" w:eastAsia="Calibri" w:hAnsi="Times New Roman" w:cs="Times New Roman"/>
              </w:rPr>
              <w:t>Naldixic</w:t>
            </w:r>
            <w:proofErr w:type="spellEnd"/>
            <w:r w:rsidRPr="00BC09D2">
              <w:rPr>
                <w:rFonts w:ascii="Times New Roman" w:eastAsia="Calibri" w:hAnsi="Times New Roman" w:cs="Times New Roman"/>
              </w:rPr>
              <w:t xml:space="preserve"> Acid</w:t>
            </w:r>
          </w:p>
        </w:tc>
        <w:tc>
          <w:tcPr>
            <w:tcW w:w="2254" w:type="dxa"/>
          </w:tcPr>
          <w:p w14:paraId="6E9DB122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 xml:space="preserve">12 </w:t>
            </w:r>
            <w:bookmarkStart w:id="5" w:name="_Hlk194697383"/>
            <w:r w:rsidRPr="00BC09D2">
              <w:rPr>
                <w:rFonts w:ascii="Times New Roman" w:eastAsia="Calibri" w:hAnsi="Times New Roman" w:cs="Times New Roman"/>
              </w:rPr>
              <w:t>(8.27%)</w:t>
            </w:r>
            <w:bookmarkEnd w:id="5"/>
          </w:p>
        </w:tc>
      </w:tr>
      <w:tr w:rsidR="00D03B87" w:rsidRPr="00BC09D2" w14:paraId="762E78BD" w14:textId="77777777" w:rsidTr="00F968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2DC0043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Macrolides</w:t>
            </w:r>
          </w:p>
        </w:tc>
        <w:tc>
          <w:tcPr>
            <w:tcW w:w="2254" w:type="dxa"/>
          </w:tcPr>
          <w:p w14:paraId="7D02F795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28 (19.31%)</w:t>
            </w:r>
          </w:p>
        </w:tc>
        <w:tc>
          <w:tcPr>
            <w:tcW w:w="2254" w:type="dxa"/>
          </w:tcPr>
          <w:p w14:paraId="75E10909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Erythromycin</w:t>
            </w:r>
          </w:p>
        </w:tc>
        <w:tc>
          <w:tcPr>
            <w:tcW w:w="2254" w:type="dxa"/>
          </w:tcPr>
          <w:p w14:paraId="55248C7D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28 (19.31%)</w:t>
            </w:r>
          </w:p>
        </w:tc>
      </w:tr>
      <w:tr w:rsidR="00D03B87" w:rsidRPr="00BC09D2" w14:paraId="57D6FA32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FDAE8FD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Tetracyclines</w:t>
            </w:r>
          </w:p>
        </w:tc>
        <w:tc>
          <w:tcPr>
            <w:tcW w:w="2254" w:type="dxa"/>
          </w:tcPr>
          <w:p w14:paraId="3C291557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29 (20%)</w:t>
            </w:r>
          </w:p>
        </w:tc>
        <w:tc>
          <w:tcPr>
            <w:tcW w:w="2254" w:type="dxa"/>
          </w:tcPr>
          <w:p w14:paraId="0F2485F2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Tetracycline</w:t>
            </w:r>
          </w:p>
        </w:tc>
        <w:tc>
          <w:tcPr>
            <w:tcW w:w="2254" w:type="dxa"/>
          </w:tcPr>
          <w:p w14:paraId="07335881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29 (20%)</w:t>
            </w:r>
          </w:p>
        </w:tc>
      </w:tr>
      <w:tr w:rsidR="00D03B87" w:rsidRPr="00BC09D2" w14:paraId="234E251D" w14:textId="77777777" w:rsidTr="00F968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D4925E1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C09D2">
              <w:rPr>
                <w:rFonts w:ascii="Times New Roman" w:eastAsia="Calibri" w:hAnsi="Times New Roman" w:cs="Times New Roman"/>
              </w:rPr>
              <w:t>Lincosamides</w:t>
            </w:r>
            <w:proofErr w:type="spellEnd"/>
          </w:p>
        </w:tc>
        <w:tc>
          <w:tcPr>
            <w:tcW w:w="2254" w:type="dxa"/>
          </w:tcPr>
          <w:p w14:paraId="2A3F2126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29 (20%)</w:t>
            </w:r>
          </w:p>
        </w:tc>
        <w:tc>
          <w:tcPr>
            <w:tcW w:w="2254" w:type="dxa"/>
          </w:tcPr>
          <w:p w14:paraId="52E784BF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Clindamycin</w:t>
            </w:r>
          </w:p>
        </w:tc>
        <w:tc>
          <w:tcPr>
            <w:tcW w:w="2254" w:type="dxa"/>
          </w:tcPr>
          <w:p w14:paraId="16DC7A57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29 (20%)</w:t>
            </w:r>
          </w:p>
        </w:tc>
      </w:tr>
      <w:tr w:rsidR="00D03B87" w:rsidRPr="00BC09D2" w14:paraId="1A6FEDAF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7F28448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Nitrofurans</w:t>
            </w:r>
          </w:p>
        </w:tc>
        <w:tc>
          <w:tcPr>
            <w:tcW w:w="2254" w:type="dxa"/>
          </w:tcPr>
          <w:p w14:paraId="7DC98137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5 (3.45%)</w:t>
            </w:r>
          </w:p>
        </w:tc>
        <w:tc>
          <w:tcPr>
            <w:tcW w:w="2254" w:type="dxa"/>
          </w:tcPr>
          <w:p w14:paraId="366F0AA0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Nitrofurantoin</w:t>
            </w:r>
          </w:p>
        </w:tc>
        <w:tc>
          <w:tcPr>
            <w:tcW w:w="2254" w:type="dxa"/>
          </w:tcPr>
          <w:p w14:paraId="5CF7687A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5 (3.45%)</w:t>
            </w:r>
          </w:p>
        </w:tc>
      </w:tr>
      <w:tr w:rsidR="00D03B87" w:rsidRPr="00BC09D2" w14:paraId="6295016F" w14:textId="77777777" w:rsidTr="00F968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2FE127D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Oxazolidinones</w:t>
            </w:r>
          </w:p>
        </w:tc>
        <w:tc>
          <w:tcPr>
            <w:tcW w:w="2254" w:type="dxa"/>
          </w:tcPr>
          <w:p w14:paraId="78181CEC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 (1.38%)</w:t>
            </w:r>
          </w:p>
        </w:tc>
        <w:tc>
          <w:tcPr>
            <w:tcW w:w="2254" w:type="dxa"/>
          </w:tcPr>
          <w:p w14:paraId="501A8FEE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C09D2">
              <w:rPr>
                <w:rFonts w:ascii="Times New Roman" w:eastAsia="Calibri" w:hAnsi="Times New Roman" w:cs="Times New Roman"/>
              </w:rPr>
              <w:t>Linezolide</w:t>
            </w:r>
            <w:proofErr w:type="spellEnd"/>
          </w:p>
        </w:tc>
        <w:tc>
          <w:tcPr>
            <w:tcW w:w="2254" w:type="dxa"/>
          </w:tcPr>
          <w:p w14:paraId="26108397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 (1.38%)</w:t>
            </w:r>
          </w:p>
        </w:tc>
      </w:tr>
      <w:tr w:rsidR="00D03B87" w:rsidRPr="00BC09D2" w14:paraId="74AC37F7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964E767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C09D2">
              <w:rPr>
                <w:rFonts w:ascii="Times New Roman" w:eastAsia="Calibri" w:hAnsi="Times New Roman" w:cs="Times New Roman"/>
              </w:rPr>
              <w:t>Phenicols</w:t>
            </w:r>
            <w:proofErr w:type="spellEnd"/>
          </w:p>
        </w:tc>
        <w:tc>
          <w:tcPr>
            <w:tcW w:w="2254" w:type="dxa"/>
          </w:tcPr>
          <w:p w14:paraId="7F0E195B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24 (16.55%)</w:t>
            </w:r>
          </w:p>
        </w:tc>
        <w:tc>
          <w:tcPr>
            <w:tcW w:w="2254" w:type="dxa"/>
          </w:tcPr>
          <w:p w14:paraId="5AEFA813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Chloramphenicol</w:t>
            </w:r>
          </w:p>
        </w:tc>
        <w:tc>
          <w:tcPr>
            <w:tcW w:w="2254" w:type="dxa"/>
          </w:tcPr>
          <w:p w14:paraId="370FD006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24 (16.55%)</w:t>
            </w:r>
          </w:p>
        </w:tc>
      </w:tr>
      <w:tr w:rsidR="00614B01" w:rsidRPr="00BC09D2" w14:paraId="4F1E20DE" w14:textId="77777777" w:rsidTr="004173AC">
        <w:trPr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DEBEB01" w14:textId="77777777" w:rsidR="00614B01" w:rsidRPr="00BC09D2" w:rsidRDefault="00614B01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Folate Pathway Inhibitors</w:t>
            </w:r>
          </w:p>
        </w:tc>
        <w:tc>
          <w:tcPr>
            <w:tcW w:w="2254" w:type="dxa"/>
          </w:tcPr>
          <w:p w14:paraId="2EA34AF9" w14:textId="77777777" w:rsidR="00614B01" w:rsidRPr="00BC09D2" w:rsidRDefault="00614B01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91 (62.76%)</w:t>
            </w:r>
          </w:p>
        </w:tc>
        <w:tc>
          <w:tcPr>
            <w:tcW w:w="2254" w:type="dxa"/>
          </w:tcPr>
          <w:p w14:paraId="4980027B" w14:textId="2D9ABFAE" w:rsidR="00614B01" w:rsidRPr="00BC09D2" w:rsidRDefault="00614B01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Trimethoprim-Sulfamethoxazole</w:t>
            </w:r>
          </w:p>
        </w:tc>
        <w:tc>
          <w:tcPr>
            <w:tcW w:w="2254" w:type="dxa"/>
          </w:tcPr>
          <w:p w14:paraId="4EEC0239" w14:textId="532E67BC" w:rsidR="00614B01" w:rsidRPr="00BC09D2" w:rsidRDefault="00614B01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91 (62.76%)</w:t>
            </w:r>
          </w:p>
        </w:tc>
      </w:tr>
      <w:tr w:rsidR="00D03B87" w:rsidRPr="00BC09D2" w14:paraId="5D5A3D30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4D508B5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Glycopeptides</w:t>
            </w:r>
          </w:p>
        </w:tc>
        <w:tc>
          <w:tcPr>
            <w:tcW w:w="2254" w:type="dxa"/>
          </w:tcPr>
          <w:p w14:paraId="6BBBD381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19 (13.10%)</w:t>
            </w:r>
          </w:p>
        </w:tc>
        <w:tc>
          <w:tcPr>
            <w:tcW w:w="2254" w:type="dxa"/>
          </w:tcPr>
          <w:p w14:paraId="1FADEE35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Vancomycin</w:t>
            </w:r>
          </w:p>
        </w:tc>
        <w:tc>
          <w:tcPr>
            <w:tcW w:w="2254" w:type="dxa"/>
          </w:tcPr>
          <w:p w14:paraId="6E9821EC" w14:textId="77777777" w:rsidR="00D03B87" w:rsidRPr="00BC09D2" w:rsidRDefault="00D03B8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19 (13.10%)</w:t>
            </w:r>
          </w:p>
        </w:tc>
      </w:tr>
      <w:tr w:rsidR="00D03B87" w:rsidRPr="00BC09D2" w14:paraId="2A965213" w14:textId="77777777" w:rsidTr="00F968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9EA4E59" w14:textId="77777777" w:rsidR="00D03B87" w:rsidRPr="00BC09D2" w:rsidRDefault="00D03B8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Polymyxin E</w:t>
            </w:r>
          </w:p>
        </w:tc>
        <w:tc>
          <w:tcPr>
            <w:tcW w:w="2254" w:type="dxa"/>
          </w:tcPr>
          <w:p w14:paraId="5CCCAC75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10 (6.89%)</w:t>
            </w:r>
          </w:p>
        </w:tc>
        <w:tc>
          <w:tcPr>
            <w:tcW w:w="2254" w:type="dxa"/>
          </w:tcPr>
          <w:p w14:paraId="3300F592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C09D2">
              <w:rPr>
                <w:rFonts w:ascii="Times New Roman" w:eastAsia="Calibri" w:hAnsi="Times New Roman" w:cs="Times New Roman"/>
              </w:rPr>
              <w:t>Colistin</w:t>
            </w:r>
          </w:p>
        </w:tc>
        <w:tc>
          <w:tcPr>
            <w:tcW w:w="2254" w:type="dxa"/>
          </w:tcPr>
          <w:p w14:paraId="46D9BF8D" w14:textId="77777777" w:rsidR="00D03B87" w:rsidRPr="00BC09D2" w:rsidRDefault="00D03B8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BC09D2">
              <w:rPr>
                <w:rFonts w:ascii="Times New Roman" w:eastAsia="Calibri" w:hAnsi="Times New Roman" w:cs="Times New Roman"/>
              </w:rPr>
              <w:t>10 (6.89%)</w:t>
            </w:r>
          </w:p>
        </w:tc>
      </w:tr>
    </w:tbl>
    <w:p w14:paraId="63D7722D" w14:textId="77777777" w:rsidR="00D03B87" w:rsidRPr="00BC09D2" w:rsidRDefault="00D03B87" w:rsidP="00D03B87">
      <w:pPr>
        <w:bidi w:val="0"/>
        <w:rPr>
          <w:rFonts w:ascii="Times New Roman" w:eastAsia="Calibri" w:hAnsi="Times New Roman" w:cs="Times New Roman"/>
        </w:rPr>
      </w:pPr>
    </w:p>
    <w:p w14:paraId="2891B2D3" w14:textId="77777777" w:rsidR="00DC5B07" w:rsidRDefault="00DC5B07"/>
    <w:sectPr w:rsidR="00DC5B0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F126C" w14:textId="77777777" w:rsidR="00315592" w:rsidRDefault="00315592" w:rsidP="00D03B87">
      <w:pPr>
        <w:spacing w:after="0" w:line="240" w:lineRule="auto"/>
      </w:pPr>
      <w:r>
        <w:separator/>
      </w:r>
    </w:p>
  </w:endnote>
  <w:endnote w:type="continuationSeparator" w:id="0">
    <w:p w14:paraId="028AA3CC" w14:textId="77777777" w:rsidR="00315592" w:rsidRDefault="00315592" w:rsidP="00D0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8591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B057A" w14:textId="6252F61F" w:rsidR="00D03B87" w:rsidRDefault="00D03B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B6156" w14:textId="77777777" w:rsidR="00D03B87" w:rsidRDefault="00D03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8FD63" w14:textId="77777777" w:rsidR="00315592" w:rsidRDefault="00315592" w:rsidP="00D03B87">
      <w:pPr>
        <w:spacing w:after="0" w:line="240" w:lineRule="auto"/>
      </w:pPr>
      <w:r>
        <w:separator/>
      </w:r>
    </w:p>
  </w:footnote>
  <w:footnote w:type="continuationSeparator" w:id="0">
    <w:p w14:paraId="036E7343" w14:textId="77777777" w:rsidR="00315592" w:rsidRDefault="00315592" w:rsidP="00D03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F4"/>
    <w:rsid w:val="0005423B"/>
    <w:rsid w:val="0013519E"/>
    <w:rsid w:val="00242DCF"/>
    <w:rsid w:val="00290412"/>
    <w:rsid w:val="00315592"/>
    <w:rsid w:val="003E3F05"/>
    <w:rsid w:val="005F2A7C"/>
    <w:rsid w:val="00614B01"/>
    <w:rsid w:val="006C2BF2"/>
    <w:rsid w:val="006C7B3B"/>
    <w:rsid w:val="0085371B"/>
    <w:rsid w:val="008549F4"/>
    <w:rsid w:val="00893D0C"/>
    <w:rsid w:val="00A34ADE"/>
    <w:rsid w:val="00D03B87"/>
    <w:rsid w:val="00D47C4D"/>
    <w:rsid w:val="00DC5B07"/>
    <w:rsid w:val="00E606B8"/>
    <w:rsid w:val="00F3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71F19"/>
  <w15:chartTrackingRefBased/>
  <w15:docId w15:val="{912ADFB4-FEBC-4D67-82FA-FC5DAE7A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B87"/>
    <w:pPr>
      <w:bidi/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9F4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9F4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9F4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9F4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9F4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9F4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9F4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9F4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9F4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9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9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9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9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9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9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9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9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9F4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4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9F4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4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9F4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49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9F4"/>
    <w:pPr>
      <w:bidi w:val="0"/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49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9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9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9F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3B87"/>
    <w:pPr>
      <w:tabs>
        <w:tab w:val="center" w:pos="4680"/>
        <w:tab w:val="right" w:pos="9360"/>
      </w:tabs>
      <w:bidi w:val="0"/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03B87"/>
  </w:style>
  <w:style w:type="paragraph" w:styleId="Footer">
    <w:name w:val="footer"/>
    <w:basedOn w:val="Normal"/>
    <w:link w:val="FooterChar"/>
    <w:uiPriority w:val="99"/>
    <w:unhideWhenUsed/>
    <w:rsid w:val="00D03B87"/>
    <w:pPr>
      <w:tabs>
        <w:tab w:val="center" w:pos="4680"/>
        <w:tab w:val="right" w:pos="9360"/>
      </w:tabs>
      <w:bidi w:val="0"/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03B87"/>
  </w:style>
  <w:style w:type="table" w:customStyle="1" w:styleId="GridTable46">
    <w:name w:val="Grid Table 46"/>
    <w:basedOn w:val="TableNormal"/>
    <w:next w:val="GridTable4"/>
    <w:uiPriority w:val="49"/>
    <w:rsid w:val="00D03B87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">
    <w:name w:val="Grid Table 4"/>
    <w:basedOn w:val="TableNormal"/>
    <w:uiPriority w:val="49"/>
    <w:rsid w:val="00D03B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Hosseini</dc:creator>
  <cp:keywords/>
  <dc:description/>
  <cp:lastModifiedBy>Hossein Hosseini</cp:lastModifiedBy>
  <cp:revision>5</cp:revision>
  <dcterms:created xsi:type="dcterms:W3CDTF">2025-07-30T06:48:00Z</dcterms:created>
  <dcterms:modified xsi:type="dcterms:W3CDTF">2025-09-16T08:48:00Z</dcterms:modified>
</cp:coreProperties>
</file>