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924A8">
      <w:pPr>
        <w:spacing w:line="480" w:lineRule="auto"/>
        <w:rPr>
          <w:rFonts w:ascii="Times New Roman" w:hAnsi="Times New Roman" w:cs="Times New Roman"/>
          <w:b/>
          <w:bCs/>
          <w:i/>
          <w:iCs/>
        </w:rPr>
      </w:pPr>
      <w:bookmarkStart w:id="0" w:name="_GoBack"/>
      <w:bookmarkEnd w:id="0"/>
      <w:r>
        <w:rPr>
          <w:rFonts w:ascii="Times New Roman" w:hAnsi="Times New Roman" w:cs="Times New Roman"/>
          <w:b/>
          <w:bCs/>
          <w:i/>
          <w:iCs/>
        </w:rPr>
        <w:t>Supplementary Table 1. Studies related to amebic colitis and men who have sex with men</w:t>
      </w:r>
    </w:p>
    <w:tbl>
      <w:tblPr>
        <w:tblStyle w:val="3"/>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0" w:type="dxa"/>
          <w:left w:w="64" w:type="dxa"/>
          <w:bottom w:w="40" w:type="dxa"/>
          <w:right w:w="64" w:type="dxa"/>
        </w:tblCellMar>
      </w:tblPr>
      <w:tblGrid>
        <w:gridCol w:w="578"/>
        <w:gridCol w:w="881"/>
        <w:gridCol w:w="2053"/>
        <w:gridCol w:w="1560"/>
        <w:gridCol w:w="1092"/>
        <w:gridCol w:w="745"/>
        <w:gridCol w:w="7174"/>
      </w:tblGrid>
      <w:tr w14:paraId="6DA9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tcBorders>
              <w:top w:val="single" w:color="auto" w:sz="12" w:space="0"/>
              <w:left w:val="nil"/>
              <w:bottom w:val="single" w:color="auto" w:sz="4" w:space="0"/>
              <w:right w:val="nil"/>
            </w:tcBorders>
            <w:vAlign w:val="center"/>
          </w:tcPr>
          <w:p w14:paraId="1450224B">
            <w:pPr>
              <w:keepNext/>
              <w:snapToGrid w:val="0"/>
              <w:spacing w:line="480" w:lineRule="auto"/>
              <w:jc w:val="center"/>
              <w:rPr>
                <w:rFonts w:ascii="Times New Roman" w:hAnsi="Times New Roman" w:eastAsia="等线" w:cs="Times New Roman"/>
                <w:b/>
                <w:bCs/>
                <w:sz w:val="15"/>
                <w:szCs w:val="15"/>
              </w:rPr>
            </w:pPr>
            <w:r>
              <w:rPr>
                <w:rFonts w:ascii="Times New Roman" w:hAnsi="Times New Roman" w:eastAsia="等线" w:cs="Times New Roman"/>
                <w:b/>
                <w:bCs/>
                <w:sz w:val="15"/>
                <w:szCs w:val="15"/>
              </w:rPr>
              <w:t>Report</w:t>
            </w:r>
          </w:p>
        </w:tc>
        <w:tc>
          <w:tcPr>
            <w:tcW w:w="0" w:type="auto"/>
            <w:tcBorders>
              <w:top w:val="single" w:color="auto" w:sz="12" w:space="0"/>
              <w:left w:val="nil"/>
              <w:bottom w:val="single" w:color="auto" w:sz="4" w:space="0"/>
              <w:right w:val="nil"/>
            </w:tcBorders>
            <w:vAlign w:val="center"/>
          </w:tcPr>
          <w:p w14:paraId="614041E1">
            <w:pPr>
              <w:keepNext/>
              <w:snapToGrid w:val="0"/>
              <w:spacing w:line="480" w:lineRule="auto"/>
              <w:jc w:val="center"/>
              <w:rPr>
                <w:rFonts w:ascii="Times New Roman" w:hAnsi="Times New Roman" w:eastAsia="等线" w:cs="Times New Roman"/>
                <w:b/>
                <w:bCs/>
                <w:sz w:val="15"/>
                <w:szCs w:val="15"/>
              </w:rPr>
            </w:pPr>
            <w:r>
              <w:rPr>
                <w:rFonts w:ascii="Times New Roman" w:hAnsi="Times New Roman" w:eastAsia="等线" w:cs="Times New Roman"/>
                <w:b/>
                <w:bCs/>
                <w:sz w:val="15"/>
                <w:szCs w:val="15"/>
              </w:rPr>
              <w:t>Country</w:t>
            </w:r>
          </w:p>
        </w:tc>
        <w:tc>
          <w:tcPr>
            <w:tcW w:w="2053" w:type="dxa"/>
            <w:tcBorders>
              <w:top w:val="single" w:color="auto" w:sz="12" w:space="0"/>
              <w:left w:val="nil"/>
              <w:bottom w:val="single" w:color="auto" w:sz="4" w:space="0"/>
              <w:right w:val="nil"/>
            </w:tcBorders>
            <w:vAlign w:val="center"/>
          </w:tcPr>
          <w:p w14:paraId="792C3C23">
            <w:pPr>
              <w:keepNext/>
              <w:snapToGrid w:val="0"/>
              <w:spacing w:line="480" w:lineRule="auto"/>
              <w:jc w:val="center"/>
              <w:rPr>
                <w:rFonts w:ascii="Times New Roman" w:hAnsi="Times New Roman" w:eastAsia="等线" w:cs="Times New Roman"/>
                <w:b/>
                <w:bCs/>
                <w:sz w:val="15"/>
                <w:szCs w:val="15"/>
              </w:rPr>
            </w:pPr>
            <w:r>
              <w:rPr>
                <w:rFonts w:ascii="Times New Roman" w:hAnsi="Times New Roman" w:eastAsia="等线" w:cs="Times New Roman"/>
                <w:b/>
                <w:bCs/>
                <w:sz w:val="15"/>
                <w:szCs w:val="15"/>
              </w:rPr>
              <w:t>PrimaryAuthorPublishedtime</w:t>
            </w:r>
          </w:p>
        </w:tc>
        <w:tc>
          <w:tcPr>
            <w:tcW w:w="1560" w:type="dxa"/>
            <w:tcBorders>
              <w:top w:val="single" w:color="auto" w:sz="12" w:space="0"/>
              <w:left w:val="nil"/>
              <w:bottom w:val="single" w:color="auto" w:sz="4" w:space="0"/>
              <w:right w:val="nil"/>
            </w:tcBorders>
            <w:vAlign w:val="center"/>
          </w:tcPr>
          <w:p w14:paraId="310BFE08">
            <w:pPr>
              <w:keepNext/>
              <w:snapToGrid w:val="0"/>
              <w:spacing w:line="480" w:lineRule="auto"/>
              <w:jc w:val="center"/>
              <w:rPr>
                <w:rFonts w:ascii="Times New Roman" w:hAnsi="Times New Roman" w:eastAsia="等线" w:cs="Times New Roman"/>
                <w:b/>
                <w:bCs/>
                <w:sz w:val="15"/>
                <w:szCs w:val="15"/>
              </w:rPr>
            </w:pPr>
            <w:r>
              <w:rPr>
                <w:rFonts w:ascii="Times New Roman" w:hAnsi="Times New Roman" w:eastAsia="等线" w:cs="Times New Roman"/>
                <w:b/>
                <w:bCs/>
                <w:sz w:val="15"/>
                <w:szCs w:val="15"/>
              </w:rPr>
              <w:t>Studytype</w:t>
            </w:r>
          </w:p>
        </w:tc>
        <w:tc>
          <w:tcPr>
            <w:tcW w:w="0" w:type="auto"/>
            <w:tcBorders>
              <w:top w:val="single" w:color="auto" w:sz="12" w:space="0"/>
              <w:left w:val="nil"/>
              <w:bottom w:val="single" w:color="auto" w:sz="4" w:space="0"/>
              <w:right w:val="nil"/>
            </w:tcBorders>
            <w:vAlign w:val="center"/>
          </w:tcPr>
          <w:p w14:paraId="341D415D">
            <w:pPr>
              <w:keepNext/>
              <w:snapToGrid w:val="0"/>
              <w:spacing w:line="480" w:lineRule="auto"/>
              <w:jc w:val="center"/>
              <w:rPr>
                <w:rFonts w:ascii="Times New Roman" w:hAnsi="Times New Roman" w:eastAsia="等线" w:cs="Times New Roman"/>
                <w:b/>
                <w:bCs/>
                <w:sz w:val="15"/>
                <w:szCs w:val="15"/>
              </w:rPr>
            </w:pPr>
            <w:r>
              <w:rPr>
                <w:rFonts w:ascii="Times New Roman" w:hAnsi="Times New Roman" w:eastAsia="等线" w:cs="Times New Roman"/>
                <w:b/>
                <w:bCs/>
                <w:sz w:val="15"/>
                <w:szCs w:val="15"/>
              </w:rPr>
              <w:t>NumberofCase</w:t>
            </w:r>
          </w:p>
        </w:tc>
        <w:tc>
          <w:tcPr>
            <w:tcW w:w="0" w:type="auto"/>
            <w:tcBorders>
              <w:top w:val="single" w:color="auto" w:sz="12" w:space="0"/>
              <w:left w:val="nil"/>
              <w:bottom w:val="single" w:color="auto" w:sz="4" w:space="0"/>
              <w:right w:val="nil"/>
            </w:tcBorders>
            <w:vAlign w:val="center"/>
          </w:tcPr>
          <w:p w14:paraId="6161590F">
            <w:pPr>
              <w:keepNext/>
              <w:snapToGrid w:val="0"/>
              <w:spacing w:line="480" w:lineRule="auto"/>
              <w:jc w:val="center"/>
              <w:rPr>
                <w:rFonts w:ascii="Times New Roman" w:hAnsi="Times New Roman" w:eastAsia="等线" w:cs="Times New Roman"/>
                <w:b/>
                <w:bCs/>
                <w:sz w:val="15"/>
                <w:szCs w:val="15"/>
              </w:rPr>
            </w:pPr>
            <w:r>
              <w:rPr>
                <w:rFonts w:ascii="Times New Roman" w:hAnsi="Times New Roman" w:eastAsia="等线" w:cs="Times New Roman"/>
                <w:b/>
                <w:bCs/>
                <w:sz w:val="15"/>
                <w:szCs w:val="15"/>
              </w:rPr>
              <w:t>MSM(%)</w:t>
            </w:r>
          </w:p>
        </w:tc>
        <w:tc>
          <w:tcPr>
            <w:tcW w:w="0" w:type="auto"/>
            <w:tcBorders>
              <w:top w:val="single" w:color="auto" w:sz="12" w:space="0"/>
              <w:left w:val="nil"/>
              <w:bottom w:val="single" w:color="auto" w:sz="4" w:space="0"/>
              <w:right w:val="nil"/>
            </w:tcBorders>
            <w:vAlign w:val="center"/>
          </w:tcPr>
          <w:p w14:paraId="6EA29134">
            <w:pPr>
              <w:keepNext/>
              <w:snapToGrid w:val="0"/>
              <w:spacing w:line="480" w:lineRule="auto"/>
              <w:jc w:val="center"/>
              <w:rPr>
                <w:rFonts w:ascii="Times New Roman" w:hAnsi="Times New Roman" w:eastAsia="等线" w:cs="Times New Roman"/>
                <w:b/>
                <w:bCs/>
                <w:sz w:val="15"/>
                <w:szCs w:val="15"/>
              </w:rPr>
            </w:pPr>
            <w:r>
              <w:rPr>
                <w:rFonts w:ascii="Times New Roman" w:hAnsi="Times New Roman" w:eastAsia="等线" w:cs="Times New Roman"/>
                <w:b/>
                <w:bCs/>
                <w:sz w:val="15"/>
                <w:szCs w:val="15"/>
              </w:rPr>
              <w:t>Examinationsinvolvedinthediagnosis</w:t>
            </w:r>
          </w:p>
        </w:tc>
      </w:tr>
      <w:tr w14:paraId="746A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c>
          <w:tcPr>
            <w:tcW w:w="0" w:type="auto"/>
            <w:tcBorders>
              <w:top w:val="single" w:color="auto" w:sz="4" w:space="0"/>
              <w:left w:val="nil"/>
              <w:bottom w:val="nil"/>
              <w:right w:val="nil"/>
            </w:tcBorders>
            <w:vAlign w:val="center"/>
          </w:tcPr>
          <w:p w14:paraId="162C8807">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R1</w:t>
            </w:r>
          </w:p>
        </w:tc>
        <w:tc>
          <w:tcPr>
            <w:tcW w:w="0" w:type="auto"/>
            <w:tcBorders>
              <w:top w:val="single" w:color="auto" w:sz="4" w:space="0"/>
              <w:left w:val="nil"/>
              <w:bottom w:val="nil"/>
              <w:right w:val="nil"/>
            </w:tcBorders>
            <w:vAlign w:val="center"/>
          </w:tcPr>
          <w:p w14:paraId="456B319C">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Japan</w:t>
            </w:r>
          </w:p>
        </w:tc>
        <w:tc>
          <w:tcPr>
            <w:tcW w:w="2053" w:type="dxa"/>
            <w:tcBorders>
              <w:top w:val="single" w:color="auto" w:sz="4" w:space="0"/>
              <w:left w:val="nil"/>
              <w:bottom w:val="nil"/>
              <w:right w:val="nil"/>
            </w:tcBorders>
            <w:vAlign w:val="center"/>
          </w:tcPr>
          <w:p w14:paraId="3C5B08EF">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Watanabe et al</w:t>
            </w:r>
            <w:r>
              <w:rPr>
                <w:rFonts w:ascii="Times New Roman" w:hAnsi="Times New Roman" w:eastAsia="等线" w:cs="Times New Roman"/>
                <w:i/>
                <w:iCs/>
                <w:sz w:val="15"/>
                <w:szCs w:val="15"/>
              </w:rPr>
              <w:fldChar w:fldCharType="begin"/>
            </w:r>
            <w:r>
              <w:rPr>
                <w:rFonts w:ascii="Times New Roman" w:hAnsi="Times New Roman" w:eastAsia="等线" w:cs="Times New Roman"/>
                <w:i/>
                <w:iCs/>
                <w:sz w:val="15"/>
                <w:szCs w:val="15"/>
              </w:rPr>
              <w:instrText xml:space="preserve"> ADDIN  ADDIN KYMRREF{93D695C0-774E-4D03-B818-94D6902F7679}327,{93D695C0-774E-4D03-B818-94D6902F7679}235</w:instrText>
            </w:r>
            <w:r>
              <w:rPr>
                <w:rFonts w:ascii="Times New Roman" w:hAnsi="Times New Roman" w:eastAsia="等线" w:cs="Times New Roman"/>
                <w:i/>
                <w:iCs/>
                <w:sz w:val="15"/>
                <w:szCs w:val="15"/>
              </w:rPr>
              <w:fldChar w:fldCharType="separate"/>
            </w:r>
            <w:r>
              <w:rPr>
                <w:rFonts w:hint="eastAsia" w:ascii="Times New Roman" w:hAnsi="Times New Roman" w:eastAsia="宋体" w:cs="Times New Roman"/>
                <w:iCs/>
                <w:color w:val="FF0000"/>
                <w:sz w:val="15"/>
                <w:szCs w:val="15"/>
                <w:vertAlign w:val="superscript"/>
              </w:rPr>
              <w:t>1</w:t>
            </w:r>
            <w:r>
              <w:rPr>
                <w:rFonts w:ascii="Times New Roman" w:hAnsi="Times New Roman" w:eastAsia="等线" w:cs="Times New Roman"/>
                <w:i/>
                <w:iCs/>
                <w:sz w:val="15"/>
                <w:szCs w:val="15"/>
              </w:rPr>
              <w:fldChar w:fldCharType="end"/>
            </w:r>
            <w:r>
              <w:rPr>
                <w:rFonts w:ascii="Times New Roman" w:hAnsi="Times New Roman" w:eastAsia="等线" w:cs="Times New Roman"/>
                <w:i/>
                <w:iCs/>
                <w:sz w:val="15"/>
                <w:szCs w:val="15"/>
              </w:rPr>
              <w:t xml:space="preserve"> </w:t>
            </w:r>
          </w:p>
          <w:p w14:paraId="0B729BCF">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2011</w:t>
            </w:r>
          </w:p>
        </w:tc>
        <w:tc>
          <w:tcPr>
            <w:tcW w:w="1560" w:type="dxa"/>
            <w:tcBorders>
              <w:top w:val="single" w:color="auto" w:sz="4" w:space="0"/>
              <w:left w:val="nil"/>
              <w:bottom w:val="nil"/>
              <w:right w:val="nil"/>
            </w:tcBorders>
            <w:vAlign w:val="center"/>
          </w:tcPr>
          <w:p w14:paraId="46D005A7">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Retrospective study</w:t>
            </w:r>
          </w:p>
        </w:tc>
        <w:tc>
          <w:tcPr>
            <w:tcW w:w="0" w:type="auto"/>
            <w:tcBorders>
              <w:top w:val="single" w:color="auto" w:sz="4" w:space="0"/>
              <w:left w:val="nil"/>
              <w:bottom w:val="nil"/>
              <w:right w:val="nil"/>
            </w:tcBorders>
            <w:vAlign w:val="center"/>
          </w:tcPr>
          <w:p w14:paraId="3575AD03">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170</w:t>
            </w:r>
          </w:p>
        </w:tc>
        <w:tc>
          <w:tcPr>
            <w:tcW w:w="0" w:type="auto"/>
            <w:tcBorders>
              <w:top w:val="single" w:color="auto" w:sz="4" w:space="0"/>
              <w:left w:val="nil"/>
              <w:bottom w:val="nil"/>
              <w:right w:val="nil"/>
            </w:tcBorders>
            <w:vAlign w:val="center"/>
          </w:tcPr>
          <w:p w14:paraId="7E7B21A8">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94.1</w:t>
            </w:r>
          </w:p>
        </w:tc>
        <w:tc>
          <w:tcPr>
            <w:tcW w:w="0" w:type="auto"/>
            <w:tcBorders>
              <w:top w:val="single" w:color="auto" w:sz="4" w:space="0"/>
              <w:left w:val="nil"/>
              <w:bottom w:val="nil"/>
              <w:right w:val="nil"/>
            </w:tcBorders>
            <w:vAlign w:val="center"/>
          </w:tcPr>
          <w:p w14:paraId="54C71481">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 xml:space="preserve">PCR in clinical specimens (stool or punctuate-exudate), high serum titer for antibody against E. </w:t>
            </w:r>
            <w:r>
              <w:rPr>
                <w:rFonts w:ascii="Times New Roman" w:hAnsi="Times New Roman" w:eastAsia="等线" w:cs="Times New Roman"/>
                <w:i/>
                <w:iCs/>
                <w:sz w:val="15"/>
                <w:szCs w:val="15"/>
              </w:rPr>
              <w:t>histolytica</w:t>
            </w:r>
            <w:r>
              <w:rPr>
                <w:rFonts w:ascii="Times New Roman" w:hAnsi="Times New Roman" w:eastAsia="等线" w:cs="Times New Roman"/>
                <w:sz w:val="15"/>
                <w:szCs w:val="15"/>
              </w:rPr>
              <w:t xml:space="preserve"> </w:t>
            </w:r>
          </w:p>
        </w:tc>
      </w:tr>
      <w:tr w14:paraId="695F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c>
          <w:tcPr>
            <w:tcW w:w="0" w:type="auto"/>
            <w:tcBorders>
              <w:top w:val="nil"/>
              <w:left w:val="nil"/>
              <w:bottom w:val="nil"/>
              <w:right w:val="nil"/>
            </w:tcBorders>
            <w:vAlign w:val="center"/>
          </w:tcPr>
          <w:p w14:paraId="3365ED90">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R2</w:t>
            </w:r>
          </w:p>
        </w:tc>
        <w:tc>
          <w:tcPr>
            <w:tcW w:w="0" w:type="auto"/>
            <w:tcBorders>
              <w:top w:val="nil"/>
              <w:left w:val="nil"/>
              <w:bottom w:val="nil"/>
              <w:right w:val="nil"/>
            </w:tcBorders>
            <w:vAlign w:val="center"/>
          </w:tcPr>
          <w:p w14:paraId="68577DDC">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China (Taiwan)</w:t>
            </w:r>
          </w:p>
        </w:tc>
        <w:tc>
          <w:tcPr>
            <w:tcW w:w="2053" w:type="dxa"/>
            <w:tcBorders>
              <w:top w:val="nil"/>
              <w:left w:val="nil"/>
              <w:bottom w:val="nil"/>
              <w:right w:val="nil"/>
            </w:tcBorders>
            <w:vAlign w:val="center"/>
          </w:tcPr>
          <w:p w14:paraId="7F8444DF">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Hung et al</w:t>
            </w:r>
            <w:r>
              <w:rPr>
                <w:rFonts w:ascii="Times New Roman" w:hAnsi="Times New Roman" w:eastAsia="等线" w:cs="Times New Roman"/>
                <w:i/>
                <w:iCs/>
                <w:sz w:val="15"/>
                <w:szCs w:val="15"/>
              </w:rPr>
              <w:fldChar w:fldCharType="begin"/>
            </w:r>
            <w:r>
              <w:rPr>
                <w:rFonts w:ascii="Times New Roman" w:hAnsi="Times New Roman" w:eastAsia="等线" w:cs="Times New Roman"/>
                <w:i/>
                <w:iCs/>
                <w:sz w:val="15"/>
                <w:szCs w:val="15"/>
              </w:rPr>
              <w:instrText xml:space="preserve"> ADDIN KYMRREF{93D695C0-774E-4D03-B818-94D6902F7679}399</w:instrText>
            </w:r>
            <w:r>
              <w:rPr>
                <w:rFonts w:ascii="Times New Roman" w:hAnsi="Times New Roman" w:eastAsia="等线" w:cs="Times New Roman"/>
                <w:i/>
                <w:iCs/>
                <w:sz w:val="15"/>
                <w:szCs w:val="15"/>
              </w:rPr>
              <w:fldChar w:fldCharType="separate"/>
            </w:r>
            <w:r>
              <w:rPr>
                <w:rFonts w:hint="eastAsia" w:ascii="Times New Roman" w:hAnsi="Times New Roman" w:eastAsia="宋体" w:cs="Times New Roman"/>
                <w:iCs/>
                <w:color w:val="FF0000"/>
                <w:sz w:val="15"/>
                <w:szCs w:val="15"/>
                <w:vertAlign w:val="superscript"/>
              </w:rPr>
              <w:t>2</w:t>
            </w:r>
            <w:r>
              <w:rPr>
                <w:rFonts w:ascii="Times New Roman" w:hAnsi="Times New Roman" w:eastAsia="等线" w:cs="Times New Roman"/>
                <w:i/>
                <w:iCs/>
                <w:sz w:val="15"/>
                <w:szCs w:val="15"/>
              </w:rPr>
              <w:fldChar w:fldCharType="end"/>
            </w:r>
          </w:p>
          <w:p w14:paraId="10532B0E">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2008</w:t>
            </w:r>
          </w:p>
        </w:tc>
        <w:tc>
          <w:tcPr>
            <w:tcW w:w="1560" w:type="dxa"/>
            <w:tcBorders>
              <w:top w:val="nil"/>
              <w:left w:val="nil"/>
              <w:bottom w:val="nil"/>
              <w:right w:val="nil"/>
            </w:tcBorders>
            <w:vAlign w:val="center"/>
          </w:tcPr>
          <w:p w14:paraId="61A77E4B">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Retrospective study</w:t>
            </w:r>
          </w:p>
        </w:tc>
        <w:tc>
          <w:tcPr>
            <w:tcW w:w="0" w:type="auto"/>
            <w:tcBorders>
              <w:top w:val="nil"/>
              <w:left w:val="nil"/>
              <w:bottom w:val="nil"/>
              <w:right w:val="nil"/>
            </w:tcBorders>
            <w:vAlign w:val="center"/>
          </w:tcPr>
          <w:p w14:paraId="71A4E4A6">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1109</w:t>
            </w:r>
          </w:p>
        </w:tc>
        <w:tc>
          <w:tcPr>
            <w:tcW w:w="0" w:type="auto"/>
            <w:tcBorders>
              <w:top w:val="nil"/>
              <w:left w:val="nil"/>
              <w:bottom w:val="nil"/>
              <w:right w:val="nil"/>
            </w:tcBorders>
            <w:vAlign w:val="center"/>
          </w:tcPr>
          <w:p w14:paraId="5DE4B99A">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89.1</w:t>
            </w:r>
          </w:p>
        </w:tc>
        <w:tc>
          <w:tcPr>
            <w:tcW w:w="0" w:type="auto"/>
            <w:tcBorders>
              <w:top w:val="nil"/>
              <w:left w:val="nil"/>
              <w:bottom w:val="nil"/>
              <w:right w:val="nil"/>
            </w:tcBorders>
            <w:vAlign w:val="center"/>
          </w:tcPr>
          <w:p w14:paraId="2AB1282E">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 xml:space="preserve">Serological and specific amebic antigen assays, PCR in stool samples containing </w:t>
            </w:r>
            <w:r>
              <w:rPr>
                <w:rFonts w:ascii="Times New Roman" w:hAnsi="Times New Roman" w:eastAsia="等线" w:cs="Times New Roman"/>
                <w:i/>
                <w:iCs/>
                <w:sz w:val="15"/>
                <w:szCs w:val="15"/>
              </w:rPr>
              <w:t>E.</w:t>
            </w:r>
            <w:r>
              <w:rPr>
                <w:rFonts w:ascii="Times New Roman" w:hAnsi="Times New Roman" w:eastAsia="等线" w:cs="Times New Roman"/>
                <w:sz w:val="15"/>
                <w:szCs w:val="15"/>
              </w:rPr>
              <w:t xml:space="preserve"> </w:t>
            </w:r>
            <w:r>
              <w:rPr>
                <w:rFonts w:ascii="Times New Roman" w:hAnsi="Times New Roman" w:eastAsia="等线" w:cs="Times New Roman"/>
                <w:i/>
                <w:iCs/>
                <w:sz w:val="15"/>
                <w:szCs w:val="15"/>
              </w:rPr>
              <w:t xml:space="preserve">histolytica, </w:t>
            </w:r>
            <w:r>
              <w:rPr>
                <w:rFonts w:ascii="Times New Roman" w:hAnsi="Times New Roman" w:eastAsia="等线" w:cs="Times New Roman"/>
                <w:sz w:val="15"/>
                <w:szCs w:val="15"/>
              </w:rPr>
              <w:t>endoscopy and biopsy for histopathologic examinations</w:t>
            </w:r>
          </w:p>
        </w:tc>
      </w:tr>
      <w:tr w14:paraId="1E89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c>
          <w:tcPr>
            <w:tcW w:w="0" w:type="auto"/>
            <w:tcBorders>
              <w:top w:val="nil"/>
              <w:left w:val="nil"/>
              <w:bottom w:val="nil"/>
              <w:right w:val="nil"/>
            </w:tcBorders>
            <w:vAlign w:val="center"/>
          </w:tcPr>
          <w:p w14:paraId="065C09D2">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R3</w:t>
            </w:r>
          </w:p>
        </w:tc>
        <w:tc>
          <w:tcPr>
            <w:tcW w:w="0" w:type="auto"/>
            <w:tcBorders>
              <w:top w:val="nil"/>
              <w:left w:val="nil"/>
              <w:bottom w:val="nil"/>
              <w:right w:val="nil"/>
            </w:tcBorders>
            <w:vAlign w:val="center"/>
          </w:tcPr>
          <w:p w14:paraId="13F18021">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Spain</w:t>
            </w:r>
          </w:p>
        </w:tc>
        <w:tc>
          <w:tcPr>
            <w:tcW w:w="2053" w:type="dxa"/>
            <w:tcBorders>
              <w:top w:val="nil"/>
              <w:left w:val="nil"/>
              <w:bottom w:val="nil"/>
              <w:right w:val="nil"/>
            </w:tcBorders>
            <w:vAlign w:val="center"/>
          </w:tcPr>
          <w:p w14:paraId="32CD265D">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Escolà-Vergé et al</w:t>
            </w:r>
            <w:r>
              <w:rPr>
                <w:rFonts w:ascii="Times New Roman" w:hAnsi="Times New Roman" w:eastAsia="等线" w:cs="Times New Roman"/>
                <w:i/>
                <w:iCs/>
                <w:sz w:val="15"/>
                <w:szCs w:val="15"/>
              </w:rPr>
              <w:fldChar w:fldCharType="begin"/>
            </w:r>
            <w:r>
              <w:rPr>
                <w:rFonts w:ascii="Times New Roman" w:hAnsi="Times New Roman" w:eastAsia="等线" w:cs="Times New Roman"/>
                <w:i/>
                <w:iCs/>
                <w:sz w:val="15"/>
                <w:szCs w:val="15"/>
              </w:rPr>
              <w:instrText xml:space="preserve"> ADDIN  ADDIN KYMRREF{93D695C0-774E-4D03-B818-94D6902F7679}329,{93D695C0-774E-4D03-B818-94D6902F7679}400</w:instrText>
            </w:r>
            <w:r>
              <w:rPr>
                <w:rFonts w:ascii="Times New Roman" w:hAnsi="Times New Roman" w:eastAsia="等线" w:cs="Times New Roman"/>
                <w:i/>
                <w:iCs/>
                <w:sz w:val="15"/>
                <w:szCs w:val="15"/>
              </w:rPr>
              <w:fldChar w:fldCharType="separate"/>
            </w:r>
            <w:r>
              <w:rPr>
                <w:rFonts w:hint="eastAsia" w:ascii="Times New Roman" w:hAnsi="Times New Roman" w:eastAsia="宋体" w:cs="Times New Roman"/>
                <w:iCs/>
                <w:color w:val="FF0000"/>
                <w:sz w:val="15"/>
                <w:szCs w:val="15"/>
                <w:vertAlign w:val="superscript"/>
              </w:rPr>
              <w:t>3</w:t>
            </w:r>
            <w:r>
              <w:rPr>
                <w:rFonts w:ascii="Times New Roman" w:hAnsi="Times New Roman" w:eastAsia="等线" w:cs="Times New Roman"/>
                <w:i/>
                <w:iCs/>
                <w:sz w:val="15"/>
                <w:szCs w:val="15"/>
              </w:rPr>
              <w:fldChar w:fldCharType="end"/>
            </w:r>
            <w:r>
              <w:rPr>
                <w:rFonts w:ascii="Times New Roman" w:hAnsi="Times New Roman" w:eastAsia="等线" w:cs="Times New Roman"/>
                <w:i/>
                <w:iCs/>
                <w:sz w:val="15"/>
                <w:szCs w:val="15"/>
              </w:rPr>
              <w:t xml:space="preserve"> </w:t>
            </w:r>
          </w:p>
          <w:p w14:paraId="0345965B">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2017</w:t>
            </w:r>
          </w:p>
        </w:tc>
        <w:tc>
          <w:tcPr>
            <w:tcW w:w="1560" w:type="dxa"/>
            <w:tcBorders>
              <w:top w:val="nil"/>
              <w:left w:val="nil"/>
              <w:bottom w:val="nil"/>
              <w:right w:val="nil"/>
            </w:tcBorders>
            <w:vAlign w:val="center"/>
          </w:tcPr>
          <w:p w14:paraId="1FA5C8FF">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Retrospective study</w:t>
            </w:r>
          </w:p>
        </w:tc>
        <w:tc>
          <w:tcPr>
            <w:tcW w:w="0" w:type="auto"/>
            <w:tcBorders>
              <w:top w:val="nil"/>
              <w:left w:val="nil"/>
              <w:bottom w:val="nil"/>
              <w:right w:val="nil"/>
            </w:tcBorders>
            <w:vAlign w:val="center"/>
          </w:tcPr>
          <w:p w14:paraId="361CB15C">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8</w:t>
            </w:r>
          </w:p>
        </w:tc>
        <w:tc>
          <w:tcPr>
            <w:tcW w:w="0" w:type="auto"/>
            <w:tcBorders>
              <w:top w:val="nil"/>
              <w:left w:val="nil"/>
              <w:bottom w:val="nil"/>
              <w:right w:val="nil"/>
            </w:tcBorders>
            <w:vAlign w:val="center"/>
          </w:tcPr>
          <w:p w14:paraId="05CCF549">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100</w:t>
            </w:r>
          </w:p>
        </w:tc>
        <w:tc>
          <w:tcPr>
            <w:tcW w:w="0" w:type="auto"/>
            <w:tcBorders>
              <w:top w:val="nil"/>
              <w:left w:val="nil"/>
              <w:bottom w:val="nil"/>
              <w:right w:val="nil"/>
            </w:tcBorders>
            <w:vAlign w:val="center"/>
          </w:tcPr>
          <w:p w14:paraId="22EAA359">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 xml:space="preserve">Fresh stool mount microscopic examination, </w:t>
            </w:r>
            <w:r>
              <w:rPr>
                <w:rFonts w:ascii="Times New Roman" w:hAnsi="Times New Roman" w:eastAsia="等线" w:cs="Times New Roman"/>
                <w:i/>
                <w:iCs/>
                <w:sz w:val="15"/>
                <w:szCs w:val="15"/>
              </w:rPr>
              <w:t>E. histolytica</w:t>
            </w:r>
            <w:r>
              <w:rPr>
                <w:rFonts w:ascii="Times New Roman" w:hAnsi="Times New Roman" w:eastAsia="等线" w:cs="Times New Roman"/>
                <w:sz w:val="15"/>
                <w:szCs w:val="15"/>
              </w:rPr>
              <w:t>-specific adhesion antigen, bacterial fecal cultures, serum detection of </w:t>
            </w:r>
            <w:r>
              <w:rPr>
                <w:rFonts w:ascii="Times New Roman" w:hAnsi="Times New Roman" w:eastAsia="等线" w:cs="Times New Roman"/>
                <w:i/>
                <w:iCs/>
                <w:sz w:val="15"/>
                <w:szCs w:val="15"/>
              </w:rPr>
              <w:t>E. histolytica</w:t>
            </w:r>
            <w:r>
              <w:rPr>
                <w:rFonts w:ascii="Times New Roman" w:hAnsi="Times New Roman" w:eastAsia="等线" w:cs="Times New Roman"/>
                <w:sz w:val="15"/>
                <w:szCs w:val="15"/>
              </w:rPr>
              <w:t> immunoglobulin G (IgG) antibody by ELISA</w:t>
            </w:r>
          </w:p>
        </w:tc>
      </w:tr>
      <w:tr w14:paraId="1A87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c>
          <w:tcPr>
            <w:tcW w:w="0" w:type="auto"/>
            <w:tcBorders>
              <w:top w:val="nil"/>
              <w:left w:val="nil"/>
              <w:bottom w:val="nil"/>
              <w:right w:val="nil"/>
            </w:tcBorders>
            <w:vAlign w:val="center"/>
          </w:tcPr>
          <w:p w14:paraId="1714427F">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R4</w:t>
            </w:r>
          </w:p>
        </w:tc>
        <w:tc>
          <w:tcPr>
            <w:tcW w:w="0" w:type="auto"/>
            <w:tcBorders>
              <w:top w:val="nil"/>
              <w:left w:val="nil"/>
              <w:bottom w:val="nil"/>
              <w:right w:val="nil"/>
            </w:tcBorders>
            <w:vAlign w:val="center"/>
          </w:tcPr>
          <w:p w14:paraId="7F47C81E">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Australia</w:t>
            </w:r>
          </w:p>
        </w:tc>
        <w:tc>
          <w:tcPr>
            <w:tcW w:w="2053" w:type="dxa"/>
            <w:tcBorders>
              <w:top w:val="nil"/>
              <w:left w:val="nil"/>
              <w:bottom w:val="nil"/>
              <w:right w:val="nil"/>
            </w:tcBorders>
            <w:vAlign w:val="center"/>
          </w:tcPr>
          <w:p w14:paraId="7FD519C3">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Stark et al</w:t>
            </w:r>
            <w:r>
              <w:rPr>
                <w:rFonts w:ascii="Times New Roman" w:hAnsi="Times New Roman" w:eastAsia="等线" w:cs="Times New Roman"/>
                <w:i/>
                <w:iCs/>
                <w:sz w:val="15"/>
                <w:szCs w:val="15"/>
              </w:rPr>
              <w:fldChar w:fldCharType="begin"/>
            </w:r>
            <w:r>
              <w:rPr>
                <w:rFonts w:ascii="Times New Roman" w:hAnsi="Times New Roman" w:eastAsia="等线" w:cs="Times New Roman"/>
                <w:i/>
                <w:iCs/>
                <w:sz w:val="15"/>
                <w:szCs w:val="15"/>
              </w:rPr>
              <w:instrText xml:space="preserve"> ADDIN KYMRREF{93D695C0-774E-4D03-B818-94D6902F7679}330,{93D695C0-774E-4D03-B818-94D6902F7679}403</w:instrText>
            </w:r>
            <w:r>
              <w:rPr>
                <w:rFonts w:ascii="Times New Roman" w:hAnsi="Times New Roman" w:eastAsia="等线" w:cs="Times New Roman"/>
                <w:i/>
                <w:iCs/>
                <w:sz w:val="15"/>
                <w:szCs w:val="15"/>
              </w:rPr>
              <w:fldChar w:fldCharType="separate"/>
            </w:r>
            <w:r>
              <w:rPr>
                <w:rFonts w:hint="eastAsia" w:ascii="Times New Roman" w:hAnsi="Times New Roman" w:eastAsia="宋体" w:cs="Times New Roman"/>
                <w:iCs/>
                <w:color w:val="FF0000"/>
                <w:sz w:val="15"/>
                <w:szCs w:val="15"/>
                <w:vertAlign w:val="superscript"/>
              </w:rPr>
              <w:t>4</w:t>
            </w:r>
            <w:r>
              <w:rPr>
                <w:rFonts w:ascii="Times New Roman" w:hAnsi="Times New Roman" w:eastAsia="等线" w:cs="Times New Roman"/>
                <w:i/>
                <w:iCs/>
                <w:sz w:val="15"/>
                <w:szCs w:val="15"/>
              </w:rPr>
              <w:fldChar w:fldCharType="end"/>
            </w:r>
            <w:r>
              <w:rPr>
                <w:rFonts w:ascii="Times New Roman" w:hAnsi="Times New Roman" w:eastAsia="等线" w:cs="Times New Roman"/>
                <w:i/>
                <w:iCs/>
                <w:sz w:val="15"/>
                <w:szCs w:val="15"/>
              </w:rPr>
              <w:t xml:space="preserve"> </w:t>
            </w:r>
          </w:p>
          <w:p w14:paraId="2D4A3937">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2008</w:t>
            </w:r>
          </w:p>
        </w:tc>
        <w:tc>
          <w:tcPr>
            <w:tcW w:w="1560" w:type="dxa"/>
            <w:tcBorders>
              <w:top w:val="nil"/>
              <w:left w:val="nil"/>
              <w:bottom w:val="nil"/>
              <w:right w:val="nil"/>
            </w:tcBorders>
            <w:vAlign w:val="center"/>
          </w:tcPr>
          <w:p w14:paraId="1381B1B3">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Retrospective study</w:t>
            </w:r>
          </w:p>
        </w:tc>
        <w:tc>
          <w:tcPr>
            <w:tcW w:w="0" w:type="auto"/>
            <w:tcBorders>
              <w:top w:val="nil"/>
              <w:left w:val="nil"/>
              <w:bottom w:val="nil"/>
              <w:right w:val="nil"/>
            </w:tcBorders>
            <w:vAlign w:val="center"/>
          </w:tcPr>
          <w:p w14:paraId="718AD4C6">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5</w:t>
            </w:r>
          </w:p>
        </w:tc>
        <w:tc>
          <w:tcPr>
            <w:tcW w:w="0" w:type="auto"/>
            <w:tcBorders>
              <w:top w:val="nil"/>
              <w:left w:val="nil"/>
              <w:bottom w:val="nil"/>
              <w:right w:val="nil"/>
            </w:tcBorders>
            <w:vAlign w:val="center"/>
          </w:tcPr>
          <w:p w14:paraId="7611AB55">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100</w:t>
            </w:r>
          </w:p>
        </w:tc>
        <w:tc>
          <w:tcPr>
            <w:tcW w:w="0" w:type="auto"/>
            <w:tcBorders>
              <w:top w:val="nil"/>
              <w:left w:val="nil"/>
              <w:bottom w:val="nil"/>
              <w:right w:val="nil"/>
            </w:tcBorders>
            <w:vAlign w:val="center"/>
          </w:tcPr>
          <w:p w14:paraId="1EE6E261">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Microscopic examination of permanently fixed, stained fecal smears,</w:t>
            </w:r>
            <w:r>
              <w:rPr>
                <w:rFonts w:ascii="Times New Roman" w:hAnsi="Times New Roman" w:eastAsia="等线" w:cs="Times New Roman"/>
                <w:color w:val="212121"/>
                <w:sz w:val="15"/>
                <w:szCs w:val="15"/>
                <w:shd w:val="clear" w:color="auto" w:fill="FFFFFF"/>
              </w:rPr>
              <w:t xml:space="preserve"> </w:t>
            </w:r>
            <w:r>
              <w:rPr>
                <w:rFonts w:ascii="Times New Roman" w:hAnsi="Times New Roman" w:eastAsia="等线" w:cs="Times New Roman"/>
                <w:sz w:val="15"/>
                <w:szCs w:val="15"/>
              </w:rPr>
              <w:t>PCR targeting the small subunit ribosomal DNA,</w:t>
            </w:r>
            <w:r>
              <w:rPr>
                <w:rFonts w:ascii="Times New Roman" w:hAnsi="Times New Roman" w:eastAsia="等线" w:cs="Times New Roman"/>
                <w:color w:val="212121"/>
                <w:sz w:val="15"/>
                <w:szCs w:val="15"/>
                <w:shd w:val="clear" w:color="auto" w:fill="FFFFFF"/>
              </w:rPr>
              <w:t xml:space="preserve"> </w:t>
            </w:r>
            <w:r>
              <w:rPr>
                <w:rFonts w:ascii="Times New Roman" w:hAnsi="Times New Roman" w:eastAsia="等线" w:cs="Times New Roman"/>
                <w:sz w:val="15"/>
                <w:szCs w:val="15"/>
              </w:rPr>
              <w:t>indirect hemagglutination antibody assay</w:t>
            </w:r>
          </w:p>
        </w:tc>
      </w:tr>
      <w:tr w14:paraId="64C2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c>
          <w:tcPr>
            <w:tcW w:w="0" w:type="auto"/>
            <w:tcBorders>
              <w:top w:val="nil"/>
              <w:left w:val="nil"/>
              <w:bottom w:val="nil"/>
              <w:right w:val="nil"/>
            </w:tcBorders>
            <w:vAlign w:val="center"/>
          </w:tcPr>
          <w:p w14:paraId="555B790C">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R5</w:t>
            </w:r>
          </w:p>
        </w:tc>
        <w:tc>
          <w:tcPr>
            <w:tcW w:w="0" w:type="auto"/>
            <w:tcBorders>
              <w:top w:val="nil"/>
              <w:left w:val="nil"/>
              <w:bottom w:val="nil"/>
              <w:right w:val="nil"/>
            </w:tcBorders>
            <w:vAlign w:val="center"/>
          </w:tcPr>
          <w:p w14:paraId="313FAAEF">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Australia</w:t>
            </w:r>
          </w:p>
        </w:tc>
        <w:tc>
          <w:tcPr>
            <w:tcW w:w="2053" w:type="dxa"/>
            <w:tcBorders>
              <w:top w:val="nil"/>
              <w:left w:val="nil"/>
              <w:bottom w:val="nil"/>
              <w:right w:val="nil"/>
            </w:tcBorders>
            <w:vAlign w:val="center"/>
          </w:tcPr>
          <w:p w14:paraId="728D6A0A">
            <w:pPr>
              <w:keepNext/>
              <w:snapToGrid w:val="0"/>
              <w:spacing w:line="480" w:lineRule="auto"/>
              <w:jc w:val="center"/>
              <w:rPr>
                <w:rFonts w:ascii="Times New Roman" w:hAnsi="Times New Roman" w:eastAsia="等线" w:cs="Times New Roman"/>
                <w:i/>
                <w:iCs/>
                <w:sz w:val="15"/>
                <w:szCs w:val="15"/>
              </w:rPr>
            </w:pPr>
            <w:r>
              <w:rPr>
                <w:rFonts w:ascii="Times New Roman" w:hAnsi="Times New Roman" w:eastAsia="等线" w:cs="Times New Roman"/>
                <w:sz w:val="15"/>
                <w:szCs w:val="15"/>
              </w:rPr>
              <w:t>Stark et al</w:t>
            </w:r>
            <w:r>
              <w:rPr>
                <w:rFonts w:ascii="Times New Roman" w:hAnsi="Times New Roman" w:eastAsia="等线" w:cs="Times New Roman"/>
                <w:sz w:val="15"/>
                <w:szCs w:val="15"/>
              </w:rPr>
              <w:fldChar w:fldCharType="begin"/>
            </w:r>
            <w:r>
              <w:rPr>
                <w:rFonts w:ascii="Times New Roman" w:hAnsi="Times New Roman" w:eastAsia="等线" w:cs="Times New Roman"/>
                <w:sz w:val="15"/>
                <w:szCs w:val="15"/>
              </w:rPr>
              <w:instrText xml:space="preserve"> ADDIN  ADDIN KYMRREF{93D695C0-774E-4D03-B818-94D6902F7679}331,{93D695C0-774E-4D03-B818-94D6902F7679}402</w:instrText>
            </w:r>
            <w:r>
              <w:rPr>
                <w:rFonts w:ascii="Times New Roman" w:hAnsi="Times New Roman" w:eastAsia="等线" w:cs="Times New Roman"/>
                <w:sz w:val="15"/>
                <w:szCs w:val="15"/>
              </w:rPr>
              <w:fldChar w:fldCharType="separate"/>
            </w:r>
            <w:r>
              <w:rPr>
                <w:rFonts w:hint="eastAsia" w:ascii="Times New Roman" w:hAnsi="Times New Roman" w:eastAsia="宋体" w:cs="Times New Roman"/>
                <w:color w:val="FF0000"/>
                <w:sz w:val="15"/>
                <w:szCs w:val="15"/>
                <w:vertAlign w:val="superscript"/>
              </w:rPr>
              <w:t>5</w:t>
            </w:r>
            <w:r>
              <w:rPr>
                <w:rFonts w:ascii="Times New Roman" w:hAnsi="Times New Roman" w:eastAsia="等线" w:cs="Times New Roman"/>
                <w:sz w:val="15"/>
                <w:szCs w:val="15"/>
              </w:rPr>
              <w:fldChar w:fldCharType="end"/>
            </w:r>
          </w:p>
          <w:p w14:paraId="3629EBF5">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2007</w:t>
            </w:r>
          </w:p>
        </w:tc>
        <w:tc>
          <w:tcPr>
            <w:tcW w:w="1560" w:type="dxa"/>
            <w:tcBorders>
              <w:top w:val="nil"/>
              <w:left w:val="nil"/>
              <w:bottom w:val="nil"/>
              <w:right w:val="nil"/>
            </w:tcBorders>
            <w:vAlign w:val="center"/>
          </w:tcPr>
          <w:p w14:paraId="014DE642">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A prospective, comparative study</w:t>
            </w:r>
          </w:p>
        </w:tc>
        <w:tc>
          <w:tcPr>
            <w:tcW w:w="0" w:type="auto"/>
            <w:tcBorders>
              <w:top w:val="nil"/>
              <w:left w:val="nil"/>
              <w:bottom w:val="nil"/>
              <w:right w:val="nil"/>
            </w:tcBorders>
            <w:vAlign w:val="center"/>
          </w:tcPr>
          <w:p w14:paraId="248713B2">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1868</w:t>
            </w:r>
          </w:p>
        </w:tc>
        <w:tc>
          <w:tcPr>
            <w:tcW w:w="0" w:type="auto"/>
            <w:tcBorders>
              <w:top w:val="nil"/>
              <w:left w:val="nil"/>
              <w:bottom w:val="nil"/>
              <w:right w:val="nil"/>
            </w:tcBorders>
            <w:vAlign w:val="center"/>
          </w:tcPr>
          <w:p w14:paraId="6D0B6376">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100</w:t>
            </w:r>
          </w:p>
        </w:tc>
        <w:tc>
          <w:tcPr>
            <w:tcW w:w="0" w:type="auto"/>
            <w:tcBorders>
              <w:top w:val="nil"/>
              <w:left w:val="nil"/>
              <w:bottom w:val="nil"/>
              <w:right w:val="nil"/>
            </w:tcBorders>
            <w:vAlign w:val="center"/>
          </w:tcPr>
          <w:p w14:paraId="68F39C5D">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Enzyme-linked immunosorbent assays</w:t>
            </w:r>
          </w:p>
        </w:tc>
      </w:tr>
      <w:tr w14:paraId="2559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c>
          <w:tcPr>
            <w:tcW w:w="0" w:type="auto"/>
            <w:tcBorders>
              <w:top w:val="nil"/>
              <w:left w:val="nil"/>
              <w:bottom w:val="nil"/>
              <w:right w:val="nil"/>
            </w:tcBorders>
            <w:vAlign w:val="center"/>
          </w:tcPr>
          <w:p w14:paraId="178E1A1B">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R6</w:t>
            </w:r>
          </w:p>
        </w:tc>
        <w:tc>
          <w:tcPr>
            <w:tcW w:w="0" w:type="auto"/>
            <w:tcBorders>
              <w:top w:val="nil"/>
              <w:left w:val="nil"/>
              <w:bottom w:val="nil"/>
              <w:right w:val="nil"/>
            </w:tcBorders>
            <w:vAlign w:val="center"/>
          </w:tcPr>
          <w:p w14:paraId="418C2CA4">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Australia</w:t>
            </w:r>
          </w:p>
        </w:tc>
        <w:tc>
          <w:tcPr>
            <w:tcW w:w="2053" w:type="dxa"/>
            <w:tcBorders>
              <w:top w:val="nil"/>
              <w:left w:val="nil"/>
              <w:bottom w:val="nil"/>
              <w:right w:val="nil"/>
            </w:tcBorders>
            <w:vAlign w:val="center"/>
          </w:tcPr>
          <w:p w14:paraId="39995736">
            <w:pPr>
              <w:keepNext/>
              <w:snapToGrid w:val="0"/>
              <w:spacing w:line="480" w:lineRule="auto"/>
              <w:jc w:val="center"/>
              <w:rPr>
                <w:rFonts w:ascii="Times New Roman" w:hAnsi="Times New Roman" w:eastAsia="等线" w:cs="Times New Roman"/>
                <w:i/>
                <w:iCs/>
                <w:sz w:val="15"/>
                <w:szCs w:val="15"/>
              </w:rPr>
            </w:pPr>
            <w:r>
              <w:rPr>
                <w:rFonts w:ascii="Times New Roman" w:hAnsi="Times New Roman" w:eastAsia="等线" w:cs="Times New Roman"/>
                <w:sz w:val="15"/>
                <w:szCs w:val="15"/>
              </w:rPr>
              <w:t>Stark et al</w:t>
            </w:r>
            <w:r>
              <w:rPr>
                <w:rFonts w:ascii="Times New Roman" w:hAnsi="Times New Roman" w:eastAsia="等线" w:cs="Times New Roman"/>
                <w:sz w:val="15"/>
                <w:szCs w:val="15"/>
              </w:rPr>
              <w:fldChar w:fldCharType="begin"/>
            </w:r>
            <w:r>
              <w:rPr>
                <w:rFonts w:ascii="Times New Roman" w:hAnsi="Times New Roman" w:eastAsia="等线" w:cs="Times New Roman"/>
                <w:sz w:val="15"/>
                <w:szCs w:val="15"/>
              </w:rPr>
              <w:instrText xml:space="preserve"> ADDIN  ADDIN KYMRREF{93D695C0-774E-4D03-B818-94D6902F7679}404 </w:instrText>
            </w:r>
            <w:r>
              <w:rPr>
                <w:rFonts w:ascii="Times New Roman" w:hAnsi="Times New Roman" w:eastAsia="等线" w:cs="Times New Roman"/>
                <w:sz w:val="15"/>
                <w:szCs w:val="15"/>
              </w:rPr>
              <w:fldChar w:fldCharType="separate"/>
            </w:r>
            <w:r>
              <w:rPr>
                <w:rFonts w:hint="eastAsia" w:ascii="Times New Roman" w:hAnsi="Times New Roman" w:eastAsia="宋体" w:cs="Times New Roman"/>
                <w:color w:val="FF0000"/>
                <w:sz w:val="15"/>
                <w:szCs w:val="15"/>
                <w:vertAlign w:val="superscript"/>
              </w:rPr>
              <w:t>6</w:t>
            </w:r>
            <w:r>
              <w:rPr>
                <w:rFonts w:ascii="Times New Roman" w:hAnsi="Times New Roman" w:eastAsia="等线" w:cs="Times New Roman"/>
                <w:sz w:val="15"/>
                <w:szCs w:val="15"/>
              </w:rPr>
              <w:fldChar w:fldCharType="end"/>
            </w:r>
          </w:p>
          <w:p w14:paraId="4AB37EF8">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2006</w:t>
            </w:r>
          </w:p>
        </w:tc>
        <w:tc>
          <w:tcPr>
            <w:tcW w:w="1560" w:type="dxa"/>
            <w:tcBorders>
              <w:top w:val="nil"/>
              <w:left w:val="nil"/>
              <w:bottom w:val="nil"/>
              <w:right w:val="nil"/>
            </w:tcBorders>
            <w:vAlign w:val="center"/>
          </w:tcPr>
          <w:p w14:paraId="631ACD74">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Retrospective study</w:t>
            </w:r>
          </w:p>
        </w:tc>
        <w:tc>
          <w:tcPr>
            <w:tcW w:w="0" w:type="auto"/>
            <w:tcBorders>
              <w:top w:val="nil"/>
              <w:left w:val="nil"/>
              <w:bottom w:val="nil"/>
              <w:right w:val="nil"/>
            </w:tcBorders>
            <w:vAlign w:val="center"/>
          </w:tcPr>
          <w:p w14:paraId="1648C16C">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3</w:t>
            </w:r>
          </w:p>
        </w:tc>
        <w:tc>
          <w:tcPr>
            <w:tcW w:w="0" w:type="auto"/>
            <w:tcBorders>
              <w:top w:val="nil"/>
              <w:left w:val="nil"/>
              <w:bottom w:val="nil"/>
              <w:right w:val="nil"/>
            </w:tcBorders>
            <w:vAlign w:val="center"/>
          </w:tcPr>
          <w:p w14:paraId="0030FD64">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100</w:t>
            </w:r>
          </w:p>
        </w:tc>
        <w:tc>
          <w:tcPr>
            <w:tcW w:w="0" w:type="auto"/>
            <w:tcBorders>
              <w:top w:val="nil"/>
              <w:left w:val="nil"/>
              <w:bottom w:val="nil"/>
              <w:right w:val="nil"/>
            </w:tcBorders>
            <w:vAlign w:val="center"/>
          </w:tcPr>
          <w:p w14:paraId="72759ECC">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Microscopic examination of permanently fixed, stained fecal smears,</w:t>
            </w:r>
            <w:r>
              <w:rPr>
                <w:rFonts w:ascii="Times New Roman" w:hAnsi="Times New Roman" w:eastAsia="等线" w:cs="Times New Roman"/>
                <w:color w:val="212121"/>
                <w:sz w:val="15"/>
                <w:szCs w:val="15"/>
                <w:shd w:val="clear" w:color="auto" w:fill="FFFFFF"/>
              </w:rPr>
              <w:t xml:space="preserve"> </w:t>
            </w:r>
            <w:r>
              <w:rPr>
                <w:rFonts w:ascii="Times New Roman" w:hAnsi="Times New Roman" w:eastAsia="等线" w:cs="Times New Roman"/>
                <w:sz w:val="15"/>
                <w:szCs w:val="15"/>
              </w:rPr>
              <w:t>PCR targeting the small subunit ribosomal DNA</w:t>
            </w:r>
          </w:p>
        </w:tc>
      </w:tr>
      <w:tr w14:paraId="0180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c>
          <w:tcPr>
            <w:tcW w:w="0" w:type="auto"/>
            <w:tcBorders>
              <w:top w:val="nil"/>
              <w:left w:val="nil"/>
              <w:bottom w:val="nil"/>
              <w:right w:val="nil"/>
            </w:tcBorders>
            <w:vAlign w:val="center"/>
          </w:tcPr>
          <w:p w14:paraId="03ACC242">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R7</w:t>
            </w:r>
          </w:p>
        </w:tc>
        <w:tc>
          <w:tcPr>
            <w:tcW w:w="0" w:type="auto"/>
            <w:tcBorders>
              <w:top w:val="nil"/>
              <w:left w:val="nil"/>
              <w:bottom w:val="nil"/>
              <w:right w:val="nil"/>
            </w:tcBorders>
            <w:vAlign w:val="center"/>
          </w:tcPr>
          <w:p w14:paraId="15A51F04">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Australia</w:t>
            </w:r>
          </w:p>
        </w:tc>
        <w:tc>
          <w:tcPr>
            <w:tcW w:w="2053" w:type="dxa"/>
            <w:tcBorders>
              <w:top w:val="nil"/>
              <w:left w:val="nil"/>
              <w:bottom w:val="nil"/>
              <w:right w:val="nil"/>
            </w:tcBorders>
            <w:vAlign w:val="center"/>
          </w:tcPr>
          <w:p w14:paraId="7AA3A967">
            <w:pPr>
              <w:keepNext/>
              <w:snapToGrid w:val="0"/>
              <w:spacing w:line="480" w:lineRule="auto"/>
              <w:jc w:val="center"/>
              <w:rPr>
                <w:rFonts w:ascii="Times New Roman" w:hAnsi="Times New Roman" w:eastAsia="等线" w:cs="Times New Roman"/>
                <w:i/>
                <w:iCs/>
                <w:sz w:val="15"/>
                <w:szCs w:val="15"/>
              </w:rPr>
            </w:pPr>
            <w:r>
              <w:rPr>
                <w:rFonts w:ascii="Times New Roman" w:hAnsi="Times New Roman" w:eastAsia="等线" w:cs="Times New Roman"/>
                <w:sz w:val="15"/>
                <w:szCs w:val="15"/>
              </w:rPr>
              <w:t>James et al</w:t>
            </w:r>
            <w:r>
              <w:rPr>
                <w:rFonts w:ascii="Times New Roman" w:hAnsi="Times New Roman" w:eastAsia="等线" w:cs="Times New Roman"/>
                <w:i/>
                <w:iCs/>
                <w:sz w:val="15"/>
                <w:szCs w:val="15"/>
              </w:rPr>
              <w:fldChar w:fldCharType="begin"/>
            </w:r>
            <w:r>
              <w:rPr>
                <w:rFonts w:ascii="Times New Roman" w:hAnsi="Times New Roman" w:eastAsia="等线" w:cs="Times New Roman"/>
                <w:i/>
                <w:iCs/>
                <w:sz w:val="15"/>
                <w:szCs w:val="15"/>
              </w:rPr>
              <w:instrText xml:space="preserve"> ADDIN  ADDIN KYMRREF{93D695C0-774E-4D03-B818-94D6902F7679}333,{93D695C0-774E-4D03-B818-94D6902F7679}405</w:instrText>
            </w:r>
            <w:r>
              <w:rPr>
                <w:rFonts w:ascii="Times New Roman" w:hAnsi="Times New Roman" w:eastAsia="等线" w:cs="Times New Roman"/>
                <w:i/>
                <w:iCs/>
                <w:sz w:val="15"/>
                <w:szCs w:val="15"/>
              </w:rPr>
              <w:fldChar w:fldCharType="separate"/>
            </w:r>
            <w:r>
              <w:rPr>
                <w:rFonts w:hint="eastAsia" w:ascii="Times New Roman" w:hAnsi="Times New Roman" w:eastAsia="宋体" w:cs="Times New Roman"/>
                <w:iCs/>
                <w:color w:val="FF0000"/>
                <w:sz w:val="15"/>
                <w:szCs w:val="15"/>
                <w:vertAlign w:val="superscript"/>
              </w:rPr>
              <w:t>7</w:t>
            </w:r>
            <w:r>
              <w:rPr>
                <w:rFonts w:ascii="Times New Roman" w:hAnsi="Times New Roman" w:eastAsia="等线" w:cs="Times New Roman"/>
                <w:i/>
                <w:iCs/>
                <w:sz w:val="15"/>
                <w:szCs w:val="15"/>
              </w:rPr>
              <w:fldChar w:fldCharType="end"/>
            </w:r>
            <w:r>
              <w:rPr>
                <w:rFonts w:ascii="Times New Roman" w:hAnsi="Times New Roman" w:eastAsia="等线" w:cs="Times New Roman"/>
                <w:i/>
                <w:iCs/>
                <w:sz w:val="15"/>
                <w:szCs w:val="15"/>
              </w:rPr>
              <w:t xml:space="preserve"> </w:t>
            </w:r>
          </w:p>
          <w:p w14:paraId="73A6C329">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2010</w:t>
            </w:r>
          </w:p>
        </w:tc>
        <w:tc>
          <w:tcPr>
            <w:tcW w:w="1560" w:type="dxa"/>
            <w:tcBorders>
              <w:top w:val="nil"/>
              <w:left w:val="nil"/>
              <w:bottom w:val="nil"/>
              <w:right w:val="nil"/>
            </w:tcBorders>
            <w:vAlign w:val="center"/>
          </w:tcPr>
          <w:p w14:paraId="5F99E7B7">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Retrospective analysis</w:t>
            </w:r>
          </w:p>
        </w:tc>
        <w:tc>
          <w:tcPr>
            <w:tcW w:w="0" w:type="auto"/>
            <w:tcBorders>
              <w:top w:val="nil"/>
              <w:left w:val="nil"/>
              <w:bottom w:val="nil"/>
              <w:right w:val="nil"/>
            </w:tcBorders>
            <w:vAlign w:val="center"/>
          </w:tcPr>
          <w:p w14:paraId="2E5B4002">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1331</w:t>
            </w:r>
          </w:p>
        </w:tc>
        <w:tc>
          <w:tcPr>
            <w:tcW w:w="0" w:type="auto"/>
            <w:tcBorders>
              <w:top w:val="nil"/>
              <w:left w:val="nil"/>
              <w:bottom w:val="nil"/>
              <w:right w:val="nil"/>
            </w:tcBorders>
            <w:vAlign w:val="center"/>
          </w:tcPr>
          <w:p w14:paraId="7DB34F1C">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65.7</w:t>
            </w:r>
          </w:p>
        </w:tc>
        <w:tc>
          <w:tcPr>
            <w:tcW w:w="0" w:type="auto"/>
            <w:tcBorders>
              <w:top w:val="nil"/>
              <w:left w:val="nil"/>
              <w:bottom w:val="nil"/>
              <w:right w:val="nil"/>
            </w:tcBorders>
            <w:vAlign w:val="center"/>
          </w:tcPr>
          <w:p w14:paraId="62EEE2D3">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 xml:space="preserve">Qualitative screening of serum IgG antibodies to </w:t>
            </w:r>
            <w:r>
              <w:rPr>
                <w:rFonts w:ascii="Times New Roman" w:hAnsi="Times New Roman" w:eastAsia="等线" w:cs="Times New Roman"/>
                <w:i/>
                <w:iCs/>
                <w:sz w:val="15"/>
                <w:szCs w:val="15"/>
              </w:rPr>
              <w:t>E. histolytica</w:t>
            </w:r>
          </w:p>
        </w:tc>
      </w:tr>
      <w:tr w14:paraId="2BDC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c>
          <w:tcPr>
            <w:tcW w:w="0" w:type="auto"/>
            <w:tcBorders>
              <w:top w:val="nil"/>
              <w:left w:val="nil"/>
              <w:bottom w:val="nil"/>
              <w:right w:val="nil"/>
            </w:tcBorders>
            <w:vAlign w:val="center"/>
          </w:tcPr>
          <w:p w14:paraId="400754D6">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R8</w:t>
            </w:r>
          </w:p>
        </w:tc>
        <w:tc>
          <w:tcPr>
            <w:tcW w:w="0" w:type="auto"/>
            <w:tcBorders>
              <w:top w:val="nil"/>
              <w:left w:val="nil"/>
              <w:bottom w:val="nil"/>
              <w:right w:val="nil"/>
            </w:tcBorders>
            <w:vAlign w:val="center"/>
          </w:tcPr>
          <w:p w14:paraId="744E7978">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China</w:t>
            </w:r>
          </w:p>
        </w:tc>
        <w:tc>
          <w:tcPr>
            <w:tcW w:w="2053" w:type="dxa"/>
            <w:tcBorders>
              <w:top w:val="nil"/>
              <w:left w:val="nil"/>
              <w:bottom w:val="nil"/>
              <w:right w:val="nil"/>
            </w:tcBorders>
            <w:vAlign w:val="center"/>
          </w:tcPr>
          <w:p w14:paraId="0196F333">
            <w:pPr>
              <w:keepNext/>
              <w:snapToGrid w:val="0"/>
              <w:spacing w:line="480" w:lineRule="auto"/>
              <w:jc w:val="center"/>
              <w:rPr>
                <w:rFonts w:ascii="Times New Roman" w:hAnsi="Times New Roman" w:eastAsia="等线" w:cs="Times New Roman"/>
                <w:i/>
                <w:iCs/>
                <w:sz w:val="15"/>
                <w:szCs w:val="15"/>
              </w:rPr>
            </w:pPr>
            <w:r>
              <w:rPr>
                <w:rFonts w:ascii="Times New Roman" w:hAnsi="Times New Roman" w:eastAsia="等线" w:cs="Times New Roman"/>
                <w:sz w:val="15"/>
                <w:szCs w:val="15"/>
              </w:rPr>
              <w:t>Zhou et al</w:t>
            </w:r>
            <w:r>
              <w:rPr>
                <w:rFonts w:ascii="Times New Roman" w:hAnsi="Times New Roman" w:eastAsia="等线" w:cs="Times New Roman"/>
                <w:i/>
                <w:iCs/>
                <w:sz w:val="15"/>
                <w:szCs w:val="15"/>
              </w:rPr>
              <w:fldChar w:fldCharType="begin"/>
            </w:r>
            <w:r>
              <w:rPr>
                <w:rFonts w:ascii="Times New Roman" w:hAnsi="Times New Roman" w:eastAsia="等线" w:cs="Times New Roman"/>
                <w:i/>
                <w:iCs/>
                <w:sz w:val="15"/>
                <w:szCs w:val="15"/>
              </w:rPr>
              <w:instrText xml:space="preserve"> ADDIN  ADDIN KYMRREF{93D695C0-774E-4D03-B818-94D6902F7679}335,{93D695C0-774E-4D03-B818-94D6902F7679}406</w:instrText>
            </w:r>
            <w:r>
              <w:rPr>
                <w:rFonts w:ascii="Times New Roman" w:hAnsi="Times New Roman" w:eastAsia="等线" w:cs="Times New Roman"/>
                <w:i/>
                <w:iCs/>
                <w:sz w:val="15"/>
                <w:szCs w:val="15"/>
              </w:rPr>
              <w:fldChar w:fldCharType="separate"/>
            </w:r>
            <w:r>
              <w:rPr>
                <w:rFonts w:hint="eastAsia" w:ascii="Times New Roman" w:hAnsi="Times New Roman" w:eastAsia="宋体" w:cs="Times New Roman"/>
                <w:iCs/>
                <w:color w:val="FF0000"/>
                <w:sz w:val="15"/>
                <w:szCs w:val="15"/>
                <w:vertAlign w:val="superscript"/>
              </w:rPr>
              <w:t>8</w:t>
            </w:r>
            <w:r>
              <w:rPr>
                <w:rFonts w:ascii="Times New Roman" w:hAnsi="Times New Roman" w:eastAsia="等线" w:cs="Times New Roman"/>
                <w:i/>
                <w:iCs/>
                <w:sz w:val="15"/>
                <w:szCs w:val="15"/>
              </w:rPr>
              <w:fldChar w:fldCharType="end"/>
            </w:r>
          </w:p>
          <w:p w14:paraId="16FC8FB8">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2013</w:t>
            </w:r>
          </w:p>
        </w:tc>
        <w:tc>
          <w:tcPr>
            <w:tcW w:w="1560" w:type="dxa"/>
            <w:tcBorders>
              <w:top w:val="nil"/>
              <w:left w:val="nil"/>
              <w:bottom w:val="nil"/>
              <w:right w:val="nil"/>
            </w:tcBorders>
            <w:vAlign w:val="center"/>
          </w:tcPr>
          <w:p w14:paraId="7222556B">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Retrospective analysis</w:t>
            </w:r>
          </w:p>
        </w:tc>
        <w:tc>
          <w:tcPr>
            <w:tcW w:w="0" w:type="auto"/>
            <w:tcBorders>
              <w:top w:val="nil"/>
              <w:left w:val="nil"/>
              <w:bottom w:val="nil"/>
              <w:right w:val="nil"/>
            </w:tcBorders>
            <w:vAlign w:val="center"/>
          </w:tcPr>
          <w:p w14:paraId="2A33CB78">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602</w:t>
            </w:r>
          </w:p>
        </w:tc>
        <w:tc>
          <w:tcPr>
            <w:tcW w:w="0" w:type="auto"/>
            <w:tcBorders>
              <w:top w:val="nil"/>
              <w:left w:val="nil"/>
              <w:bottom w:val="nil"/>
              <w:right w:val="nil"/>
            </w:tcBorders>
            <w:vAlign w:val="center"/>
          </w:tcPr>
          <w:p w14:paraId="20117185">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100</w:t>
            </w:r>
          </w:p>
        </w:tc>
        <w:tc>
          <w:tcPr>
            <w:tcW w:w="0" w:type="auto"/>
            <w:tcBorders>
              <w:top w:val="nil"/>
              <w:left w:val="nil"/>
              <w:bottom w:val="nil"/>
              <w:right w:val="nil"/>
            </w:tcBorders>
            <w:vAlign w:val="center"/>
          </w:tcPr>
          <w:p w14:paraId="583CB443">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 xml:space="preserve">Qualitative screenings of serum IgG antibodies to </w:t>
            </w:r>
            <w:r>
              <w:rPr>
                <w:rFonts w:ascii="Times New Roman" w:hAnsi="Times New Roman" w:eastAsia="等线" w:cs="Times New Roman"/>
                <w:i/>
                <w:iCs/>
                <w:sz w:val="15"/>
                <w:szCs w:val="15"/>
              </w:rPr>
              <w:t>E. histolytica</w:t>
            </w:r>
          </w:p>
        </w:tc>
      </w:tr>
      <w:tr w14:paraId="3A9E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c>
          <w:tcPr>
            <w:tcW w:w="0" w:type="auto"/>
            <w:tcBorders>
              <w:top w:val="nil"/>
              <w:left w:val="nil"/>
              <w:bottom w:val="single" w:color="auto" w:sz="12" w:space="0"/>
              <w:right w:val="nil"/>
            </w:tcBorders>
            <w:vAlign w:val="center"/>
          </w:tcPr>
          <w:p w14:paraId="3D0EDB48">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R9</w:t>
            </w:r>
          </w:p>
        </w:tc>
        <w:tc>
          <w:tcPr>
            <w:tcW w:w="0" w:type="auto"/>
            <w:tcBorders>
              <w:top w:val="nil"/>
              <w:left w:val="nil"/>
              <w:bottom w:val="single" w:color="auto" w:sz="12" w:space="0"/>
              <w:right w:val="nil"/>
            </w:tcBorders>
            <w:vAlign w:val="center"/>
          </w:tcPr>
          <w:p w14:paraId="7DFF1C5D">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Japan</w:t>
            </w:r>
          </w:p>
        </w:tc>
        <w:tc>
          <w:tcPr>
            <w:tcW w:w="2053" w:type="dxa"/>
            <w:tcBorders>
              <w:top w:val="nil"/>
              <w:left w:val="nil"/>
              <w:bottom w:val="single" w:color="auto" w:sz="12" w:space="0"/>
              <w:right w:val="nil"/>
            </w:tcBorders>
            <w:vAlign w:val="center"/>
          </w:tcPr>
          <w:p w14:paraId="3EF0195E">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Yanagawa et al</w:t>
            </w:r>
            <w:r>
              <w:rPr>
                <w:rFonts w:ascii="Times New Roman" w:hAnsi="Times New Roman" w:eastAsia="等线" w:cs="Times New Roman"/>
                <w:i/>
                <w:iCs/>
                <w:sz w:val="15"/>
                <w:szCs w:val="15"/>
              </w:rPr>
              <w:fldChar w:fldCharType="begin"/>
            </w:r>
            <w:r>
              <w:rPr>
                <w:rFonts w:ascii="Times New Roman" w:hAnsi="Times New Roman" w:eastAsia="等线" w:cs="Times New Roman"/>
                <w:i/>
                <w:iCs/>
                <w:sz w:val="15"/>
                <w:szCs w:val="15"/>
              </w:rPr>
              <w:instrText xml:space="preserve"> ADDIN  ADDIN KYMRREF{93D695C0-774E-4D03-B818-94D6902F7679}336,{93D695C0-774E-4D03-B818-94D6902F7679}407</w:instrText>
            </w:r>
            <w:r>
              <w:rPr>
                <w:rFonts w:ascii="Times New Roman" w:hAnsi="Times New Roman" w:eastAsia="等线" w:cs="Times New Roman"/>
                <w:i/>
                <w:iCs/>
                <w:sz w:val="15"/>
                <w:szCs w:val="15"/>
              </w:rPr>
              <w:fldChar w:fldCharType="separate"/>
            </w:r>
            <w:r>
              <w:rPr>
                <w:rFonts w:hint="eastAsia" w:ascii="Times New Roman" w:hAnsi="Times New Roman" w:eastAsia="宋体" w:cs="Times New Roman"/>
                <w:iCs/>
                <w:color w:val="FF0000"/>
                <w:sz w:val="15"/>
                <w:szCs w:val="15"/>
                <w:vertAlign w:val="superscript"/>
              </w:rPr>
              <w:t>9</w:t>
            </w:r>
            <w:r>
              <w:rPr>
                <w:rFonts w:ascii="Times New Roman" w:hAnsi="Times New Roman" w:eastAsia="等线" w:cs="Times New Roman"/>
                <w:i/>
                <w:iCs/>
                <w:sz w:val="15"/>
                <w:szCs w:val="15"/>
              </w:rPr>
              <w:fldChar w:fldCharType="end"/>
            </w:r>
            <w:r>
              <w:rPr>
                <w:rFonts w:ascii="Times New Roman" w:hAnsi="Times New Roman" w:eastAsia="等线" w:cs="Times New Roman"/>
                <w:i/>
                <w:iCs/>
                <w:sz w:val="15"/>
                <w:szCs w:val="15"/>
              </w:rPr>
              <w:t xml:space="preserve"> </w:t>
            </w:r>
          </w:p>
          <w:p w14:paraId="1C09EF1C">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2022</w:t>
            </w:r>
          </w:p>
        </w:tc>
        <w:tc>
          <w:tcPr>
            <w:tcW w:w="1560" w:type="dxa"/>
            <w:tcBorders>
              <w:top w:val="nil"/>
              <w:left w:val="nil"/>
              <w:bottom w:val="single" w:color="auto" w:sz="12" w:space="0"/>
              <w:right w:val="nil"/>
            </w:tcBorders>
            <w:vAlign w:val="center"/>
          </w:tcPr>
          <w:p w14:paraId="4426D558">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Cross-sectional study</w:t>
            </w:r>
          </w:p>
        </w:tc>
        <w:tc>
          <w:tcPr>
            <w:tcW w:w="0" w:type="auto"/>
            <w:tcBorders>
              <w:top w:val="nil"/>
              <w:left w:val="nil"/>
              <w:bottom w:val="single" w:color="auto" w:sz="12" w:space="0"/>
              <w:right w:val="nil"/>
            </w:tcBorders>
            <w:vAlign w:val="center"/>
          </w:tcPr>
          <w:p w14:paraId="20D37872">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312</w:t>
            </w:r>
          </w:p>
        </w:tc>
        <w:tc>
          <w:tcPr>
            <w:tcW w:w="0" w:type="auto"/>
            <w:tcBorders>
              <w:top w:val="nil"/>
              <w:left w:val="nil"/>
              <w:bottom w:val="single" w:color="auto" w:sz="12" w:space="0"/>
              <w:right w:val="nil"/>
            </w:tcBorders>
            <w:vAlign w:val="center"/>
          </w:tcPr>
          <w:p w14:paraId="6BC08155">
            <w:pPr>
              <w:keepNext/>
              <w:snapToGrid w:val="0"/>
              <w:spacing w:line="48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100</w:t>
            </w:r>
          </w:p>
        </w:tc>
        <w:tc>
          <w:tcPr>
            <w:tcW w:w="0" w:type="auto"/>
            <w:tcBorders>
              <w:top w:val="nil"/>
              <w:left w:val="nil"/>
              <w:bottom w:val="single" w:color="auto" w:sz="12" w:space="0"/>
              <w:right w:val="nil"/>
            </w:tcBorders>
            <w:vAlign w:val="center"/>
          </w:tcPr>
          <w:p w14:paraId="532E8480">
            <w:pPr>
              <w:keepNext/>
              <w:snapToGrid w:val="0"/>
              <w:spacing w:line="480" w:lineRule="auto"/>
              <w:jc w:val="left"/>
              <w:rPr>
                <w:rFonts w:ascii="Times New Roman" w:hAnsi="Times New Roman" w:eastAsia="等线" w:cs="Times New Roman"/>
                <w:sz w:val="15"/>
                <w:szCs w:val="15"/>
              </w:rPr>
            </w:pPr>
            <w:r>
              <w:rPr>
                <w:rFonts w:ascii="Times New Roman" w:hAnsi="Times New Roman" w:eastAsia="等线" w:cs="Times New Roman"/>
                <w:sz w:val="15"/>
                <w:szCs w:val="15"/>
              </w:rPr>
              <w:t>Serum anti-</w:t>
            </w:r>
            <w:r>
              <w:rPr>
                <w:rFonts w:ascii="Times New Roman" w:hAnsi="Times New Roman" w:eastAsia="等线" w:cs="Times New Roman"/>
                <w:i/>
                <w:iCs/>
                <w:sz w:val="15"/>
                <w:szCs w:val="15"/>
              </w:rPr>
              <w:t>E. histolytica</w:t>
            </w:r>
            <w:r>
              <w:rPr>
                <w:rFonts w:ascii="Times New Roman" w:hAnsi="Times New Roman" w:eastAsia="等线" w:cs="Times New Roman"/>
                <w:sz w:val="15"/>
                <w:szCs w:val="15"/>
              </w:rPr>
              <w:t xml:space="preserve"> testing</w:t>
            </w:r>
          </w:p>
        </w:tc>
      </w:tr>
    </w:tbl>
    <w:p w14:paraId="5CA3C7B8">
      <w:pPr>
        <w:spacing w:line="480" w:lineRule="auto"/>
        <w:rPr>
          <w:rFonts w:ascii="Times New Roman" w:hAnsi="Times New Roman" w:cs="Times New Roman"/>
          <w:i/>
          <w:iCs/>
          <w:sz w:val="15"/>
          <w:szCs w:val="15"/>
        </w:rPr>
      </w:pPr>
      <w:r>
        <w:rPr>
          <w:rFonts w:ascii="Times New Roman" w:hAnsi="Times New Roman" w:cs="Times New Roman"/>
          <w:i/>
          <w:iCs/>
          <w:sz w:val="15"/>
          <w:szCs w:val="15"/>
        </w:rPr>
        <w:t xml:space="preserve">ELISA, </w:t>
      </w:r>
      <w:r>
        <w:rPr>
          <w:rFonts w:ascii="Times New Roman" w:hAnsi="Times New Roman" w:eastAsia="等线" w:cs="Times New Roman"/>
          <w:sz w:val="15"/>
          <w:szCs w:val="15"/>
        </w:rPr>
        <w:t>enzyme</w:t>
      </w:r>
      <w:r>
        <w:rPr>
          <w:rFonts w:ascii="Times New Roman" w:hAnsi="Times New Roman" w:cs="Times New Roman"/>
          <w:sz w:val="15"/>
          <w:szCs w:val="15"/>
        </w:rPr>
        <w:t>-linked immunosorbent assay</w:t>
      </w:r>
      <w:r>
        <w:rPr>
          <w:rFonts w:ascii="Times New Roman" w:hAnsi="Times New Roman" w:cs="Times New Roman"/>
          <w:i/>
          <w:iCs/>
          <w:sz w:val="15"/>
          <w:szCs w:val="15"/>
        </w:rPr>
        <w:t xml:space="preserve">; MSM, </w:t>
      </w:r>
      <w:r>
        <w:rPr>
          <w:rFonts w:ascii="Times New Roman" w:hAnsi="Times New Roman" w:eastAsia="等线" w:cs="Times New Roman"/>
          <w:i/>
          <w:iCs/>
          <w:sz w:val="15"/>
          <w:szCs w:val="15"/>
        </w:rPr>
        <w:t>men</w:t>
      </w:r>
      <w:r>
        <w:rPr>
          <w:rFonts w:ascii="Times New Roman" w:hAnsi="Times New Roman" w:cs="Times New Roman"/>
          <w:i/>
          <w:iCs/>
          <w:sz w:val="15"/>
          <w:szCs w:val="15"/>
        </w:rPr>
        <w:t xml:space="preserve"> who have sex with men</w:t>
      </w:r>
    </w:p>
    <w:p w14:paraId="1231D582">
      <w:pPr>
        <w:spacing w:line="480" w:lineRule="auto"/>
        <w:rPr>
          <w:rFonts w:ascii="Times New Roman" w:hAnsi="Times New Roman" w:cs="Times New Roman"/>
          <w:b/>
          <w:bCs/>
          <w:i/>
          <w:iCs/>
        </w:rPr>
      </w:pPr>
      <w:r>
        <w:rPr>
          <w:rFonts w:ascii="Times New Roman" w:hAnsi="Times New Roman" w:cs="Times New Roman"/>
          <w:b/>
          <w:bCs/>
          <w:i/>
          <w:iCs/>
        </w:rPr>
        <w:t xml:space="preserve">Supplementary Table </w:t>
      </w:r>
      <w:r>
        <w:rPr>
          <w:rFonts w:hint="eastAsia" w:ascii="Times New Roman" w:hAnsi="Times New Roman" w:cs="Times New Roman"/>
          <w:b/>
          <w:bCs/>
          <w:i/>
          <w:iCs/>
        </w:rPr>
        <w:t>2</w:t>
      </w:r>
      <w:r>
        <w:rPr>
          <w:rFonts w:ascii="Times New Roman" w:hAnsi="Times New Roman" w:cs="Times New Roman"/>
          <w:b/>
          <w:bCs/>
          <w:i/>
          <w:iCs/>
        </w:rPr>
        <w:t>. Summary Table of Clinical Features, Endoscopic Examinations, and Pathological Findings from 12 Patients</w:t>
      </w:r>
    </w:p>
    <w:tbl>
      <w:tblPr>
        <w:tblStyle w:val="3"/>
        <w:tblW w:w="13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2" w:type="dxa"/>
          <w:left w:w="64" w:type="dxa"/>
          <w:bottom w:w="32" w:type="dxa"/>
          <w:right w:w="64" w:type="dxa"/>
        </w:tblCellMar>
      </w:tblPr>
      <w:tblGrid>
        <w:gridCol w:w="4858"/>
        <w:gridCol w:w="1393"/>
        <w:gridCol w:w="2474"/>
        <w:gridCol w:w="1422"/>
        <w:gridCol w:w="2226"/>
        <w:gridCol w:w="1168"/>
      </w:tblGrid>
      <w:tr w14:paraId="7F41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blHeader/>
          <w:jc w:val="center"/>
        </w:trPr>
        <w:tc>
          <w:tcPr>
            <w:tcW w:w="6251" w:type="dxa"/>
            <w:gridSpan w:val="2"/>
            <w:tcBorders>
              <w:top w:val="single" w:color="auto" w:sz="12" w:space="0"/>
              <w:left w:val="nil"/>
              <w:bottom w:val="single" w:color="auto" w:sz="4" w:space="0"/>
              <w:right w:val="nil"/>
            </w:tcBorders>
            <w:vAlign w:val="center"/>
          </w:tcPr>
          <w:p w14:paraId="1CD892C7">
            <w:pPr>
              <w:keepNext/>
              <w:snapToGrid w:val="0"/>
              <w:spacing w:line="360" w:lineRule="auto"/>
              <w:jc w:val="center"/>
              <w:rPr>
                <w:rFonts w:ascii="Times New Roman" w:hAnsi="Times New Roman" w:eastAsia="等线" w:cs="Times New Roman"/>
                <w:b/>
                <w:bCs/>
                <w:sz w:val="15"/>
                <w:szCs w:val="15"/>
              </w:rPr>
            </w:pPr>
            <w:r>
              <w:rPr>
                <w:rFonts w:hint="eastAsia" w:ascii="Times New Roman" w:hAnsi="Times New Roman" w:eastAsia="等线" w:cs="Times New Roman"/>
                <w:b/>
                <w:bCs/>
                <w:sz w:val="15"/>
                <w:szCs w:val="15"/>
              </w:rPr>
              <w:t>ClinicalFeatures</w:t>
            </w:r>
          </w:p>
        </w:tc>
        <w:tc>
          <w:tcPr>
            <w:tcW w:w="3896" w:type="dxa"/>
            <w:gridSpan w:val="2"/>
            <w:tcBorders>
              <w:top w:val="single" w:color="auto" w:sz="12" w:space="0"/>
              <w:left w:val="nil"/>
              <w:bottom w:val="single" w:color="auto" w:sz="4" w:space="0"/>
              <w:right w:val="nil"/>
            </w:tcBorders>
            <w:vAlign w:val="center"/>
          </w:tcPr>
          <w:p w14:paraId="3B8398C3">
            <w:pPr>
              <w:keepNext/>
              <w:snapToGrid w:val="0"/>
              <w:spacing w:line="360" w:lineRule="auto"/>
              <w:jc w:val="center"/>
              <w:rPr>
                <w:rFonts w:ascii="Times New Roman" w:hAnsi="Times New Roman" w:eastAsia="等线" w:cs="Times New Roman"/>
                <w:b/>
                <w:bCs/>
                <w:sz w:val="15"/>
                <w:szCs w:val="15"/>
              </w:rPr>
            </w:pPr>
            <w:r>
              <w:rPr>
                <w:rFonts w:hint="eastAsia" w:ascii="Times New Roman" w:hAnsi="Times New Roman" w:eastAsia="等线" w:cs="Times New Roman"/>
                <w:b/>
                <w:bCs/>
                <w:sz w:val="15"/>
                <w:szCs w:val="15"/>
              </w:rPr>
              <w:t>EndoscopicExaminations</w:t>
            </w:r>
          </w:p>
        </w:tc>
        <w:tc>
          <w:tcPr>
            <w:tcW w:w="3394" w:type="dxa"/>
            <w:gridSpan w:val="2"/>
            <w:tcBorders>
              <w:top w:val="single" w:color="auto" w:sz="12" w:space="0"/>
              <w:left w:val="nil"/>
              <w:bottom w:val="single" w:color="auto" w:sz="4" w:space="0"/>
              <w:right w:val="nil"/>
            </w:tcBorders>
            <w:vAlign w:val="center"/>
          </w:tcPr>
          <w:p w14:paraId="42883AB8">
            <w:pPr>
              <w:keepNext/>
              <w:snapToGrid w:val="0"/>
              <w:spacing w:line="360" w:lineRule="auto"/>
              <w:jc w:val="center"/>
              <w:rPr>
                <w:rFonts w:ascii="Times New Roman" w:hAnsi="Times New Roman" w:eastAsia="等线" w:cs="Times New Roman"/>
                <w:b/>
                <w:bCs/>
                <w:sz w:val="15"/>
                <w:szCs w:val="15"/>
              </w:rPr>
            </w:pPr>
            <w:r>
              <w:rPr>
                <w:rFonts w:hint="eastAsia" w:ascii="Times New Roman" w:hAnsi="Times New Roman" w:eastAsia="等线" w:cs="Times New Roman"/>
                <w:b/>
                <w:bCs/>
                <w:sz w:val="15"/>
                <w:szCs w:val="15"/>
              </w:rPr>
              <w:t>PathologicalFindings</w:t>
            </w:r>
          </w:p>
        </w:tc>
      </w:tr>
      <w:tr w14:paraId="07F7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nil"/>
              <w:right w:val="nil"/>
            </w:tcBorders>
            <w:vAlign w:val="center"/>
          </w:tcPr>
          <w:p w14:paraId="0F358AC8">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Male</w:t>
            </w:r>
          </w:p>
        </w:tc>
        <w:tc>
          <w:tcPr>
            <w:tcW w:w="1393" w:type="dxa"/>
            <w:tcBorders>
              <w:top w:val="nil"/>
              <w:left w:val="nil"/>
              <w:bottom w:val="nil"/>
              <w:right w:val="nil"/>
            </w:tcBorders>
            <w:vAlign w:val="center"/>
          </w:tcPr>
          <w:p w14:paraId="1419E5D0">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12</w:t>
            </w:r>
          </w:p>
        </w:tc>
        <w:tc>
          <w:tcPr>
            <w:tcW w:w="2474" w:type="dxa"/>
            <w:tcBorders>
              <w:top w:val="nil"/>
              <w:left w:val="nil"/>
              <w:bottom w:val="nil"/>
              <w:right w:val="nil"/>
            </w:tcBorders>
            <w:vAlign w:val="center"/>
          </w:tcPr>
          <w:p w14:paraId="40921728">
            <w:pPr>
              <w:keepNext/>
              <w:snapToGrid w:val="0"/>
              <w:spacing w:line="360" w:lineRule="auto"/>
              <w:rPr>
                <w:rFonts w:ascii="Times New Roman" w:hAnsi="Times New Roman" w:eastAsia="等线" w:cs="Times New Roman"/>
                <w:sz w:val="15"/>
                <w:szCs w:val="15"/>
              </w:rPr>
            </w:pPr>
            <w:r>
              <w:rPr>
                <w:rFonts w:hint="eastAsia" w:ascii="Times New Roman" w:hAnsi="Times New Roman" w:eastAsia="等线" w:cs="Times New Roman"/>
                <w:sz w:val="15"/>
                <w:szCs w:val="15"/>
              </w:rPr>
              <w:t>Location</w:t>
            </w:r>
          </w:p>
        </w:tc>
        <w:tc>
          <w:tcPr>
            <w:tcW w:w="1422" w:type="dxa"/>
            <w:tcBorders>
              <w:top w:val="nil"/>
              <w:left w:val="nil"/>
              <w:bottom w:val="nil"/>
              <w:right w:val="nil"/>
            </w:tcBorders>
            <w:vAlign w:val="center"/>
          </w:tcPr>
          <w:p w14:paraId="3F8F3505">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Rate (N)</w:t>
            </w:r>
          </w:p>
        </w:tc>
        <w:tc>
          <w:tcPr>
            <w:tcW w:w="2226" w:type="dxa"/>
            <w:tcBorders>
              <w:top w:val="nil"/>
              <w:left w:val="nil"/>
              <w:bottom w:val="nil"/>
              <w:right w:val="nil"/>
            </w:tcBorders>
            <w:vAlign w:val="center"/>
          </w:tcPr>
          <w:p w14:paraId="73F1D256">
            <w:pPr>
              <w:keepNext/>
              <w:snapToGrid w:val="0"/>
              <w:spacing w:line="360" w:lineRule="auto"/>
              <w:rPr>
                <w:rFonts w:ascii="Times New Roman" w:hAnsi="Times New Roman" w:eastAsia="等线" w:cs="Times New Roman"/>
                <w:sz w:val="15"/>
                <w:szCs w:val="15"/>
              </w:rPr>
            </w:pPr>
            <w:r>
              <w:rPr>
                <w:rFonts w:hint="eastAsia" w:ascii="Times New Roman" w:hAnsi="Times New Roman" w:eastAsia="等线" w:cs="Times New Roman"/>
                <w:sz w:val="15"/>
                <w:szCs w:val="15"/>
              </w:rPr>
              <w:t>A</w:t>
            </w:r>
            <w:r>
              <w:rPr>
                <w:rFonts w:ascii="Times New Roman" w:hAnsi="Times New Roman" w:eastAsia="等线" w:cs="Times New Roman"/>
                <w:sz w:val="15"/>
                <w:szCs w:val="15"/>
              </w:rPr>
              <w:t>mount</w:t>
            </w:r>
            <w:r>
              <w:rPr>
                <w:rFonts w:hint="eastAsia" w:ascii="Times New Roman" w:hAnsi="Times New Roman" w:eastAsia="等线" w:cs="Times New Roman"/>
                <w:sz w:val="15"/>
                <w:szCs w:val="15"/>
              </w:rPr>
              <w:t xml:space="preserve"> of t</w:t>
            </w:r>
            <w:r>
              <w:rPr>
                <w:rFonts w:ascii="Times New Roman" w:hAnsi="Times New Roman" w:eastAsia="等线" w:cs="Times New Roman"/>
                <w:sz w:val="15"/>
                <w:szCs w:val="15"/>
              </w:rPr>
              <w:t>rophozoites</w:t>
            </w:r>
          </w:p>
        </w:tc>
        <w:tc>
          <w:tcPr>
            <w:tcW w:w="1168" w:type="dxa"/>
            <w:tcBorders>
              <w:top w:val="nil"/>
              <w:left w:val="nil"/>
              <w:bottom w:val="nil"/>
              <w:right w:val="nil"/>
            </w:tcBorders>
            <w:vAlign w:val="center"/>
          </w:tcPr>
          <w:p w14:paraId="1F1F1F10">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Rate (N)</w:t>
            </w:r>
          </w:p>
        </w:tc>
      </w:tr>
      <w:tr w14:paraId="6F03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nil"/>
              <w:right w:val="nil"/>
            </w:tcBorders>
            <w:vAlign w:val="center"/>
          </w:tcPr>
          <w:p w14:paraId="371DDA3F">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MSM</w:t>
            </w:r>
          </w:p>
        </w:tc>
        <w:tc>
          <w:tcPr>
            <w:tcW w:w="1393" w:type="dxa"/>
            <w:tcBorders>
              <w:top w:val="nil"/>
              <w:left w:val="nil"/>
              <w:bottom w:val="nil"/>
              <w:right w:val="nil"/>
            </w:tcBorders>
            <w:vAlign w:val="center"/>
          </w:tcPr>
          <w:p w14:paraId="0F4A71CA">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58.3%(7/12)</w:t>
            </w:r>
          </w:p>
        </w:tc>
        <w:tc>
          <w:tcPr>
            <w:tcW w:w="2474" w:type="dxa"/>
            <w:tcBorders>
              <w:top w:val="nil"/>
              <w:left w:val="nil"/>
              <w:bottom w:val="nil"/>
              <w:right w:val="nil"/>
            </w:tcBorders>
            <w:vAlign w:val="center"/>
          </w:tcPr>
          <w:p w14:paraId="35FC1020">
            <w:pPr>
              <w:snapToGrid w:val="0"/>
              <w:spacing w:line="360" w:lineRule="auto"/>
              <w:ind w:firstLine="300" w:firstLineChars="200"/>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Ileocecal junction</w:t>
            </w:r>
          </w:p>
        </w:tc>
        <w:tc>
          <w:tcPr>
            <w:tcW w:w="1422" w:type="dxa"/>
            <w:tcBorders>
              <w:top w:val="nil"/>
              <w:left w:val="nil"/>
              <w:bottom w:val="nil"/>
              <w:right w:val="nil"/>
            </w:tcBorders>
            <w:vAlign w:val="center"/>
          </w:tcPr>
          <w:p w14:paraId="220368E1">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75%(8/12)</w:t>
            </w:r>
          </w:p>
        </w:tc>
        <w:tc>
          <w:tcPr>
            <w:tcW w:w="2226" w:type="dxa"/>
            <w:tcBorders>
              <w:top w:val="nil"/>
              <w:left w:val="nil"/>
              <w:bottom w:val="nil"/>
              <w:right w:val="nil"/>
            </w:tcBorders>
            <w:shd w:val="clear" w:color="auto" w:fill="auto"/>
            <w:vAlign w:val="center"/>
          </w:tcPr>
          <w:p w14:paraId="77DB3DA0">
            <w:pPr>
              <w:keepNext/>
              <w:snapToGrid w:val="0"/>
              <w:spacing w:line="36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Occasional</w:t>
            </w:r>
            <w:r>
              <w:rPr>
                <w:rFonts w:hint="eastAsia" w:ascii="Times New Roman" w:hAnsi="Times New Roman" w:eastAsia="等线" w:cs="Times New Roman"/>
                <w:sz w:val="15"/>
                <w:szCs w:val="15"/>
              </w:rPr>
              <w:t xml:space="preserve"> t</w:t>
            </w:r>
            <w:r>
              <w:rPr>
                <w:rFonts w:ascii="Times New Roman" w:hAnsi="Times New Roman" w:eastAsia="等线" w:cs="Times New Roman"/>
                <w:sz w:val="15"/>
                <w:szCs w:val="15"/>
              </w:rPr>
              <w:t>rophozoites</w:t>
            </w:r>
          </w:p>
        </w:tc>
        <w:tc>
          <w:tcPr>
            <w:tcW w:w="1168" w:type="dxa"/>
            <w:tcBorders>
              <w:top w:val="nil"/>
              <w:left w:val="nil"/>
              <w:bottom w:val="nil"/>
              <w:right w:val="nil"/>
            </w:tcBorders>
            <w:shd w:val="clear" w:color="auto" w:fill="auto"/>
            <w:vAlign w:val="center"/>
          </w:tcPr>
          <w:p w14:paraId="30D824AD">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33.3%(4/12)</w:t>
            </w:r>
          </w:p>
        </w:tc>
      </w:tr>
      <w:tr w14:paraId="6E17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nil"/>
              <w:right w:val="nil"/>
            </w:tcBorders>
            <w:shd w:val="clear" w:color="auto" w:fill="auto"/>
            <w:vAlign w:val="center"/>
          </w:tcPr>
          <w:p w14:paraId="023F9FBC">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Female</w:t>
            </w:r>
          </w:p>
        </w:tc>
        <w:tc>
          <w:tcPr>
            <w:tcW w:w="1393" w:type="dxa"/>
            <w:tcBorders>
              <w:top w:val="nil"/>
              <w:left w:val="nil"/>
              <w:bottom w:val="nil"/>
              <w:right w:val="nil"/>
            </w:tcBorders>
            <w:shd w:val="clear" w:color="auto" w:fill="auto"/>
            <w:vAlign w:val="center"/>
          </w:tcPr>
          <w:p w14:paraId="5DDF99C8">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0</w:t>
            </w:r>
          </w:p>
        </w:tc>
        <w:tc>
          <w:tcPr>
            <w:tcW w:w="2474" w:type="dxa"/>
            <w:tcBorders>
              <w:top w:val="nil"/>
              <w:left w:val="nil"/>
              <w:bottom w:val="nil"/>
              <w:right w:val="nil"/>
            </w:tcBorders>
            <w:vAlign w:val="center"/>
          </w:tcPr>
          <w:p w14:paraId="661B671F">
            <w:pPr>
              <w:keepNext/>
              <w:snapToGrid w:val="0"/>
              <w:spacing w:line="360" w:lineRule="auto"/>
              <w:ind w:firstLine="750" w:firstLineChars="500"/>
              <w:rPr>
                <w:rFonts w:ascii="Times New Roman" w:hAnsi="Times New Roman" w:eastAsia="等线" w:cs="Times New Roman"/>
                <w:sz w:val="15"/>
                <w:szCs w:val="15"/>
              </w:rPr>
            </w:pPr>
            <w:r>
              <w:rPr>
                <w:rFonts w:hint="eastAsia" w:ascii="Times New Roman" w:hAnsi="Times New Roman" w:eastAsia="等线" w:cs="Times New Roman"/>
                <w:sz w:val="15"/>
                <w:szCs w:val="15"/>
              </w:rPr>
              <w:t>Rectum</w:t>
            </w:r>
          </w:p>
        </w:tc>
        <w:tc>
          <w:tcPr>
            <w:tcW w:w="1422" w:type="dxa"/>
            <w:tcBorders>
              <w:top w:val="nil"/>
              <w:left w:val="nil"/>
              <w:bottom w:val="nil"/>
              <w:right w:val="nil"/>
            </w:tcBorders>
            <w:vAlign w:val="center"/>
          </w:tcPr>
          <w:p w14:paraId="444FFC75">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50%(6/12)</w:t>
            </w:r>
          </w:p>
        </w:tc>
        <w:tc>
          <w:tcPr>
            <w:tcW w:w="2226" w:type="dxa"/>
            <w:tcBorders>
              <w:top w:val="nil"/>
              <w:left w:val="nil"/>
              <w:bottom w:val="nil"/>
              <w:right w:val="nil"/>
            </w:tcBorders>
            <w:shd w:val="clear" w:color="auto" w:fill="auto"/>
            <w:vAlign w:val="center"/>
          </w:tcPr>
          <w:p w14:paraId="4B94F96F">
            <w:pPr>
              <w:keepNext/>
              <w:snapToGrid w:val="0"/>
              <w:spacing w:line="36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Moderate</w:t>
            </w:r>
            <w:r>
              <w:rPr>
                <w:rFonts w:hint="eastAsia" w:ascii="Times New Roman" w:hAnsi="Times New Roman" w:eastAsia="等线" w:cs="Times New Roman"/>
                <w:sz w:val="15"/>
                <w:szCs w:val="15"/>
              </w:rPr>
              <w:t xml:space="preserve"> </w:t>
            </w:r>
            <w:r>
              <w:rPr>
                <w:rFonts w:ascii="Times New Roman" w:hAnsi="Times New Roman" w:eastAsia="等线" w:cs="Times New Roman"/>
                <w:sz w:val="15"/>
                <w:szCs w:val="15"/>
              </w:rPr>
              <w:t>trophozoites</w:t>
            </w:r>
          </w:p>
        </w:tc>
        <w:tc>
          <w:tcPr>
            <w:tcW w:w="1168" w:type="dxa"/>
            <w:tcBorders>
              <w:top w:val="nil"/>
              <w:left w:val="nil"/>
              <w:bottom w:val="nil"/>
              <w:right w:val="nil"/>
            </w:tcBorders>
            <w:shd w:val="clear" w:color="auto" w:fill="auto"/>
            <w:vAlign w:val="center"/>
          </w:tcPr>
          <w:p w14:paraId="2D31E480">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41.7%(5/12)</w:t>
            </w:r>
          </w:p>
        </w:tc>
      </w:tr>
      <w:tr w14:paraId="5635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nil"/>
              <w:right w:val="nil"/>
            </w:tcBorders>
            <w:shd w:val="clear" w:color="auto" w:fill="auto"/>
            <w:vAlign w:val="center"/>
          </w:tcPr>
          <w:p w14:paraId="24F10155">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Age</w:t>
            </w:r>
          </w:p>
        </w:tc>
        <w:tc>
          <w:tcPr>
            <w:tcW w:w="1393" w:type="dxa"/>
            <w:tcBorders>
              <w:top w:val="nil"/>
              <w:left w:val="nil"/>
              <w:bottom w:val="nil"/>
              <w:right w:val="nil"/>
            </w:tcBorders>
            <w:shd w:val="clear" w:color="auto" w:fill="auto"/>
            <w:vAlign w:val="center"/>
          </w:tcPr>
          <w:p w14:paraId="4CCCCF27">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28-44</w:t>
            </w:r>
          </w:p>
        </w:tc>
        <w:tc>
          <w:tcPr>
            <w:tcW w:w="2474" w:type="dxa"/>
            <w:tcBorders>
              <w:top w:val="nil"/>
              <w:left w:val="nil"/>
              <w:bottom w:val="nil"/>
              <w:right w:val="nil"/>
            </w:tcBorders>
            <w:vAlign w:val="center"/>
          </w:tcPr>
          <w:p w14:paraId="6833EAA0">
            <w:pPr>
              <w:keepNext/>
              <w:snapToGrid w:val="0"/>
              <w:spacing w:line="360" w:lineRule="auto"/>
              <w:ind w:firstLine="750" w:firstLineChars="500"/>
              <w:rPr>
                <w:rFonts w:ascii="Times New Roman" w:hAnsi="Times New Roman" w:eastAsia="等线" w:cs="Times New Roman"/>
                <w:sz w:val="15"/>
                <w:szCs w:val="15"/>
              </w:rPr>
            </w:pPr>
            <w:r>
              <w:rPr>
                <w:rFonts w:hint="eastAsia" w:ascii="Times New Roman" w:hAnsi="Times New Roman" w:eastAsia="等线" w:cs="Times New Roman"/>
                <w:sz w:val="15"/>
                <w:szCs w:val="15"/>
              </w:rPr>
              <w:t xml:space="preserve">Total colon </w:t>
            </w:r>
          </w:p>
        </w:tc>
        <w:tc>
          <w:tcPr>
            <w:tcW w:w="1422" w:type="dxa"/>
            <w:tcBorders>
              <w:top w:val="nil"/>
              <w:left w:val="nil"/>
              <w:bottom w:val="nil"/>
              <w:right w:val="nil"/>
            </w:tcBorders>
            <w:vAlign w:val="center"/>
          </w:tcPr>
          <w:p w14:paraId="2ABCE5B3">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25%(3/12)</w:t>
            </w:r>
          </w:p>
        </w:tc>
        <w:tc>
          <w:tcPr>
            <w:tcW w:w="2226" w:type="dxa"/>
            <w:tcBorders>
              <w:top w:val="nil"/>
              <w:left w:val="nil"/>
              <w:bottom w:val="nil"/>
              <w:right w:val="nil"/>
            </w:tcBorders>
            <w:shd w:val="clear" w:color="auto" w:fill="auto"/>
            <w:vAlign w:val="center"/>
          </w:tcPr>
          <w:p w14:paraId="2BC4DB3F">
            <w:pPr>
              <w:keepNext/>
              <w:snapToGrid w:val="0"/>
              <w:spacing w:line="360" w:lineRule="auto"/>
              <w:jc w:val="center"/>
              <w:rPr>
                <w:rFonts w:ascii="Times New Roman" w:hAnsi="Times New Roman" w:eastAsia="等线" w:cs="Times New Roman"/>
                <w:sz w:val="15"/>
                <w:szCs w:val="15"/>
              </w:rPr>
            </w:pPr>
            <w:r>
              <w:rPr>
                <w:rFonts w:ascii="Times New Roman" w:hAnsi="Times New Roman" w:eastAsia="等线" w:cs="Times New Roman"/>
                <w:sz w:val="15"/>
                <w:szCs w:val="15"/>
              </w:rPr>
              <w:t>Abundant</w:t>
            </w:r>
            <w:r>
              <w:rPr>
                <w:rFonts w:hint="eastAsia" w:ascii="Times New Roman" w:hAnsi="Times New Roman" w:eastAsia="等线" w:cs="Times New Roman"/>
                <w:sz w:val="15"/>
                <w:szCs w:val="15"/>
              </w:rPr>
              <w:t xml:space="preserve"> t</w:t>
            </w:r>
            <w:r>
              <w:rPr>
                <w:rFonts w:ascii="Times New Roman" w:hAnsi="Times New Roman" w:eastAsia="等线" w:cs="Times New Roman"/>
                <w:sz w:val="15"/>
                <w:szCs w:val="15"/>
              </w:rPr>
              <w:t>rophozoites</w:t>
            </w:r>
          </w:p>
        </w:tc>
        <w:tc>
          <w:tcPr>
            <w:tcW w:w="1168" w:type="dxa"/>
            <w:tcBorders>
              <w:top w:val="nil"/>
              <w:left w:val="nil"/>
              <w:bottom w:val="nil"/>
              <w:right w:val="nil"/>
            </w:tcBorders>
            <w:shd w:val="clear" w:color="auto" w:fill="auto"/>
            <w:vAlign w:val="center"/>
          </w:tcPr>
          <w:p w14:paraId="3A1BC3D9">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16.7%(2/12)</w:t>
            </w:r>
          </w:p>
        </w:tc>
      </w:tr>
      <w:tr w14:paraId="66F78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nil"/>
              <w:right w:val="nil"/>
            </w:tcBorders>
            <w:shd w:val="clear" w:color="auto" w:fill="auto"/>
            <w:vAlign w:val="center"/>
          </w:tcPr>
          <w:p w14:paraId="50E609D7">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Mean±SD</w:t>
            </w:r>
          </w:p>
        </w:tc>
        <w:tc>
          <w:tcPr>
            <w:tcW w:w="1393" w:type="dxa"/>
            <w:tcBorders>
              <w:top w:val="nil"/>
              <w:left w:val="nil"/>
              <w:bottom w:val="nil"/>
              <w:right w:val="nil"/>
            </w:tcBorders>
            <w:shd w:val="clear" w:color="auto" w:fill="auto"/>
            <w:vAlign w:val="center"/>
          </w:tcPr>
          <w:p w14:paraId="24145107">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35.1±5.76</w:t>
            </w:r>
          </w:p>
        </w:tc>
        <w:tc>
          <w:tcPr>
            <w:tcW w:w="2474" w:type="dxa"/>
            <w:tcBorders>
              <w:top w:val="nil"/>
              <w:left w:val="nil"/>
              <w:bottom w:val="nil"/>
              <w:right w:val="nil"/>
            </w:tcBorders>
            <w:vAlign w:val="center"/>
          </w:tcPr>
          <w:p w14:paraId="3A753DCE">
            <w:pPr>
              <w:keepNext/>
              <w:snapToGrid w:val="0"/>
              <w:spacing w:line="360" w:lineRule="auto"/>
              <w:ind w:firstLine="750" w:firstLineChars="500"/>
              <w:rPr>
                <w:rFonts w:ascii="Times New Roman" w:hAnsi="Times New Roman" w:eastAsia="等线" w:cs="Times New Roman"/>
                <w:sz w:val="15"/>
                <w:szCs w:val="15"/>
              </w:rPr>
            </w:pPr>
            <w:r>
              <w:rPr>
                <w:rFonts w:hint="eastAsia" w:ascii="Times New Roman" w:hAnsi="Times New Roman" w:eastAsia="等线" w:cs="Times New Roman"/>
                <w:sz w:val="15"/>
                <w:szCs w:val="15"/>
              </w:rPr>
              <w:t>Descending colon</w:t>
            </w:r>
          </w:p>
        </w:tc>
        <w:tc>
          <w:tcPr>
            <w:tcW w:w="1422" w:type="dxa"/>
            <w:tcBorders>
              <w:top w:val="nil"/>
              <w:left w:val="nil"/>
              <w:bottom w:val="nil"/>
              <w:right w:val="nil"/>
            </w:tcBorders>
            <w:vAlign w:val="center"/>
          </w:tcPr>
          <w:p w14:paraId="3ED0CD85">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16.7%(2/12)</w:t>
            </w:r>
          </w:p>
        </w:tc>
        <w:tc>
          <w:tcPr>
            <w:tcW w:w="2226" w:type="dxa"/>
            <w:tcBorders>
              <w:top w:val="nil"/>
              <w:left w:val="nil"/>
              <w:bottom w:val="nil"/>
              <w:right w:val="nil"/>
            </w:tcBorders>
            <w:vAlign w:val="center"/>
          </w:tcPr>
          <w:p w14:paraId="6B693E4E">
            <w:pPr>
              <w:keepNext/>
              <w:snapToGrid w:val="0"/>
              <w:spacing w:line="360" w:lineRule="auto"/>
              <w:jc w:val="center"/>
              <w:rPr>
                <w:rFonts w:ascii="Times New Roman" w:hAnsi="Times New Roman" w:eastAsia="等线" w:cs="Times New Roman"/>
                <w:sz w:val="15"/>
                <w:szCs w:val="15"/>
              </w:rPr>
            </w:pPr>
          </w:p>
        </w:tc>
        <w:tc>
          <w:tcPr>
            <w:tcW w:w="1168" w:type="dxa"/>
            <w:tcBorders>
              <w:top w:val="nil"/>
              <w:left w:val="nil"/>
              <w:bottom w:val="nil"/>
              <w:right w:val="nil"/>
            </w:tcBorders>
            <w:vAlign w:val="center"/>
          </w:tcPr>
          <w:p w14:paraId="3F88321E">
            <w:pPr>
              <w:keepNext/>
              <w:snapToGrid w:val="0"/>
              <w:spacing w:line="360" w:lineRule="auto"/>
              <w:jc w:val="center"/>
              <w:rPr>
                <w:rFonts w:ascii="Times New Roman" w:hAnsi="Times New Roman" w:eastAsia="等线" w:cs="Times New Roman"/>
                <w:sz w:val="15"/>
                <w:szCs w:val="15"/>
              </w:rPr>
            </w:pPr>
          </w:p>
        </w:tc>
      </w:tr>
      <w:tr w14:paraId="5F4A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nil"/>
              <w:right w:val="nil"/>
            </w:tcBorders>
            <w:shd w:val="clear" w:color="auto" w:fill="auto"/>
            <w:vAlign w:val="center"/>
          </w:tcPr>
          <w:p w14:paraId="40C6D9AD">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Diarrhea</w:t>
            </w:r>
          </w:p>
        </w:tc>
        <w:tc>
          <w:tcPr>
            <w:tcW w:w="1393" w:type="dxa"/>
            <w:tcBorders>
              <w:top w:val="nil"/>
              <w:left w:val="nil"/>
              <w:bottom w:val="nil"/>
              <w:right w:val="nil"/>
            </w:tcBorders>
            <w:shd w:val="clear" w:color="auto" w:fill="auto"/>
            <w:vAlign w:val="center"/>
          </w:tcPr>
          <w:p w14:paraId="2799A056">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75%(9/12)</w:t>
            </w:r>
          </w:p>
        </w:tc>
        <w:tc>
          <w:tcPr>
            <w:tcW w:w="2474" w:type="dxa"/>
            <w:tcBorders>
              <w:top w:val="nil"/>
              <w:left w:val="nil"/>
              <w:bottom w:val="nil"/>
              <w:right w:val="nil"/>
            </w:tcBorders>
            <w:vAlign w:val="center"/>
          </w:tcPr>
          <w:p w14:paraId="4BA8B897">
            <w:pPr>
              <w:keepNext/>
              <w:snapToGrid w:val="0"/>
              <w:spacing w:line="360" w:lineRule="auto"/>
              <w:ind w:firstLine="750" w:firstLineChars="500"/>
              <w:rPr>
                <w:rFonts w:ascii="Times New Roman" w:hAnsi="Times New Roman" w:eastAsia="等线" w:cs="Times New Roman"/>
                <w:sz w:val="15"/>
                <w:szCs w:val="15"/>
              </w:rPr>
            </w:pPr>
            <w:r>
              <w:rPr>
                <w:rFonts w:hint="eastAsia" w:ascii="Times New Roman" w:hAnsi="Times New Roman" w:eastAsia="等线" w:cs="Times New Roman"/>
                <w:sz w:val="15"/>
                <w:szCs w:val="15"/>
              </w:rPr>
              <w:t>Transverse colon</w:t>
            </w:r>
          </w:p>
        </w:tc>
        <w:tc>
          <w:tcPr>
            <w:tcW w:w="1422" w:type="dxa"/>
            <w:tcBorders>
              <w:top w:val="nil"/>
              <w:left w:val="nil"/>
              <w:bottom w:val="nil"/>
              <w:right w:val="nil"/>
            </w:tcBorders>
            <w:vAlign w:val="center"/>
          </w:tcPr>
          <w:p w14:paraId="22BE5F49">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25%(3/12)</w:t>
            </w:r>
          </w:p>
        </w:tc>
        <w:tc>
          <w:tcPr>
            <w:tcW w:w="2226" w:type="dxa"/>
            <w:tcBorders>
              <w:top w:val="nil"/>
              <w:left w:val="nil"/>
              <w:bottom w:val="nil"/>
              <w:right w:val="nil"/>
            </w:tcBorders>
            <w:vAlign w:val="center"/>
          </w:tcPr>
          <w:p w14:paraId="7C5A329B">
            <w:pPr>
              <w:keepNext/>
              <w:snapToGrid w:val="0"/>
              <w:spacing w:line="360" w:lineRule="auto"/>
              <w:jc w:val="center"/>
              <w:rPr>
                <w:rFonts w:ascii="Times New Roman" w:hAnsi="Times New Roman" w:eastAsia="等线" w:cs="Times New Roman"/>
                <w:sz w:val="15"/>
                <w:szCs w:val="15"/>
              </w:rPr>
            </w:pPr>
          </w:p>
        </w:tc>
        <w:tc>
          <w:tcPr>
            <w:tcW w:w="1168" w:type="dxa"/>
            <w:tcBorders>
              <w:top w:val="nil"/>
              <w:left w:val="nil"/>
              <w:bottom w:val="nil"/>
              <w:right w:val="nil"/>
            </w:tcBorders>
            <w:vAlign w:val="center"/>
          </w:tcPr>
          <w:p w14:paraId="2B546244">
            <w:pPr>
              <w:keepNext/>
              <w:snapToGrid w:val="0"/>
              <w:spacing w:line="360" w:lineRule="auto"/>
              <w:jc w:val="center"/>
              <w:rPr>
                <w:rFonts w:ascii="Times New Roman" w:hAnsi="Times New Roman" w:eastAsia="等线" w:cs="Times New Roman"/>
                <w:sz w:val="15"/>
                <w:szCs w:val="15"/>
              </w:rPr>
            </w:pPr>
          </w:p>
        </w:tc>
      </w:tr>
      <w:tr w14:paraId="21A4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nil"/>
              <w:right w:val="nil"/>
            </w:tcBorders>
            <w:shd w:val="clear" w:color="auto" w:fill="auto"/>
            <w:vAlign w:val="center"/>
          </w:tcPr>
          <w:p w14:paraId="49CBA5E1">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 xml:space="preserve"> </w:t>
            </w:r>
            <w:r>
              <w:rPr>
                <w:rFonts w:hint="eastAsia" w:ascii="Times New Roman" w:hAnsi="Times New Roman" w:eastAsia="等线" w:cs="Times New Roman"/>
                <w:sz w:val="15"/>
                <w:szCs w:val="15"/>
                <w:lang w:val="en-US" w:eastAsia="zh-CN"/>
              </w:rPr>
              <w:t>A</w:t>
            </w:r>
            <w:r>
              <w:rPr>
                <w:rFonts w:hint="eastAsia" w:ascii="Times New Roman" w:hAnsi="Times New Roman" w:eastAsia="等线" w:cs="Times New Roman"/>
                <w:sz w:val="15"/>
                <w:szCs w:val="15"/>
              </w:rPr>
              <w:t>bdominal pain</w:t>
            </w:r>
          </w:p>
        </w:tc>
        <w:tc>
          <w:tcPr>
            <w:tcW w:w="1393" w:type="dxa"/>
            <w:tcBorders>
              <w:top w:val="nil"/>
              <w:left w:val="nil"/>
              <w:bottom w:val="nil"/>
              <w:right w:val="nil"/>
            </w:tcBorders>
            <w:shd w:val="clear" w:color="auto" w:fill="auto"/>
            <w:vAlign w:val="center"/>
          </w:tcPr>
          <w:p w14:paraId="24A78DF8">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66.7%(8/12)</w:t>
            </w:r>
          </w:p>
        </w:tc>
        <w:tc>
          <w:tcPr>
            <w:tcW w:w="2474" w:type="dxa"/>
            <w:tcBorders>
              <w:top w:val="nil"/>
              <w:left w:val="nil"/>
              <w:bottom w:val="nil"/>
              <w:right w:val="nil"/>
            </w:tcBorders>
            <w:vAlign w:val="center"/>
          </w:tcPr>
          <w:p w14:paraId="4AFE25C8">
            <w:pPr>
              <w:keepNext/>
              <w:snapToGrid w:val="0"/>
              <w:spacing w:line="360" w:lineRule="auto"/>
              <w:ind w:firstLine="750" w:firstLineChars="500"/>
              <w:rPr>
                <w:rFonts w:ascii="Times New Roman" w:hAnsi="Times New Roman" w:eastAsia="等线" w:cs="Times New Roman"/>
                <w:sz w:val="15"/>
                <w:szCs w:val="15"/>
              </w:rPr>
            </w:pPr>
            <w:r>
              <w:rPr>
                <w:rFonts w:hint="eastAsia" w:ascii="Times New Roman" w:hAnsi="Times New Roman" w:eastAsia="等线" w:cs="Times New Roman"/>
                <w:sz w:val="15"/>
                <w:szCs w:val="15"/>
              </w:rPr>
              <w:t>Sigmoid colon</w:t>
            </w:r>
          </w:p>
        </w:tc>
        <w:tc>
          <w:tcPr>
            <w:tcW w:w="1422" w:type="dxa"/>
            <w:tcBorders>
              <w:top w:val="nil"/>
              <w:left w:val="nil"/>
              <w:bottom w:val="nil"/>
              <w:right w:val="nil"/>
            </w:tcBorders>
            <w:vAlign w:val="center"/>
          </w:tcPr>
          <w:p w14:paraId="12FC3676">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8.3%(1/12)</w:t>
            </w:r>
          </w:p>
        </w:tc>
        <w:tc>
          <w:tcPr>
            <w:tcW w:w="2226" w:type="dxa"/>
            <w:tcBorders>
              <w:top w:val="nil"/>
              <w:left w:val="nil"/>
              <w:bottom w:val="nil"/>
              <w:right w:val="nil"/>
            </w:tcBorders>
            <w:vAlign w:val="center"/>
          </w:tcPr>
          <w:p w14:paraId="70C2074F">
            <w:pPr>
              <w:keepNext/>
              <w:snapToGrid w:val="0"/>
              <w:spacing w:line="360" w:lineRule="auto"/>
              <w:jc w:val="center"/>
              <w:rPr>
                <w:rFonts w:ascii="Times New Roman" w:hAnsi="Times New Roman" w:eastAsia="等线" w:cs="Times New Roman"/>
                <w:sz w:val="15"/>
                <w:szCs w:val="15"/>
              </w:rPr>
            </w:pPr>
          </w:p>
        </w:tc>
        <w:tc>
          <w:tcPr>
            <w:tcW w:w="1168" w:type="dxa"/>
            <w:tcBorders>
              <w:top w:val="nil"/>
              <w:left w:val="nil"/>
              <w:bottom w:val="nil"/>
              <w:right w:val="nil"/>
            </w:tcBorders>
            <w:vAlign w:val="center"/>
          </w:tcPr>
          <w:p w14:paraId="5E9F559D">
            <w:pPr>
              <w:keepNext/>
              <w:snapToGrid w:val="0"/>
              <w:spacing w:line="360" w:lineRule="auto"/>
              <w:jc w:val="center"/>
              <w:rPr>
                <w:rFonts w:ascii="Times New Roman" w:hAnsi="Times New Roman" w:eastAsia="等线" w:cs="Times New Roman"/>
                <w:sz w:val="15"/>
                <w:szCs w:val="15"/>
              </w:rPr>
            </w:pPr>
          </w:p>
        </w:tc>
      </w:tr>
      <w:tr w14:paraId="1CBD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nil"/>
              <w:right w:val="nil"/>
            </w:tcBorders>
            <w:shd w:val="clear" w:color="auto" w:fill="auto"/>
            <w:vAlign w:val="center"/>
          </w:tcPr>
          <w:p w14:paraId="3580000C">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Bloody stool</w:t>
            </w:r>
          </w:p>
        </w:tc>
        <w:tc>
          <w:tcPr>
            <w:tcW w:w="1393" w:type="dxa"/>
            <w:tcBorders>
              <w:top w:val="nil"/>
              <w:left w:val="nil"/>
              <w:bottom w:val="nil"/>
              <w:right w:val="nil"/>
            </w:tcBorders>
            <w:shd w:val="clear" w:color="auto" w:fill="auto"/>
            <w:vAlign w:val="center"/>
          </w:tcPr>
          <w:p w14:paraId="0A8EA5C1">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58.3%(7/12)</w:t>
            </w:r>
          </w:p>
        </w:tc>
        <w:tc>
          <w:tcPr>
            <w:tcW w:w="2474" w:type="dxa"/>
            <w:tcBorders>
              <w:top w:val="nil"/>
              <w:left w:val="nil"/>
              <w:bottom w:val="nil"/>
              <w:right w:val="nil"/>
            </w:tcBorders>
            <w:vAlign w:val="center"/>
          </w:tcPr>
          <w:p w14:paraId="1D7984FA">
            <w:pPr>
              <w:keepNext/>
              <w:snapToGrid w:val="0"/>
              <w:spacing w:line="360" w:lineRule="auto"/>
              <w:ind w:firstLine="750" w:firstLineChars="500"/>
              <w:rPr>
                <w:rFonts w:ascii="Times New Roman" w:hAnsi="Times New Roman" w:eastAsia="等线" w:cs="Times New Roman"/>
                <w:sz w:val="15"/>
                <w:szCs w:val="15"/>
              </w:rPr>
            </w:pPr>
            <w:r>
              <w:rPr>
                <w:rFonts w:hint="eastAsia" w:ascii="Times New Roman" w:hAnsi="Times New Roman" w:eastAsia="等线" w:cs="Times New Roman"/>
                <w:sz w:val="15"/>
                <w:szCs w:val="15"/>
              </w:rPr>
              <w:t>Distal ileum</w:t>
            </w:r>
          </w:p>
        </w:tc>
        <w:tc>
          <w:tcPr>
            <w:tcW w:w="1422" w:type="dxa"/>
            <w:tcBorders>
              <w:top w:val="nil"/>
              <w:left w:val="nil"/>
              <w:bottom w:val="nil"/>
              <w:right w:val="nil"/>
            </w:tcBorders>
            <w:vAlign w:val="center"/>
          </w:tcPr>
          <w:p w14:paraId="59EF3692">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8.3%(1/12)</w:t>
            </w:r>
          </w:p>
        </w:tc>
        <w:tc>
          <w:tcPr>
            <w:tcW w:w="2226" w:type="dxa"/>
            <w:tcBorders>
              <w:top w:val="nil"/>
              <w:left w:val="nil"/>
              <w:bottom w:val="nil"/>
              <w:right w:val="nil"/>
            </w:tcBorders>
            <w:vAlign w:val="center"/>
          </w:tcPr>
          <w:p w14:paraId="490D7161">
            <w:pPr>
              <w:keepNext/>
              <w:snapToGrid w:val="0"/>
              <w:spacing w:line="360" w:lineRule="auto"/>
              <w:jc w:val="center"/>
              <w:rPr>
                <w:rFonts w:ascii="Times New Roman" w:hAnsi="Times New Roman" w:eastAsia="等线" w:cs="Times New Roman"/>
                <w:sz w:val="15"/>
                <w:szCs w:val="15"/>
              </w:rPr>
            </w:pPr>
          </w:p>
        </w:tc>
        <w:tc>
          <w:tcPr>
            <w:tcW w:w="1168" w:type="dxa"/>
            <w:tcBorders>
              <w:top w:val="nil"/>
              <w:left w:val="nil"/>
              <w:bottom w:val="nil"/>
              <w:right w:val="nil"/>
            </w:tcBorders>
            <w:vAlign w:val="center"/>
          </w:tcPr>
          <w:p w14:paraId="23C3771F">
            <w:pPr>
              <w:keepNext/>
              <w:snapToGrid w:val="0"/>
              <w:spacing w:line="360" w:lineRule="auto"/>
              <w:jc w:val="center"/>
              <w:rPr>
                <w:rFonts w:ascii="Times New Roman" w:hAnsi="Times New Roman" w:eastAsia="等线" w:cs="Times New Roman"/>
                <w:sz w:val="15"/>
                <w:szCs w:val="15"/>
              </w:rPr>
            </w:pPr>
          </w:p>
        </w:tc>
      </w:tr>
      <w:tr w14:paraId="2795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nil"/>
              <w:right w:val="nil"/>
            </w:tcBorders>
            <w:shd w:val="clear" w:color="auto" w:fill="auto"/>
            <w:vAlign w:val="center"/>
          </w:tcPr>
          <w:p w14:paraId="34CD324D">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 xml:space="preserve">Currant jelly stool </w:t>
            </w:r>
            <w:r>
              <w:rPr>
                <w:rFonts w:ascii="Times New Roman" w:hAnsi="Times New Roman" w:eastAsia="等线" w:cs="Times New Roman"/>
                <w:sz w:val="15"/>
                <w:szCs w:val="15"/>
              </w:rPr>
              <w:t>with foul odor</w:t>
            </w:r>
          </w:p>
        </w:tc>
        <w:tc>
          <w:tcPr>
            <w:tcW w:w="1393" w:type="dxa"/>
            <w:tcBorders>
              <w:top w:val="nil"/>
              <w:left w:val="nil"/>
              <w:bottom w:val="nil"/>
              <w:right w:val="nil"/>
            </w:tcBorders>
            <w:shd w:val="clear" w:color="auto" w:fill="auto"/>
            <w:vAlign w:val="center"/>
          </w:tcPr>
          <w:p w14:paraId="3F0F7F0D">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16.7%(2/12)</w:t>
            </w:r>
          </w:p>
        </w:tc>
        <w:tc>
          <w:tcPr>
            <w:tcW w:w="2474" w:type="dxa"/>
            <w:tcBorders>
              <w:top w:val="nil"/>
              <w:left w:val="nil"/>
              <w:bottom w:val="nil"/>
              <w:right w:val="nil"/>
            </w:tcBorders>
            <w:vAlign w:val="center"/>
          </w:tcPr>
          <w:p w14:paraId="5089EFB6">
            <w:pPr>
              <w:keepNext/>
              <w:snapToGrid w:val="0"/>
              <w:spacing w:line="360" w:lineRule="auto"/>
              <w:rPr>
                <w:rFonts w:ascii="Times New Roman" w:hAnsi="Times New Roman" w:eastAsia="等线" w:cs="Times New Roman"/>
                <w:sz w:val="15"/>
                <w:szCs w:val="15"/>
              </w:rPr>
            </w:pPr>
            <w:r>
              <w:rPr>
                <w:rFonts w:hint="eastAsia" w:ascii="Times New Roman" w:hAnsi="Times New Roman" w:eastAsia="等线" w:cs="Times New Roman"/>
                <w:sz w:val="15"/>
                <w:szCs w:val="15"/>
              </w:rPr>
              <w:t>Diameter</w:t>
            </w:r>
          </w:p>
        </w:tc>
        <w:tc>
          <w:tcPr>
            <w:tcW w:w="1422" w:type="dxa"/>
            <w:tcBorders>
              <w:top w:val="nil"/>
              <w:left w:val="nil"/>
              <w:bottom w:val="nil"/>
              <w:right w:val="nil"/>
            </w:tcBorders>
            <w:vAlign w:val="center"/>
          </w:tcPr>
          <w:p w14:paraId="56BDF8BA">
            <w:pPr>
              <w:keepNext/>
              <w:snapToGrid w:val="0"/>
              <w:spacing w:line="360" w:lineRule="auto"/>
              <w:jc w:val="center"/>
              <w:rPr>
                <w:rFonts w:ascii="Times New Roman" w:hAnsi="Times New Roman" w:eastAsia="等线" w:cs="Times New Roman"/>
                <w:sz w:val="15"/>
                <w:szCs w:val="15"/>
              </w:rPr>
            </w:pPr>
          </w:p>
        </w:tc>
        <w:tc>
          <w:tcPr>
            <w:tcW w:w="2226" w:type="dxa"/>
            <w:tcBorders>
              <w:top w:val="nil"/>
              <w:left w:val="nil"/>
              <w:bottom w:val="nil"/>
              <w:right w:val="nil"/>
            </w:tcBorders>
            <w:vAlign w:val="center"/>
          </w:tcPr>
          <w:p w14:paraId="50FBC8B8">
            <w:pPr>
              <w:keepNext/>
              <w:snapToGrid w:val="0"/>
              <w:spacing w:line="360" w:lineRule="auto"/>
              <w:jc w:val="center"/>
              <w:rPr>
                <w:rFonts w:ascii="Times New Roman" w:hAnsi="Times New Roman" w:eastAsia="等线" w:cs="Times New Roman"/>
                <w:sz w:val="15"/>
                <w:szCs w:val="15"/>
              </w:rPr>
            </w:pPr>
          </w:p>
        </w:tc>
        <w:tc>
          <w:tcPr>
            <w:tcW w:w="1168" w:type="dxa"/>
            <w:tcBorders>
              <w:top w:val="nil"/>
              <w:left w:val="nil"/>
              <w:bottom w:val="nil"/>
              <w:right w:val="nil"/>
            </w:tcBorders>
            <w:vAlign w:val="center"/>
          </w:tcPr>
          <w:p w14:paraId="665009D1">
            <w:pPr>
              <w:keepNext/>
              <w:snapToGrid w:val="0"/>
              <w:spacing w:line="360" w:lineRule="auto"/>
              <w:jc w:val="center"/>
              <w:rPr>
                <w:rFonts w:ascii="Times New Roman" w:hAnsi="Times New Roman" w:eastAsia="等线" w:cs="Times New Roman"/>
                <w:sz w:val="15"/>
                <w:szCs w:val="15"/>
              </w:rPr>
            </w:pPr>
          </w:p>
        </w:tc>
      </w:tr>
      <w:tr w14:paraId="5B5A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nil"/>
              <w:right w:val="nil"/>
            </w:tcBorders>
            <w:shd w:val="clear" w:color="auto" w:fill="auto"/>
            <w:vAlign w:val="center"/>
          </w:tcPr>
          <w:p w14:paraId="2DA90322">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Bloating</w:t>
            </w:r>
          </w:p>
        </w:tc>
        <w:tc>
          <w:tcPr>
            <w:tcW w:w="1393" w:type="dxa"/>
            <w:tcBorders>
              <w:top w:val="nil"/>
              <w:left w:val="nil"/>
              <w:bottom w:val="nil"/>
              <w:right w:val="nil"/>
            </w:tcBorders>
            <w:shd w:val="clear" w:color="auto" w:fill="auto"/>
            <w:vAlign w:val="center"/>
          </w:tcPr>
          <w:p w14:paraId="47E9ED9E">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16.7%(2/12)</w:t>
            </w:r>
          </w:p>
        </w:tc>
        <w:tc>
          <w:tcPr>
            <w:tcW w:w="2474" w:type="dxa"/>
            <w:tcBorders>
              <w:top w:val="nil"/>
              <w:left w:val="nil"/>
              <w:bottom w:val="nil"/>
              <w:right w:val="nil"/>
            </w:tcBorders>
            <w:vAlign w:val="center"/>
          </w:tcPr>
          <w:p w14:paraId="744D9E10">
            <w:pPr>
              <w:keepNext/>
              <w:snapToGrid w:val="0"/>
              <w:spacing w:line="360" w:lineRule="auto"/>
              <w:ind w:firstLine="750" w:firstLineChars="500"/>
              <w:rPr>
                <w:rFonts w:ascii="Times New Roman" w:hAnsi="Times New Roman" w:eastAsia="等线" w:cs="Times New Roman"/>
                <w:sz w:val="15"/>
                <w:szCs w:val="15"/>
              </w:rPr>
            </w:pPr>
            <w:r>
              <w:rPr>
                <w:rFonts w:hint="eastAsia" w:ascii="Times New Roman" w:hAnsi="Times New Roman" w:eastAsia="等线" w:cs="Times New Roman"/>
                <w:sz w:val="15"/>
                <w:szCs w:val="15"/>
              </w:rPr>
              <w:t>&lt;10mm</w:t>
            </w:r>
          </w:p>
        </w:tc>
        <w:tc>
          <w:tcPr>
            <w:tcW w:w="1422" w:type="dxa"/>
            <w:tcBorders>
              <w:top w:val="nil"/>
              <w:left w:val="nil"/>
              <w:bottom w:val="nil"/>
              <w:right w:val="nil"/>
            </w:tcBorders>
            <w:vAlign w:val="center"/>
          </w:tcPr>
          <w:p w14:paraId="60B5B995">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33.3%(4/12)</w:t>
            </w:r>
          </w:p>
        </w:tc>
        <w:tc>
          <w:tcPr>
            <w:tcW w:w="2226" w:type="dxa"/>
            <w:tcBorders>
              <w:top w:val="nil"/>
              <w:left w:val="nil"/>
              <w:bottom w:val="nil"/>
              <w:right w:val="nil"/>
            </w:tcBorders>
            <w:vAlign w:val="center"/>
          </w:tcPr>
          <w:p w14:paraId="369D6704">
            <w:pPr>
              <w:keepNext/>
              <w:snapToGrid w:val="0"/>
              <w:spacing w:line="360" w:lineRule="auto"/>
              <w:jc w:val="center"/>
              <w:rPr>
                <w:rFonts w:ascii="Times New Roman" w:hAnsi="Times New Roman" w:eastAsia="等线" w:cs="Times New Roman"/>
                <w:sz w:val="15"/>
                <w:szCs w:val="15"/>
              </w:rPr>
            </w:pPr>
          </w:p>
        </w:tc>
        <w:tc>
          <w:tcPr>
            <w:tcW w:w="1168" w:type="dxa"/>
            <w:tcBorders>
              <w:top w:val="nil"/>
              <w:left w:val="nil"/>
              <w:bottom w:val="nil"/>
              <w:right w:val="nil"/>
            </w:tcBorders>
            <w:vAlign w:val="center"/>
          </w:tcPr>
          <w:p w14:paraId="4F85CEC8">
            <w:pPr>
              <w:keepNext/>
              <w:snapToGrid w:val="0"/>
              <w:spacing w:line="360" w:lineRule="auto"/>
              <w:jc w:val="center"/>
              <w:rPr>
                <w:rFonts w:ascii="Times New Roman" w:hAnsi="Times New Roman" w:eastAsia="等线" w:cs="Times New Roman"/>
                <w:sz w:val="15"/>
                <w:szCs w:val="15"/>
              </w:rPr>
            </w:pPr>
          </w:p>
        </w:tc>
      </w:tr>
      <w:tr w14:paraId="0EC0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nil"/>
              <w:right w:val="nil"/>
            </w:tcBorders>
            <w:shd w:val="clear" w:color="auto" w:fill="auto"/>
            <w:vAlign w:val="center"/>
          </w:tcPr>
          <w:p w14:paraId="4112D565">
            <w:pPr>
              <w:keepNext/>
              <w:snapToGrid w:val="0"/>
              <w:spacing w:line="360" w:lineRule="auto"/>
              <w:jc w:val="center"/>
              <w:rPr>
                <w:rFonts w:ascii="Times New Roman" w:hAnsi="Times New Roman" w:eastAsia="等线" w:cs="Times New Roman"/>
                <w:sz w:val="15"/>
                <w:szCs w:val="18"/>
              </w:rPr>
            </w:pPr>
            <w:r>
              <w:rPr>
                <w:rFonts w:hint="eastAsia" w:ascii="Times New Roman" w:hAnsi="Times New Roman" w:eastAsia="等线" w:cs="Times New Roman"/>
                <w:sz w:val="15"/>
                <w:szCs w:val="15"/>
              </w:rPr>
              <w:t>Feeling of blockage in the upper abdomen and postprandial stuffiness</w:t>
            </w:r>
          </w:p>
        </w:tc>
        <w:tc>
          <w:tcPr>
            <w:tcW w:w="1393" w:type="dxa"/>
            <w:tcBorders>
              <w:top w:val="nil"/>
              <w:left w:val="nil"/>
              <w:bottom w:val="nil"/>
              <w:right w:val="nil"/>
            </w:tcBorders>
            <w:shd w:val="clear" w:color="auto" w:fill="auto"/>
            <w:vAlign w:val="center"/>
          </w:tcPr>
          <w:p w14:paraId="0A915119">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8.3%(1/12)</w:t>
            </w:r>
          </w:p>
        </w:tc>
        <w:tc>
          <w:tcPr>
            <w:tcW w:w="2474" w:type="dxa"/>
            <w:tcBorders>
              <w:top w:val="nil"/>
              <w:left w:val="nil"/>
              <w:bottom w:val="nil"/>
              <w:right w:val="nil"/>
            </w:tcBorders>
            <w:vAlign w:val="center"/>
          </w:tcPr>
          <w:p w14:paraId="03E0D18D">
            <w:pPr>
              <w:keepNext/>
              <w:snapToGrid w:val="0"/>
              <w:spacing w:line="360" w:lineRule="auto"/>
              <w:ind w:firstLine="750" w:firstLineChars="500"/>
              <w:rPr>
                <w:rFonts w:ascii="Times New Roman" w:hAnsi="Times New Roman" w:eastAsia="等线" w:cs="Times New Roman"/>
                <w:sz w:val="15"/>
                <w:szCs w:val="15"/>
              </w:rPr>
            </w:pPr>
            <w:r>
              <w:rPr>
                <w:rFonts w:hint="eastAsia" w:ascii="Times New Roman" w:hAnsi="Times New Roman" w:eastAsia="等线" w:cs="Times New Roman"/>
                <w:sz w:val="15"/>
                <w:szCs w:val="15"/>
              </w:rPr>
              <w:t>10-15mm</w:t>
            </w:r>
          </w:p>
        </w:tc>
        <w:tc>
          <w:tcPr>
            <w:tcW w:w="1422" w:type="dxa"/>
            <w:tcBorders>
              <w:top w:val="nil"/>
              <w:left w:val="nil"/>
              <w:bottom w:val="nil"/>
              <w:right w:val="nil"/>
            </w:tcBorders>
            <w:vAlign w:val="center"/>
          </w:tcPr>
          <w:p w14:paraId="62D3BACE">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41.7%(5/12)</w:t>
            </w:r>
          </w:p>
        </w:tc>
        <w:tc>
          <w:tcPr>
            <w:tcW w:w="2226" w:type="dxa"/>
            <w:tcBorders>
              <w:top w:val="nil"/>
              <w:left w:val="nil"/>
              <w:bottom w:val="nil"/>
              <w:right w:val="nil"/>
            </w:tcBorders>
            <w:vAlign w:val="center"/>
          </w:tcPr>
          <w:p w14:paraId="6FB24D98">
            <w:pPr>
              <w:keepNext/>
              <w:snapToGrid w:val="0"/>
              <w:spacing w:line="360" w:lineRule="auto"/>
              <w:jc w:val="center"/>
              <w:rPr>
                <w:rFonts w:ascii="Times New Roman" w:hAnsi="Times New Roman" w:eastAsia="等线" w:cs="Times New Roman"/>
                <w:sz w:val="15"/>
                <w:szCs w:val="15"/>
              </w:rPr>
            </w:pPr>
          </w:p>
        </w:tc>
        <w:tc>
          <w:tcPr>
            <w:tcW w:w="1168" w:type="dxa"/>
            <w:tcBorders>
              <w:top w:val="nil"/>
              <w:left w:val="nil"/>
              <w:bottom w:val="nil"/>
              <w:right w:val="nil"/>
            </w:tcBorders>
            <w:vAlign w:val="center"/>
          </w:tcPr>
          <w:p w14:paraId="2657BB7A">
            <w:pPr>
              <w:keepNext/>
              <w:snapToGrid w:val="0"/>
              <w:spacing w:line="360" w:lineRule="auto"/>
              <w:jc w:val="center"/>
              <w:rPr>
                <w:rFonts w:ascii="Times New Roman" w:hAnsi="Times New Roman" w:eastAsia="等线" w:cs="Times New Roman"/>
                <w:sz w:val="15"/>
                <w:szCs w:val="15"/>
              </w:rPr>
            </w:pPr>
          </w:p>
        </w:tc>
      </w:tr>
      <w:tr w14:paraId="756C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nil"/>
              <w:right w:val="nil"/>
            </w:tcBorders>
            <w:shd w:val="clear" w:color="auto" w:fill="auto"/>
            <w:vAlign w:val="center"/>
          </w:tcPr>
          <w:p w14:paraId="7839F0C1">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Sexually transmitted infections</w:t>
            </w:r>
          </w:p>
        </w:tc>
        <w:tc>
          <w:tcPr>
            <w:tcW w:w="1393" w:type="dxa"/>
            <w:tcBorders>
              <w:top w:val="nil"/>
              <w:left w:val="nil"/>
              <w:bottom w:val="nil"/>
              <w:right w:val="nil"/>
            </w:tcBorders>
            <w:shd w:val="clear" w:color="auto" w:fill="auto"/>
            <w:vAlign w:val="center"/>
          </w:tcPr>
          <w:p w14:paraId="61D61A37">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25%(3/12)</w:t>
            </w:r>
          </w:p>
        </w:tc>
        <w:tc>
          <w:tcPr>
            <w:tcW w:w="2474" w:type="dxa"/>
            <w:tcBorders>
              <w:top w:val="nil"/>
              <w:left w:val="nil"/>
              <w:bottom w:val="nil"/>
              <w:right w:val="nil"/>
            </w:tcBorders>
            <w:vAlign w:val="center"/>
          </w:tcPr>
          <w:p w14:paraId="6DB8A4CB">
            <w:pPr>
              <w:keepNext/>
              <w:snapToGrid w:val="0"/>
              <w:spacing w:line="360" w:lineRule="auto"/>
              <w:ind w:firstLine="750" w:firstLineChars="500"/>
              <w:rPr>
                <w:rFonts w:ascii="Times New Roman" w:hAnsi="Times New Roman" w:eastAsia="等线" w:cs="Times New Roman"/>
                <w:sz w:val="15"/>
                <w:szCs w:val="15"/>
              </w:rPr>
            </w:pPr>
            <w:r>
              <w:rPr>
                <w:rFonts w:hint="eastAsia" w:ascii="Times New Roman" w:hAnsi="Times New Roman" w:eastAsia="等线" w:cs="Times New Roman"/>
                <w:sz w:val="15"/>
                <w:szCs w:val="15"/>
              </w:rPr>
              <w:t>16-20mm</w:t>
            </w:r>
          </w:p>
        </w:tc>
        <w:tc>
          <w:tcPr>
            <w:tcW w:w="1422" w:type="dxa"/>
            <w:tcBorders>
              <w:top w:val="nil"/>
              <w:left w:val="nil"/>
              <w:bottom w:val="nil"/>
              <w:right w:val="nil"/>
            </w:tcBorders>
            <w:vAlign w:val="center"/>
          </w:tcPr>
          <w:p w14:paraId="5F96E067">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8.3%(1/12)</w:t>
            </w:r>
          </w:p>
        </w:tc>
        <w:tc>
          <w:tcPr>
            <w:tcW w:w="2226" w:type="dxa"/>
            <w:tcBorders>
              <w:top w:val="nil"/>
              <w:left w:val="nil"/>
              <w:bottom w:val="nil"/>
              <w:right w:val="nil"/>
            </w:tcBorders>
            <w:vAlign w:val="center"/>
          </w:tcPr>
          <w:p w14:paraId="3A2BB58C">
            <w:pPr>
              <w:keepNext/>
              <w:snapToGrid w:val="0"/>
              <w:spacing w:line="360" w:lineRule="auto"/>
              <w:jc w:val="center"/>
              <w:rPr>
                <w:rFonts w:ascii="Times New Roman" w:hAnsi="Times New Roman" w:eastAsia="等线" w:cs="Times New Roman"/>
                <w:sz w:val="15"/>
                <w:szCs w:val="15"/>
              </w:rPr>
            </w:pPr>
          </w:p>
        </w:tc>
        <w:tc>
          <w:tcPr>
            <w:tcW w:w="1168" w:type="dxa"/>
            <w:tcBorders>
              <w:top w:val="nil"/>
              <w:left w:val="nil"/>
              <w:bottom w:val="nil"/>
              <w:right w:val="nil"/>
            </w:tcBorders>
            <w:vAlign w:val="center"/>
          </w:tcPr>
          <w:p w14:paraId="39E08571">
            <w:pPr>
              <w:keepNext/>
              <w:snapToGrid w:val="0"/>
              <w:spacing w:line="360" w:lineRule="auto"/>
              <w:jc w:val="center"/>
              <w:rPr>
                <w:rFonts w:ascii="Times New Roman" w:hAnsi="Times New Roman" w:eastAsia="等线" w:cs="Times New Roman"/>
                <w:sz w:val="15"/>
                <w:szCs w:val="15"/>
              </w:rPr>
            </w:pPr>
          </w:p>
        </w:tc>
      </w:tr>
      <w:tr w14:paraId="525A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jc w:val="center"/>
        </w:trPr>
        <w:tc>
          <w:tcPr>
            <w:tcW w:w="4858" w:type="dxa"/>
            <w:tcBorders>
              <w:top w:val="nil"/>
              <w:left w:val="nil"/>
              <w:bottom w:val="single" w:color="auto" w:sz="12" w:space="0"/>
              <w:right w:val="nil"/>
            </w:tcBorders>
            <w:shd w:val="clear" w:color="auto" w:fill="auto"/>
            <w:vAlign w:val="center"/>
          </w:tcPr>
          <w:p w14:paraId="4B8C7B24">
            <w:pPr>
              <w:keepNext/>
              <w:snapToGrid w:val="0"/>
              <w:spacing w:line="360" w:lineRule="auto"/>
              <w:jc w:val="center"/>
              <w:rPr>
                <w:rFonts w:ascii="Times New Roman" w:hAnsi="Times New Roman" w:eastAsia="等线" w:cs="Times New Roman"/>
                <w:sz w:val="15"/>
                <w:szCs w:val="15"/>
              </w:rPr>
            </w:pPr>
          </w:p>
        </w:tc>
        <w:tc>
          <w:tcPr>
            <w:tcW w:w="1393" w:type="dxa"/>
            <w:tcBorders>
              <w:top w:val="nil"/>
              <w:left w:val="nil"/>
              <w:bottom w:val="single" w:color="auto" w:sz="12" w:space="0"/>
              <w:right w:val="nil"/>
            </w:tcBorders>
            <w:vAlign w:val="center"/>
          </w:tcPr>
          <w:p w14:paraId="675D0418">
            <w:pPr>
              <w:keepNext/>
              <w:snapToGrid w:val="0"/>
              <w:spacing w:line="360" w:lineRule="auto"/>
              <w:jc w:val="center"/>
              <w:rPr>
                <w:rFonts w:ascii="Times New Roman" w:hAnsi="Times New Roman" w:eastAsia="等线" w:cs="Times New Roman"/>
                <w:sz w:val="15"/>
                <w:szCs w:val="15"/>
              </w:rPr>
            </w:pPr>
          </w:p>
        </w:tc>
        <w:tc>
          <w:tcPr>
            <w:tcW w:w="2474" w:type="dxa"/>
            <w:tcBorders>
              <w:top w:val="nil"/>
              <w:left w:val="nil"/>
              <w:bottom w:val="single" w:color="auto" w:sz="12" w:space="0"/>
              <w:right w:val="nil"/>
            </w:tcBorders>
            <w:vAlign w:val="center"/>
          </w:tcPr>
          <w:p w14:paraId="7672FBC2">
            <w:pPr>
              <w:keepNext/>
              <w:snapToGrid w:val="0"/>
              <w:spacing w:line="360" w:lineRule="auto"/>
              <w:ind w:firstLine="750" w:firstLineChars="500"/>
              <w:rPr>
                <w:rFonts w:ascii="Times New Roman" w:hAnsi="Times New Roman" w:eastAsia="等线" w:cs="Times New Roman"/>
                <w:sz w:val="15"/>
                <w:szCs w:val="15"/>
              </w:rPr>
            </w:pPr>
            <w:r>
              <w:rPr>
                <w:rFonts w:hint="eastAsia" w:ascii="Times New Roman" w:hAnsi="Times New Roman" w:eastAsia="等线" w:cs="Times New Roman"/>
                <w:sz w:val="15"/>
                <w:szCs w:val="15"/>
              </w:rPr>
              <w:t>&gt;20mm</w:t>
            </w:r>
          </w:p>
        </w:tc>
        <w:tc>
          <w:tcPr>
            <w:tcW w:w="1422" w:type="dxa"/>
            <w:tcBorders>
              <w:top w:val="nil"/>
              <w:left w:val="nil"/>
              <w:bottom w:val="single" w:color="auto" w:sz="12" w:space="0"/>
              <w:right w:val="nil"/>
            </w:tcBorders>
            <w:vAlign w:val="center"/>
          </w:tcPr>
          <w:p w14:paraId="34314906">
            <w:pPr>
              <w:keepNext/>
              <w:snapToGrid w:val="0"/>
              <w:spacing w:line="360" w:lineRule="auto"/>
              <w:jc w:val="center"/>
              <w:rPr>
                <w:rFonts w:ascii="Times New Roman" w:hAnsi="Times New Roman" w:eastAsia="等线" w:cs="Times New Roman"/>
                <w:sz w:val="15"/>
                <w:szCs w:val="15"/>
              </w:rPr>
            </w:pPr>
            <w:r>
              <w:rPr>
                <w:rFonts w:hint="eastAsia" w:ascii="Times New Roman" w:hAnsi="Times New Roman" w:eastAsia="等线" w:cs="Times New Roman"/>
                <w:sz w:val="15"/>
                <w:szCs w:val="15"/>
              </w:rPr>
              <w:t>16.7%(2/12)</w:t>
            </w:r>
          </w:p>
        </w:tc>
        <w:tc>
          <w:tcPr>
            <w:tcW w:w="2226" w:type="dxa"/>
            <w:tcBorders>
              <w:top w:val="nil"/>
              <w:left w:val="nil"/>
              <w:bottom w:val="single" w:color="auto" w:sz="12" w:space="0"/>
              <w:right w:val="nil"/>
            </w:tcBorders>
            <w:vAlign w:val="center"/>
          </w:tcPr>
          <w:p w14:paraId="61CB3548">
            <w:pPr>
              <w:keepNext/>
              <w:snapToGrid w:val="0"/>
              <w:spacing w:line="360" w:lineRule="auto"/>
              <w:jc w:val="center"/>
              <w:rPr>
                <w:rFonts w:ascii="Times New Roman" w:hAnsi="Times New Roman" w:eastAsia="等线" w:cs="Times New Roman"/>
                <w:sz w:val="15"/>
                <w:szCs w:val="15"/>
              </w:rPr>
            </w:pPr>
          </w:p>
        </w:tc>
        <w:tc>
          <w:tcPr>
            <w:tcW w:w="1168" w:type="dxa"/>
            <w:tcBorders>
              <w:top w:val="nil"/>
              <w:left w:val="nil"/>
              <w:bottom w:val="single" w:color="auto" w:sz="12" w:space="0"/>
              <w:right w:val="nil"/>
            </w:tcBorders>
            <w:vAlign w:val="center"/>
          </w:tcPr>
          <w:p w14:paraId="4BC7FDA5">
            <w:pPr>
              <w:keepNext/>
              <w:snapToGrid w:val="0"/>
              <w:spacing w:line="360" w:lineRule="auto"/>
              <w:jc w:val="center"/>
              <w:rPr>
                <w:rFonts w:ascii="Times New Roman" w:hAnsi="Times New Roman" w:eastAsia="等线" w:cs="Times New Roman"/>
                <w:sz w:val="15"/>
                <w:szCs w:val="15"/>
              </w:rPr>
            </w:pPr>
          </w:p>
        </w:tc>
      </w:tr>
    </w:tbl>
    <w:p w14:paraId="7796B21D">
      <w:pPr>
        <w:spacing w:line="480" w:lineRule="auto"/>
        <w:rPr>
          <w:rFonts w:ascii="Times New Roman" w:hAnsi="Times New Roman" w:cs="Times New Roman"/>
          <w:i/>
          <w:iCs/>
          <w:sz w:val="15"/>
          <w:szCs w:val="15"/>
        </w:rPr>
      </w:pPr>
    </w:p>
    <w:p w14:paraId="6B3BFF4A">
      <w:pPr>
        <w:jc w:val="center"/>
        <w:rPr>
          <w:rFonts w:ascii="Times New Roman" w:hAnsi="Times New Roman" w:cs="Times New Roman"/>
          <w:b/>
          <w:bCs/>
          <w:iCs/>
          <w:sz w:val="32"/>
          <w:szCs w:val="28"/>
        </w:rPr>
      </w:pPr>
      <w:r>
        <w:rPr>
          <w:rFonts w:ascii="Times New Roman" w:hAnsi="Times New Roman" w:cs="Times New Roman"/>
          <w:color w:val="212121"/>
          <w:shd w:val="clear" w:color="auto" w:fill="FFFFFF"/>
        </w:rPr>
        <w:fldChar w:fldCharType="begin"/>
      </w:r>
      <w:r>
        <w:rPr>
          <w:rFonts w:ascii="Times New Roman" w:hAnsi="Times New Roman" w:cs="Times New Roman"/>
          <w:color w:val="212121"/>
          <w:shd w:val="clear" w:color="auto" w:fill="FFFFFF"/>
        </w:rPr>
        <w:instrText xml:space="preserve"> ADDIN KYMRDOC </w:instrText>
      </w:r>
      <w:r>
        <w:rPr>
          <w:rFonts w:ascii="Times New Roman" w:hAnsi="Times New Roman" w:cs="Times New Roman"/>
          <w:color w:val="212121"/>
          <w:shd w:val="clear" w:color="auto" w:fill="FFFFFF"/>
        </w:rPr>
        <w:fldChar w:fldCharType="separate"/>
      </w:r>
      <w:r>
        <w:rPr>
          <w:rFonts w:ascii="Times New Roman" w:hAnsi="Times New Roman" w:cs="Times New Roman"/>
          <w:b/>
          <w:bCs/>
          <w:iCs/>
          <w:sz w:val="32"/>
          <w:szCs w:val="28"/>
        </w:rPr>
        <w:t>References</w:t>
      </w:r>
    </w:p>
    <w:p w14:paraId="77BDA45A">
      <w:pPr>
        <w:ind w:left="540" w:hanging="540" w:hangingChars="300"/>
        <w:rPr>
          <w:rFonts w:ascii="Times New Roman" w:hAnsi="Times New Roman" w:cs="Times New Roman"/>
          <w:color w:val="212121"/>
          <w:sz w:val="18"/>
          <w:shd w:val="clear" w:color="auto" w:fill="FFFFFF"/>
        </w:rPr>
      </w:pPr>
      <w:r>
        <w:rPr>
          <w:rFonts w:hint="eastAsia" w:ascii="Times New Roman" w:hAnsi="Times New Roman" w:cs="Times New Roman"/>
          <w:color w:val="212121"/>
          <w:sz w:val="18"/>
          <w:shd w:val="clear" w:color="auto" w:fill="FFFFFF"/>
        </w:rPr>
        <w:t>1.</w:t>
      </w:r>
      <w:r>
        <w:rPr>
          <w:rFonts w:hint="eastAsia" w:ascii="Times New Roman" w:hAnsi="Times New Roman" w:cs="Times New Roman"/>
          <w:color w:val="212121"/>
          <w:sz w:val="18"/>
          <w:shd w:val="clear" w:color="auto" w:fill="FFFFFF"/>
        </w:rPr>
        <w:tab/>
      </w:r>
      <w:r>
        <w:rPr>
          <w:rFonts w:hint="eastAsia" w:ascii="Times New Roman" w:hAnsi="Times New Roman" w:cs="Times New Roman"/>
          <w:color w:val="212121"/>
          <w:sz w:val="18"/>
          <w:shd w:val="clear" w:color="auto" w:fill="FFFFFF"/>
        </w:rPr>
        <w:t>Watanabe K, Gatanaga H, Escueta-de Cadiz A, Tanuma J, Nozaki T, Oka S. Amebiasis in HIV-1-infected Japanese men: clinical features and response to therapy. PLoS Negl Trop Dis 2011;5:e1318.</w:t>
      </w:r>
    </w:p>
    <w:p w14:paraId="4157153E">
      <w:pPr>
        <w:ind w:left="540" w:hanging="540" w:hangingChars="300"/>
        <w:rPr>
          <w:rFonts w:ascii="Times New Roman" w:hAnsi="Times New Roman" w:cs="Times New Roman"/>
          <w:color w:val="212121"/>
          <w:sz w:val="18"/>
          <w:shd w:val="clear" w:color="auto" w:fill="FFFFFF"/>
        </w:rPr>
      </w:pPr>
      <w:r>
        <w:rPr>
          <w:rFonts w:hint="eastAsia" w:ascii="Times New Roman" w:hAnsi="Times New Roman" w:cs="Times New Roman"/>
          <w:color w:val="212121"/>
          <w:sz w:val="18"/>
          <w:shd w:val="clear" w:color="auto" w:fill="FFFFFF"/>
        </w:rPr>
        <w:t>2.</w:t>
      </w:r>
      <w:r>
        <w:rPr>
          <w:rFonts w:hint="eastAsia" w:ascii="Times New Roman" w:hAnsi="Times New Roman" w:cs="Times New Roman"/>
          <w:color w:val="212121"/>
          <w:sz w:val="18"/>
          <w:shd w:val="clear" w:color="auto" w:fill="FFFFFF"/>
        </w:rPr>
        <w:tab/>
      </w:r>
      <w:r>
        <w:rPr>
          <w:rFonts w:hint="eastAsia" w:ascii="Times New Roman" w:hAnsi="Times New Roman" w:cs="Times New Roman"/>
          <w:color w:val="212121"/>
          <w:sz w:val="18"/>
          <w:shd w:val="clear" w:color="auto" w:fill="FFFFFF"/>
        </w:rPr>
        <w:t>Hung CC, Ji DD, Sun HY, et al. Increased risk for Entamoeba histolytica infection and invasive amebiasis in HIV seropositive men who have sex with men in Taiwan. PLoS Negl Trop Dis 2008;2:e175.</w:t>
      </w:r>
    </w:p>
    <w:p w14:paraId="44D6D1CD">
      <w:pPr>
        <w:ind w:left="540" w:hanging="540" w:hangingChars="300"/>
        <w:rPr>
          <w:rFonts w:ascii="Times New Roman" w:hAnsi="Times New Roman" w:cs="Times New Roman"/>
          <w:color w:val="212121"/>
          <w:sz w:val="18"/>
          <w:shd w:val="clear" w:color="auto" w:fill="FFFFFF"/>
        </w:rPr>
      </w:pPr>
      <w:r>
        <w:rPr>
          <w:rFonts w:hint="eastAsia" w:ascii="Times New Roman" w:hAnsi="Times New Roman" w:cs="Times New Roman"/>
          <w:color w:val="212121"/>
          <w:sz w:val="18"/>
          <w:shd w:val="clear" w:color="auto" w:fill="FFFFFF"/>
        </w:rPr>
        <w:t>3.</w:t>
      </w:r>
      <w:r>
        <w:rPr>
          <w:rFonts w:hint="eastAsia" w:ascii="Times New Roman" w:hAnsi="Times New Roman" w:cs="Times New Roman"/>
          <w:color w:val="212121"/>
          <w:sz w:val="18"/>
          <w:shd w:val="clear" w:color="auto" w:fill="FFFFFF"/>
        </w:rPr>
        <w:tab/>
      </w:r>
      <w:r>
        <w:rPr>
          <w:rFonts w:hint="eastAsia" w:ascii="Times New Roman" w:hAnsi="Times New Roman" w:cs="Times New Roman"/>
          <w:color w:val="212121"/>
          <w:sz w:val="18"/>
          <w:shd w:val="clear" w:color="auto" w:fill="FFFFFF"/>
        </w:rPr>
        <w:t>Escolà-Vergé L, Arando M, Vall M, et al. Outbreak of intestinal amoebiasis among men who have sex with men, Barcelona (Spain), October 2016 and January 2017. Euro Surveill 2017;22.</w:t>
      </w:r>
    </w:p>
    <w:p w14:paraId="003B7CFE">
      <w:pPr>
        <w:ind w:left="540" w:hanging="540" w:hangingChars="300"/>
        <w:rPr>
          <w:rFonts w:ascii="Times New Roman" w:hAnsi="Times New Roman" w:cs="Times New Roman"/>
          <w:color w:val="212121"/>
          <w:sz w:val="18"/>
          <w:shd w:val="clear" w:color="auto" w:fill="FFFFFF"/>
        </w:rPr>
      </w:pPr>
      <w:r>
        <w:rPr>
          <w:rFonts w:hint="eastAsia" w:ascii="Times New Roman" w:hAnsi="Times New Roman" w:cs="Times New Roman"/>
          <w:color w:val="212121"/>
          <w:sz w:val="18"/>
          <w:shd w:val="clear" w:color="auto" w:fill="FFFFFF"/>
        </w:rPr>
        <w:t>4.</w:t>
      </w:r>
      <w:r>
        <w:rPr>
          <w:rFonts w:hint="eastAsia" w:ascii="Times New Roman" w:hAnsi="Times New Roman" w:cs="Times New Roman"/>
          <w:color w:val="212121"/>
          <w:sz w:val="18"/>
          <w:shd w:val="clear" w:color="auto" w:fill="FFFFFF"/>
        </w:rPr>
        <w:tab/>
      </w:r>
      <w:r>
        <w:rPr>
          <w:rFonts w:hint="eastAsia" w:ascii="Times New Roman" w:hAnsi="Times New Roman" w:cs="Times New Roman"/>
          <w:color w:val="212121"/>
          <w:sz w:val="18"/>
          <w:shd w:val="clear" w:color="auto" w:fill="FFFFFF"/>
        </w:rPr>
        <w:t>Stark D, van Hal SJ, Matthews G, Harkness J, Marriott D. Invasive amebiasis in men who have sex with men, Australia. Emerg Infect Dis 2008;14:1141-3.</w:t>
      </w:r>
    </w:p>
    <w:p w14:paraId="0536D5BF">
      <w:pPr>
        <w:ind w:left="540" w:hanging="540" w:hangingChars="300"/>
        <w:rPr>
          <w:rFonts w:ascii="Times New Roman" w:hAnsi="Times New Roman" w:cs="Times New Roman"/>
          <w:color w:val="212121"/>
          <w:sz w:val="18"/>
          <w:shd w:val="clear" w:color="auto" w:fill="FFFFFF"/>
        </w:rPr>
      </w:pPr>
      <w:r>
        <w:rPr>
          <w:rFonts w:hint="eastAsia" w:ascii="Times New Roman" w:hAnsi="Times New Roman" w:cs="Times New Roman"/>
          <w:color w:val="212121"/>
          <w:sz w:val="18"/>
          <w:shd w:val="clear" w:color="auto" w:fill="FFFFFF"/>
        </w:rPr>
        <w:t>5.</w:t>
      </w:r>
      <w:r>
        <w:rPr>
          <w:rFonts w:hint="eastAsia" w:ascii="Times New Roman" w:hAnsi="Times New Roman" w:cs="Times New Roman"/>
          <w:color w:val="212121"/>
          <w:sz w:val="18"/>
          <w:shd w:val="clear" w:color="auto" w:fill="FFFFFF"/>
        </w:rPr>
        <w:tab/>
      </w:r>
      <w:r>
        <w:rPr>
          <w:rFonts w:hint="eastAsia" w:ascii="Times New Roman" w:hAnsi="Times New Roman" w:cs="Times New Roman"/>
          <w:color w:val="212121"/>
          <w:sz w:val="18"/>
          <w:shd w:val="clear" w:color="auto" w:fill="FFFFFF"/>
        </w:rPr>
        <w:t>Stark D, Fotedar R, van Hal S, et al. Prevalence of enteric protozoa in human immunodeficiency virus (HIV)-positive and HIV-negative men who have sex with men from Sydney, Australia. Am J Trop Med Hyg 2007;76:549-52.</w:t>
      </w:r>
    </w:p>
    <w:p w14:paraId="23B2C014">
      <w:pPr>
        <w:ind w:left="540" w:hanging="540" w:hangingChars="300"/>
        <w:rPr>
          <w:rFonts w:ascii="Times New Roman" w:hAnsi="Times New Roman" w:cs="Times New Roman"/>
          <w:color w:val="212121"/>
          <w:sz w:val="18"/>
          <w:shd w:val="clear" w:color="auto" w:fill="FFFFFF"/>
        </w:rPr>
      </w:pPr>
      <w:r>
        <w:rPr>
          <w:rFonts w:hint="eastAsia" w:ascii="Times New Roman" w:hAnsi="Times New Roman" w:cs="Times New Roman"/>
          <w:color w:val="212121"/>
          <w:sz w:val="18"/>
          <w:shd w:val="clear" w:color="auto" w:fill="FFFFFF"/>
        </w:rPr>
        <w:t>6.</w:t>
      </w:r>
      <w:r>
        <w:rPr>
          <w:rFonts w:hint="eastAsia" w:ascii="Times New Roman" w:hAnsi="Times New Roman" w:cs="Times New Roman"/>
          <w:color w:val="212121"/>
          <w:sz w:val="18"/>
          <w:shd w:val="clear" w:color="auto" w:fill="FFFFFF"/>
        </w:rPr>
        <w:tab/>
      </w:r>
      <w:r>
        <w:rPr>
          <w:rFonts w:hint="eastAsia" w:ascii="Times New Roman" w:hAnsi="Times New Roman" w:cs="Times New Roman"/>
          <w:color w:val="212121"/>
          <w:sz w:val="18"/>
          <w:shd w:val="clear" w:color="auto" w:fill="FFFFFF"/>
        </w:rPr>
        <w:t>Stark DJ, Fotedar R, Ellis JT, Harkness JL. Locally acquired infection with Entamoeba histolytica in men who have sex with men in Australia. Med J Aust 2006;185:417.</w:t>
      </w:r>
    </w:p>
    <w:p w14:paraId="1B7F9040">
      <w:pPr>
        <w:ind w:left="540" w:hanging="540" w:hangingChars="300"/>
        <w:rPr>
          <w:rFonts w:ascii="Times New Roman" w:hAnsi="Times New Roman" w:cs="Times New Roman"/>
          <w:color w:val="212121"/>
          <w:sz w:val="18"/>
          <w:shd w:val="clear" w:color="auto" w:fill="FFFFFF"/>
        </w:rPr>
      </w:pPr>
      <w:r>
        <w:rPr>
          <w:rFonts w:hint="eastAsia" w:ascii="Times New Roman" w:hAnsi="Times New Roman" w:cs="Times New Roman"/>
          <w:color w:val="212121"/>
          <w:sz w:val="18"/>
          <w:shd w:val="clear" w:color="auto" w:fill="FFFFFF"/>
        </w:rPr>
        <w:t>7.</w:t>
      </w:r>
      <w:r>
        <w:rPr>
          <w:rFonts w:hint="eastAsia" w:ascii="Times New Roman" w:hAnsi="Times New Roman" w:cs="Times New Roman"/>
          <w:color w:val="212121"/>
          <w:sz w:val="18"/>
          <w:shd w:val="clear" w:color="auto" w:fill="FFFFFF"/>
        </w:rPr>
        <w:tab/>
      </w:r>
      <w:r>
        <w:rPr>
          <w:rFonts w:hint="eastAsia" w:ascii="Times New Roman" w:hAnsi="Times New Roman" w:cs="Times New Roman"/>
          <w:color w:val="212121"/>
          <w:sz w:val="18"/>
          <w:shd w:val="clear" w:color="auto" w:fill="FFFFFF"/>
        </w:rPr>
        <w:t>James R, Barratt J, Marriott D, Harkness J, Stark D. Seroprevalence of Entamoeba histolytica infection among men who have sex with men in Sydney, Australia. Am J Trop Med Hyg 2010;83:914-6.</w:t>
      </w:r>
    </w:p>
    <w:p w14:paraId="07CDB7C4">
      <w:pPr>
        <w:ind w:left="540" w:hanging="540" w:hangingChars="300"/>
        <w:rPr>
          <w:rFonts w:ascii="Times New Roman" w:hAnsi="Times New Roman" w:cs="Times New Roman"/>
          <w:color w:val="212121"/>
          <w:sz w:val="18"/>
          <w:shd w:val="clear" w:color="auto" w:fill="FFFFFF"/>
        </w:rPr>
      </w:pPr>
      <w:r>
        <w:rPr>
          <w:rFonts w:hint="eastAsia" w:ascii="Times New Roman" w:hAnsi="Times New Roman" w:cs="Times New Roman"/>
          <w:color w:val="212121"/>
          <w:sz w:val="18"/>
          <w:shd w:val="clear" w:color="auto" w:fill="FFFFFF"/>
        </w:rPr>
        <w:t>8.</w:t>
      </w:r>
      <w:r>
        <w:rPr>
          <w:rFonts w:hint="eastAsia" w:ascii="Times New Roman" w:hAnsi="Times New Roman" w:cs="Times New Roman"/>
          <w:color w:val="212121"/>
          <w:sz w:val="18"/>
          <w:shd w:val="clear" w:color="auto" w:fill="FFFFFF"/>
        </w:rPr>
        <w:tab/>
      </w:r>
      <w:r>
        <w:rPr>
          <w:rFonts w:hint="eastAsia" w:ascii="Times New Roman" w:hAnsi="Times New Roman" w:cs="Times New Roman"/>
          <w:color w:val="212121"/>
          <w:sz w:val="18"/>
          <w:shd w:val="clear" w:color="auto" w:fill="FFFFFF"/>
        </w:rPr>
        <w:t>Zhou F, Li M, Li X, et al. Seroprevalence of Entamoeba histolytica infection among Chinese men who have sex with men. PLoS Negl Trop Dis 2013;7:e2232.</w:t>
      </w:r>
    </w:p>
    <w:p w14:paraId="7A0F8120">
      <w:pPr>
        <w:ind w:left="540" w:hanging="540" w:hangingChars="300"/>
        <w:rPr>
          <w:rFonts w:ascii="Times New Roman" w:hAnsi="Times New Roman" w:cs="Times New Roman"/>
          <w:color w:val="212121"/>
          <w:sz w:val="18"/>
          <w:shd w:val="clear" w:color="auto" w:fill="FFFFFF"/>
        </w:rPr>
      </w:pPr>
      <w:r>
        <w:rPr>
          <w:rFonts w:hint="eastAsia" w:ascii="Times New Roman" w:hAnsi="Times New Roman" w:cs="Times New Roman"/>
          <w:color w:val="212121"/>
          <w:sz w:val="18"/>
          <w:shd w:val="clear" w:color="auto" w:fill="FFFFFF"/>
        </w:rPr>
        <w:t>9.</w:t>
      </w:r>
      <w:r>
        <w:rPr>
          <w:rFonts w:hint="eastAsia" w:ascii="Times New Roman" w:hAnsi="Times New Roman" w:cs="Times New Roman"/>
          <w:color w:val="212121"/>
          <w:sz w:val="18"/>
          <w:shd w:val="clear" w:color="auto" w:fill="FFFFFF"/>
        </w:rPr>
        <w:tab/>
      </w:r>
      <w:r>
        <w:rPr>
          <w:rFonts w:hint="eastAsia" w:ascii="Times New Roman" w:hAnsi="Times New Roman" w:cs="Times New Roman"/>
          <w:color w:val="212121"/>
          <w:sz w:val="18"/>
          <w:shd w:val="clear" w:color="auto" w:fill="FFFFFF"/>
        </w:rPr>
        <w:t>Yanagawa Y, Shimogawara R, Takano M, et al. Identification of asymptomatic Entamoeba histolytica infection by a serological screening test: A cross-sectional study of an HIV-negative men who have sex with men cohort in Japan. PLoS Negl Trop Dis 2022;16:e0009793.</w:t>
      </w:r>
    </w:p>
    <w:p w14:paraId="43907194">
      <w:r>
        <w:rPr>
          <w:rFonts w:ascii="Times New Roman" w:hAnsi="Times New Roman" w:cs="Times New Roman"/>
          <w:color w:val="212121"/>
          <w:shd w:val="clear" w:color="auto" w:fill="FFFFFF"/>
        </w:rPr>
        <w:fldChar w:fldCharType="end"/>
      </w:r>
    </w:p>
    <w:sectPr>
      <w:pgSz w:w="16838" w:h="11906" w:orient="landscape"/>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9CDE5542-1455-44AC-957C-1C0A379CEFAE}"/>
    <w:docVar w:name="KY_MEDREF_VERSION" w:val="3"/>
  </w:docVars>
  <w:rsids>
    <w:rsidRoot w:val="00C12CCF"/>
    <w:rsid w:val="00C12CCF"/>
    <w:rsid w:val="11904838"/>
    <w:rsid w:val="5B632E4E"/>
    <w:rsid w:val="69684366"/>
    <w:rsid w:val="6B225ECD"/>
    <w:rsid w:val="7CAE348C"/>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39"/>
    <w:pPr>
      <w:spacing w:after="0" w:line="240" w:lineRule="auto"/>
    </w:pPr>
    <w:rPr>
      <w:rFonts w:ascii="Times New Roman" w:hAnsi="Times New Roman" w:eastAsia="宋体" w:cs="Times New Roman"/>
      <w:sz w:val="20"/>
      <w:lang w:eastAsia="en-IN"/>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637</Words>
  <Characters>3759</Characters>
  <Lines>37</Lines>
  <Paragraphs>10</Paragraphs>
  <TotalTime>11</TotalTime>
  <ScaleCrop>false</ScaleCrop>
  <LinksUpToDate>false</LinksUpToDate>
  <CharactersWithSpaces>4248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2025-10-09T01:41:00Z</dcterms:created>
  <dc:creator>Lingeshwar Sundaramoorthi (Integra)</dc:creator>
  <cp:lastModifiedBy>gaoyanhong</cp:lastModifiedBy>
  <dcterms:modified xsi:type="dcterms:W3CDTF">2025-10-17T14:02:40Z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eyJoZGlkIjoiNTZlNDZiZmE5Mjg2MTdjMzAwOTUyMTRhYTNiNDk1ZTAiLCJ1c2VySWQiOiI1MzM0MjU2NDcifQ==</vt:lpwstr>
  </property>
  <property fmtid="{D5CDD505-2E9C-101B-9397-08002B2CF9AE}" pid="3" name="KSOProductBuildVer">
    <vt:lpwstr>2052-12.1.0.22529</vt:lpwstr>
  </property>
  <property fmtid="{D5CDD505-2E9C-101B-9397-08002B2CF9AE}" pid="4" name="ICV">
    <vt:lpwstr>F2A66717B26A433C925CD6D0130080AD_13</vt:lpwstr>
  </property>
</Properties>
</file>