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FEE82" w14:textId="77777777" w:rsidR="00F54039" w:rsidRPr="007D5D76" w:rsidRDefault="003E6D6F" w:rsidP="007D5D76">
      <w:pPr>
        <w:rPr>
          <w:rFonts w:asciiTheme="minorBidi" w:hAnsiTheme="minorBidi"/>
          <w:b/>
          <w:bCs/>
        </w:rPr>
      </w:pPr>
      <w:r w:rsidRPr="007D5D76">
        <w:rPr>
          <w:rFonts w:asciiTheme="minorBidi" w:hAnsiTheme="minorBidi"/>
          <w:b/>
          <w:bCs/>
        </w:rPr>
        <w:t>Supplementary Material</w:t>
      </w:r>
    </w:p>
    <w:p w14:paraId="18173078" w14:textId="77777777" w:rsidR="00DF6599" w:rsidRPr="007D5D76" w:rsidRDefault="00DF6599" w:rsidP="007D5D76">
      <w:pPr>
        <w:pStyle w:val="NormalWeb"/>
        <w:rPr>
          <w:rStyle w:val="Strong"/>
          <w:rFonts w:asciiTheme="minorBidi" w:hAnsiTheme="minorBidi" w:cstheme="minorBidi"/>
        </w:rPr>
      </w:pPr>
      <w:r w:rsidRPr="007D5D76">
        <w:rPr>
          <w:rStyle w:val="Strong"/>
          <w:rFonts w:asciiTheme="minorBidi" w:hAnsiTheme="minorBidi" w:cstheme="minorBidi"/>
        </w:rPr>
        <w:t>The Impact of Fluoroquinolone-Resistant Enterobacterales Colonization on Fluoroquinolone Prophylaxis Efficacy in Hematopoietic Cell Transplant Recipients</w:t>
      </w:r>
    </w:p>
    <w:p w14:paraId="4CAB1B06" w14:textId="77777777" w:rsidR="00DF6599" w:rsidRPr="007D5D76" w:rsidRDefault="00DF6599" w:rsidP="007D5D76">
      <w:pPr>
        <w:pStyle w:val="NormalWeb"/>
        <w:shd w:val="clear" w:color="auto" w:fill="FFFFFF"/>
        <w:contextualSpacing/>
        <w:rPr>
          <w:rFonts w:asciiTheme="minorBidi" w:hAnsiTheme="minorBidi" w:cstheme="minorBidi"/>
          <w:i/>
          <w:iCs/>
          <w:vertAlign w:val="superscript"/>
        </w:rPr>
      </w:pPr>
      <w:r w:rsidRPr="007D5D76">
        <w:rPr>
          <w:rFonts w:asciiTheme="minorBidi" w:hAnsiTheme="minorBidi" w:cstheme="minorBidi"/>
          <w:i/>
          <w:iCs/>
          <w:lang w:eastAsia="en-US"/>
        </w:rPr>
        <w:t xml:space="preserve">Rima Moghnieh </w:t>
      </w:r>
      <w:r w:rsidRPr="007D5D76">
        <w:rPr>
          <w:rFonts w:asciiTheme="minorBidi" w:hAnsiTheme="minorBidi" w:cstheme="minorBidi"/>
          <w:i/>
          <w:iCs/>
          <w:vertAlign w:val="superscript"/>
          <w:lang w:eastAsia="en-US"/>
        </w:rPr>
        <w:t>12*</w:t>
      </w:r>
      <w:r w:rsidRPr="007D5D76">
        <w:rPr>
          <w:rFonts w:asciiTheme="minorBidi" w:hAnsiTheme="minorBidi" w:cstheme="minorBidi"/>
          <w:i/>
          <w:iCs/>
          <w:lang w:eastAsia="en-US"/>
        </w:rPr>
        <w:t>,</w:t>
      </w:r>
      <w:r w:rsidRPr="007D5D76">
        <w:rPr>
          <w:rFonts w:asciiTheme="minorBidi" w:hAnsiTheme="minorBidi" w:cstheme="minorBidi"/>
          <w:i/>
          <w:iCs/>
        </w:rPr>
        <w:t xml:space="preserve"> Ahmad Khalil </w:t>
      </w:r>
      <w:r w:rsidRPr="007D5D76">
        <w:rPr>
          <w:rFonts w:asciiTheme="minorBidi" w:hAnsiTheme="minorBidi" w:cstheme="minorBidi"/>
          <w:i/>
          <w:iCs/>
          <w:vertAlign w:val="superscript"/>
        </w:rPr>
        <w:t>3</w:t>
      </w:r>
      <w:r w:rsidRPr="007D5D76">
        <w:rPr>
          <w:rFonts w:asciiTheme="minorBidi" w:hAnsiTheme="minorBidi" w:cstheme="minorBidi"/>
          <w:i/>
          <w:iCs/>
          <w:lang w:eastAsia="en-US"/>
        </w:rPr>
        <w:t>,</w:t>
      </w:r>
      <w:r w:rsidRPr="007D5D76">
        <w:rPr>
          <w:rFonts w:asciiTheme="minorBidi" w:hAnsiTheme="minorBidi" w:cstheme="minorBidi"/>
          <w:i/>
          <w:iCs/>
        </w:rPr>
        <w:t xml:space="preserve"> Antoine Khoury </w:t>
      </w:r>
      <w:r w:rsidRPr="007D5D76">
        <w:rPr>
          <w:rFonts w:asciiTheme="minorBidi" w:hAnsiTheme="minorBidi" w:cstheme="minorBidi"/>
          <w:i/>
          <w:iCs/>
          <w:vertAlign w:val="superscript"/>
        </w:rPr>
        <w:t>3</w:t>
      </w:r>
      <w:r w:rsidRPr="007D5D76">
        <w:rPr>
          <w:rFonts w:asciiTheme="minorBidi" w:hAnsiTheme="minorBidi" w:cstheme="minorBidi"/>
          <w:i/>
          <w:iCs/>
        </w:rPr>
        <w:t xml:space="preserve">, </w:t>
      </w:r>
      <w:r w:rsidRPr="007D5D76">
        <w:rPr>
          <w:rFonts w:asciiTheme="minorBidi" w:hAnsiTheme="minorBidi" w:cstheme="minorBidi"/>
          <w:i/>
          <w:iCs/>
          <w:shd w:val="clear" w:color="auto" w:fill="FFFFFF"/>
        </w:rPr>
        <w:t xml:space="preserve">Hilal W. Abdessamad </w:t>
      </w:r>
      <w:r w:rsidRPr="007D5D76">
        <w:rPr>
          <w:rFonts w:asciiTheme="minorBidi" w:hAnsiTheme="minorBidi" w:cstheme="minorBidi"/>
          <w:i/>
          <w:iCs/>
          <w:shd w:val="clear" w:color="auto" w:fill="FFFFFF"/>
          <w:vertAlign w:val="superscript"/>
        </w:rPr>
        <w:t>2</w:t>
      </w:r>
      <w:r w:rsidRPr="007D5D76">
        <w:rPr>
          <w:rFonts w:asciiTheme="minorBidi" w:hAnsiTheme="minorBidi" w:cstheme="minorBidi"/>
          <w:i/>
          <w:iCs/>
          <w:shd w:val="clear" w:color="auto" w:fill="FFFFFF"/>
        </w:rPr>
        <w:t xml:space="preserve">, </w:t>
      </w:r>
      <w:r w:rsidRPr="007D5D76">
        <w:rPr>
          <w:rFonts w:asciiTheme="minorBidi" w:hAnsiTheme="minorBidi" w:cstheme="minorBidi"/>
          <w:i/>
          <w:iCs/>
          <w:lang w:eastAsia="en-US"/>
        </w:rPr>
        <w:t xml:space="preserve"> </w:t>
      </w:r>
      <w:r w:rsidRPr="007D5D76">
        <w:rPr>
          <w:rFonts w:asciiTheme="minorBidi" w:hAnsiTheme="minorBidi" w:cstheme="minorBidi"/>
          <w:i/>
          <w:iCs/>
        </w:rPr>
        <w:t xml:space="preserve">Monica Abi Abdallah </w:t>
      </w:r>
      <w:r w:rsidRPr="007D5D76">
        <w:rPr>
          <w:rFonts w:asciiTheme="minorBidi" w:hAnsiTheme="minorBidi" w:cstheme="minorBidi"/>
          <w:i/>
          <w:iCs/>
          <w:vertAlign w:val="superscript"/>
        </w:rPr>
        <w:t>4</w:t>
      </w:r>
      <w:r w:rsidRPr="007D5D76">
        <w:rPr>
          <w:rFonts w:asciiTheme="minorBidi" w:hAnsiTheme="minorBidi" w:cstheme="minorBidi"/>
          <w:i/>
          <w:iCs/>
        </w:rPr>
        <w:t xml:space="preserve">, Pamela Sfeir </w:t>
      </w:r>
      <w:r w:rsidRPr="007D5D76">
        <w:rPr>
          <w:rFonts w:asciiTheme="minorBidi" w:hAnsiTheme="minorBidi" w:cstheme="minorBidi"/>
          <w:i/>
          <w:iCs/>
          <w:vertAlign w:val="superscript"/>
        </w:rPr>
        <w:t>4</w:t>
      </w:r>
      <w:r w:rsidRPr="007D5D76">
        <w:rPr>
          <w:rFonts w:asciiTheme="minorBidi" w:hAnsiTheme="minorBidi" w:cstheme="minorBidi"/>
          <w:i/>
          <w:iCs/>
        </w:rPr>
        <w:t xml:space="preserve">, Mariana Mezher </w:t>
      </w:r>
      <w:r w:rsidRPr="007D5D76">
        <w:rPr>
          <w:rFonts w:asciiTheme="minorBidi" w:hAnsiTheme="minorBidi" w:cstheme="minorBidi"/>
          <w:i/>
          <w:iCs/>
          <w:vertAlign w:val="superscript"/>
        </w:rPr>
        <w:t>4</w:t>
      </w:r>
      <w:r w:rsidRPr="007D5D76">
        <w:rPr>
          <w:rFonts w:asciiTheme="minorBidi" w:hAnsiTheme="minorBidi" w:cstheme="minorBidi"/>
          <w:i/>
          <w:iCs/>
        </w:rPr>
        <w:t xml:space="preserve">, Bilal Hamade </w:t>
      </w:r>
      <w:r w:rsidRPr="007D5D76">
        <w:rPr>
          <w:rFonts w:asciiTheme="minorBidi" w:hAnsiTheme="minorBidi" w:cstheme="minorBidi"/>
          <w:i/>
          <w:iCs/>
          <w:vertAlign w:val="superscript"/>
        </w:rPr>
        <w:t>4</w:t>
      </w:r>
      <w:r w:rsidRPr="007D5D76">
        <w:rPr>
          <w:rFonts w:asciiTheme="minorBidi" w:hAnsiTheme="minorBidi" w:cstheme="minorBidi"/>
          <w:i/>
          <w:iCs/>
        </w:rPr>
        <w:t xml:space="preserve">, Kamal Zahran </w:t>
      </w:r>
      <w:r w:rsidRPr="007D5D76">
        <w:rPr>
          <w:rFonts w:asciiTheme="minorBidi" w:hAnsiTheme="minorBidi" w:cstheme="minorBidi"/>
          <w:i/>
          <w:iCs/>
          <w:vertAlign w:val="superscript"/>
        </w:rPr>
        <w:t>4</w:t>
      </w:r>
      <w:r w:rsidRPr="007D5D76">
        <w:rPr>
          <w:rFonts w:asciiTheme="minorBidi" w:hAnsiTheme="minorBidi" w:cstheme="minorBidi"/>
          <w:i/>
          <w:iCs/>
        </w:rPr>
        <w:t xml:space="preserve">, Edmond Abboud </w:t>
      </w:r>
      <w:r w:rsidRPr="007D5D76">
        <w:rPr>
          <w:rFonts w:asciiTheme="minorBidi" w:hAnsiTheme="minorBidi" w:cstheme="minorBidi"/>
          <w:i/>
          <w:iCs/>
          <w:vertAlign w:val="superscript"/>
        </w:rPr>
        <w:t>4</w:t>
      </w:r>
      <w:r w:rsidRPr="007D5D76">
        <w:rPr>
          <w:rFonts w:asciiTheme="minorBidi" w:hAnsiTheme="minorBidi" w:cstheme="minorBidi"/>
          <w:i/>
          <w:iCs/>
        </w:rPr>
        <w:t xml:space="preserve">, Aysar Fakih </w:t>
      </w:r>
      <w:r w:rsidRPr="007D5D76">
        <w:rPr>
          <w:rFonts w:asciiTheme="minorBidi" w:hAnsiTheme="minorBidi" w:cstheme="minorBidi"/>
          <w:i/>
          <w:iCs/>
          <w:vertAlign w:val="superscript"/>
        </w:rPr>
        <w:t>2</w:t>
      </w:r>
      <w:r w:rsidRPr="007D5D76">
        <w:rPr>
          <w:rFonts w:asciiTheme="minorBidi" w:hAnsiTheme="minorBidi" w:cstheme="minorBidi"/>
          <w:i/>
          <w:iCs/>
        </w:rPr>
        <w:t xml:space="preserve">, Rana Attieh </w:t>
      </w:r>
      <w:r w:rsidRPr="007D5D76">
        <w:rPr>
          <w:rFonts w:asciiTheme="minorBidi" w:hAnsiTheme="minorBidi" w:cstheme="minorBidi"/>
          <w:i/>
          <w:iCs/>
          <w:vertAlign w:val="superscript"/>
        </w:rPr>
        <w:t>2</w:t>
      </w:r>
      <w:r w:rsidRPr="007D5D76">
        <w:rPr>
          <w:rFonts w:asciiTheme="minorBidi" w:hAnsiTheme="minorBidi" w:cstheme="minorBidi"/>
          <w:i/>
          <w:iCs/>
        </w:rPr>
        <w:t xml:space="preserve">, Farah Hneini </w:t>
      </w:r>
      <w:r w:rsidRPr="007D5D76">
        <w:rPr>
          <w:rFonts w:asciiTheme="minorBidi" w:hAnsiTheme="minorBidi" w:cstheme="minorBidi"/>
          <w:i/>
          <w:iCs/>
          <w:vertAlign w:val="superscript"/>
        </w:rPr>
        <w:t>2</w:t>
      </w:r>
      <w:r w:rsidRPr="007D5D76">
        <w:rPr>
          <w:rFonts w:asciiTheme="minorBidi" w:hAnsiTheme="minorBidi" w:cstheme="minorBidi"/>
          <w:i/>
          <w:iCs/>
        </w:rPr>
        <w:t xml:space="preserve">, </w:t>
      </w:r>
      <w:r w:rsidRPr="007D5D76">
        <w:rPr>
          <w:rFonts w:asciiTheme="minorBidi" w:hAnsiTheme="minorBidi" w:cstheme="minorBidi"/>
          <w:bCs/>
          <w:i/>
          <w:iCs/>
        </w:rPr>
        <w:t xml:space="preserve">Marilyne Sily </w:t>
      </w:r>
      <w:r w:rsidRPr="007D5D76">
        <w:rPr>
          <w:rFonts w:asciiTheme="minorBidi" w:hAnsiTheme="minorBidi" w:cstheme="minorBidi"/>
          <w:bCs/>
          <w:i/>
          <w:iCs/>
          <w:vertAlign w:val="superscript"/>
        </w:rPr>
        <w:t>2</w:t>
      </w:r>
      <w:r w:rsidRPr="007D5D76">
        <w:rPr>
          <w:rFonts w:asciiTheme="minorBidi" w:hAnsiTheme="minorBidi" w:cstheme="minorBidi"/>
          <w:bCs/>
          <w:i/>
          <w:iCs/>
        </w:rPr>
        <w:t xml:space="preserve">, </w:t>
      </w:r>
      <w:r w:rsidRPr="007D5D76">
        <w:rPr>
          <w:rFonts w:asciiTheme="minorBidi" w:hAnsiTheme="minorBidi" w:cstheme="minorBidi"/>
          <w:i/>
          <w:iCs/>
        </w:rPr>
        <w:t xml:space="preserve">Wael Zorkot </w:t>
      </w:r>
      <w:r w:rsidRPr="007D5D76">
        <w:rPr>
          <w:rFonts w:asciiTheme="minorBidi" w:hAnsiTheme="minorBidi" w:cstheme="minorBidi"/>
          <w:i/>
          <w:iCs/>
          <w:vertAlign w:val="superscript"/>
        </w:rPr>
        <w:t>5</w:t>
      </w:r>
      <w:r w:rsidRPr="007D5D76">
        <w:rPr>
          <w:rFonts w:asciiTheme="minorBidi" w:hAnsiTheme="minorBidi" w:cstheme="minorBidi"/>
          <w:i/>
          <w:iCs/>
        </w:rPr>
        <w:t xml:space="preserve">, Shadi Eid </w:t>
      </w:r>
      <w:r w:rsidRPr="007D5D76">
        <w:rPr>
          <w:rFonts w:asciiTheme="minorBidi" w:hAnsiTheme="minorBidi" w:cstheme="minorBidi"/>
          <w:i/>
          <w:iCs/>
          <w:vertAlign w:val="superscript"/>
        </w:rPr>
        <w:t>2</w:t>
      </w:r>
      <w:r w:rsidRPr="007D5D76">
        <w:rPr>
          <w:rFonts w:asciiTheme="minorBidi" w:hAnsiTheme="minorBidi" w:cstheme="minorBidi"/>
          <w:i/>
          <w:iCs/>
          <w:lang w:eastAsia="en-US"/>
        </w:rPr>
        <w:t xml:space="preserve">, Dania Abdallah </w:t>
      </w:r>
      <w:r w:rsidRPr="007D5D76">
        <w:rPr>
          <w:rFonts w:asciiTheme="minorBidi" w:hAnsiTheme="minorBidi" w:cstheme="minorBidi"/>
          <w:i/>
          <w:iCs/>
          <w:vertAlign w:val="superscript"/>
          <w:lang w:eastAsia="en-US"/>
        </w:rPr>
        <w:t>6</w:t>
      </w:r>
      <w:r w:rsidRPr="007D5D76">
        <w:rPr>
          <w:rFonts w:asciiTheme="minorBidi" w:hAnsiTheme="minorBidi" w:cstheme="minorBidi"/>
          <w:i/>
          <w:iCs/>
          <w:lang w:eastAsia="en-US"/>
        </w:rPr>
        <w:t xml:space="preserve">, </w:t>
      </w:r>
      <w:r w:rsidRPr="007D5D76">
        <w:rPr>
          <w:rFonts w:asciiTheme="minorBidi" w:hAnsiTheme="minorBidi" w:cstheme="minorBidi"/>
          <w:i/>
          <w:iCs/>
        </w:rPr>
        <w:t xml:space="preserve">Ahmad Ibrahim </w:t>
      </w:r>
      <w:r w:rsidRPr="007D5D76">
        <w:rPr>
          <w:rFonts w:asciiTheme="minorBidi" w:hAnsiTheme="minorBidi" w:cstheme="minorBidi"/>
          <w:i/>
          <w:iCs/>
          <w:vertAlign w:val="superscript"/>
        </w:rPr>
        <w:t>3,4,5,6</w:t>
      </w:r>
    </w:p>
    <w:p w14:paraId="5B388E31" w14:textId="77777777" w:rsidR="00DF6599" w:rsidRPr="007D5D76" w:rsidRDefault="00DF6599" w:rsidP="007D5D76">
      <w:pPr>
        <w:contextualSpacing/>
        <w:rPr>
          <w:rFonts w:asciiTheme="minorBidi" w:hAnsiTheme="minorBidi"/>
          <w:bCs/>
          <w:u w:val="single"/>
        </w:rPr>
      </w:pPr>
      <w:r w:rsidRPr="007D5D76">
        <w:rPr>
          <w:rFonts w:asciiTheme="minorBidi" w:hAnsiTheme="minorBidi"/>
          <w:bCs/>
          <w:u w:val="single"/>
        </w:rPr>
        <w:t>Affiliations</w:t>
      </w:r>
    </w:p>
    <w:p w14:paraId="23B3E5EA" w14:textId="77777777" w:rsidR="00DF6599" w:rsidRPr="007D5D76" w:rsidRDefault="00DF6599" w:rsidP="007D5D76">
      <w:pPr>
        <w:contextualSpacing/>
        <w:rPr>
          <w:rFonts w:asciiTheme="minorBidi" w:hAnsiTheme="minorBidi"/>
        </w:rPr>
      </w:pPr>
      <w:r w:rsidRPr="007D5D76">
        <w:rPr>
          <w:rFonts w:asciiTheme="minorBidi" w:hAnsiTheme="minorBidi"/>
          <w:vertAlign w:val="superscript"/>
        </w:rPr>
        <w:t>1</w:t>
      </w:r>
      <w:r w:rsidRPr="007D5D76">
        <w:rPr>
          <w:rFonts w:asciiTheme="minorBidi" w:hAnsiTheme="minorBidi"/>
        </w:rPr>
        <w:t>Lebanese American University Medical Center-</w:t>
      </w:r>
      <w:proofErr w:type="spellStart"/>
      <w:r w:rsidRPr="007D5D76">
        <w:rPr>
          <w:rFonts w:asciiTheme="minorBidi" w:hAnsiTheme="minorBidi"/>
        </w:rPr>
        <w:t>Rizk</w:t>
      </w:r>
      <w:proofErr w:type="spellEnd"/>
      <w:r w:rsidRPr="007D5D76">
        <w:rPr>
          <w:rFonts w:asciiTheme="minorBidi" w:hAnsiTheme="minorBidi"/>
        </w:rPr>
        <w:t xml:space="preserve"> Hospital, Beirut, Lebanon.</w:t>
      </w:r>
    </w:p>
    <w:p w14:paraId="4787FC01" w14:textId="77777777" w:rsidR="00DF6599" w:rsidRPr="007D5D76" w:rsidRDefault="00DF6599" w:rsidP="007D5D76">
      <w:pPr>
        <w:contextualSpacing/>
        <w:rPr>
          <w:rFonts w:asciiTheme="minorBidi" w:hAnsiTheme="minorBidi"/>
        </w:rPr>
      </w:pPr>
      <w:r w:rsidRPr="007D5D76">
        <w:rPr>
          <w:rFonts w:asciiTheme="minorBidi" w:hAnsiTheme="minorBidi"/>
          <w:vertAlign w:val="superscript"/>
        </w:rPr>
        <w:t>2</w:t>
      </w:r>
      <w:r w:rsidRPr="007D5D76">
        <w:rPr>
          <w:rFonts w:asciiTheme="minorBidi" w:hAnsiTheme="minorBidi"/>
        </w:rPr>
        <w:t>Lebanese American University, Byblos, Lebanon.</w:t>
      </w:r>
    </w:p>
    <w:p w14:paraId="46DB7C78" w14:textId="77777777" w:rsidR="00DF6599" w:rsidRPr="007D5D76" w:rsidRDefault="00DF6599" w:rsidP="007D5D76">
      <w:pPr>
        <w:contextualSpacing/>
        <w:rPr>
          <w:rFonts w:asciiTheme="minorBidi" w:hAnsiTheme="minorBidi"/>
        </w:rPr>
      </w:pPr>
      <w:r w:rsidRPr="007D5D76">
        <w:rPr>
          <w:rFonts w:asciiTheme="minorBidi" w:hAnsiTheme="minorBidi"/>
          <w:vertAlign w:val="superscript"/>
        </w:rPr>
        <w:t>3</w:t>
      </w:r>
      <w:r w:rsidRPr="007D5D76">
        <w:rPr>
          <w:rFonts w:asciiTheme="minorBidi" w:hAnsiTheme="minorBidi"/>
        </w:rPr>
        <w:t xml:space="preserve">University of </w:t>
      </w:r>
      <w:proofErr w:type="spellStart"/>
      <w:r w:rsidRPr="007D5D76">
        <w:rPr>
          <w:rFonts w:asciiTheme="minorBidi" w:hAnsiTheme="minorBidi"/>
        </w:rPr>
        <w:t>Balamand</w:t>
      </w:r>
      <w:proofErr w:type="spellEnd"/>
      <w:r w:rsidRPr="007D5D76">
        <w:rPr>
          <w:rFonts w:asciiTheme="minorBidi" w:hAnsiTheme="minorBidi"/>
        </w:rPr>
        <w:t xml:space="preserve">, </w:t>
      </w:r>
      <w:proofErr w:type="spellStart"/>
      <w:r w:rsidRPr="007D5D76">
        <w:rPr>
          <w:rFonts w:asciiTheme="minorBidi" w:hAnsiTheme="minorBidi"/>
        </w:rPr>
        <w:t>Alkoura</w:t>
      </w:r>
      <w:proofErr w:type="spellEnd"/>
      <w:r w:rsidRPr="007D5D76">
        <w:rPr>
          <w:rFonts w:asciiTheme="minorBidi" w:hAnsiTheme="minorBidi"/>
        </w:rPr>
        <w:t>, Lebanon.</w:t>
      </w:r>
    </w:p>
    <w:p w14:paraId="6D42D3B8" w14:textId="77777777" w:rsidR="00DF6599" w:rsidRPr="007D5D76" w:rsidRDefault="00DF6599" w:rsidP="007D5D76">
      <w:pPr>
        <w:contextualSpacing/>
        <w:rPr>
          <w:rFonts w:asciiTheme="minorBidi" w:hAnsiTheme="minorBidi"/>
        </w:rPr>
      </w:pPr>
      <w:r w:rsidRPr="007D5D76">
        <w:rPr>
          <w:rFonts w:asciiTheme="minorBidi" w:hAnsiTheme="minorBidi"/>
          <w:vertAlign w:val="superscript"/>
        </w:rPr>
        <w:t>4</w:t>
      </w:r>
      <w:r w:rsidRPr="007D5D76">
        <w:rPr>
          <w:rFonts w:asciiTheme="minorBidi" w:hAnsiTheme="minorBidi"/>
        </w:rPr>
        <w:t xml:space="preserve">Middle East Institute of Health, </w:t>
      </w:r>
      <w:proofErr w:type="spellStart"/>
      <w:r w:rsidRPr="007D5D76">
        <w:rPr>
          <w:rFonts w:asciiTheme="minorBidi" w:hAnsiTheme="minorBidi"/>
        </w:rPr>
        <w:t>Bsalim</w:t>
      </w:r>
      <w:proofErr w:type="spellEnd"/>
      <w:r w:rsidRPr="007D5D76">
        <w:rPr>
          <w:rFonts w:asciiTheme="minorBidi" w:hAnsiTheme="minorBidi"/>
        </w:rPr>
        <w:t>, Lebanon.</w:t>
      </w:r>
    </w:p>
    <w:p w14:paraId="37C128AA" w14:textId="77777777" w:rsidR="00DF6599" w:rsidRPr="007D5D76" w:rsidRDefault="00DF6599" w:rsidP="007D5D76">
      <w:pPr>
        <w:contextualSpacing/>
        <w:rPr>
          <w:rFonts w:asciiTheme="minorBidi" w:hAnsiTheme="minorBidi"/>
        </w:rPr>
      </w:pPr>
      <w:r w:rsidRPr="007D5D76">
        <w:rPr>
          <w:rFonts w:asciiTheme="minorBidi" w:hAnsiTheme="minorBidi"/>
          <w:vertAlign w:val="superscript"/>
        </w:rPr>
        <w:t>5</w:t>
      </w:r>
      <w:r w:rsidRPr="007D5D76">
        <w:rPr>
          <w:rFonts w:asciiTheme="minorBidi" w:hAnsiTheme="minorBidi"/>
        </w:rPr>
        <w:t>Lebanese University, Beirut, Lebanon.</w:t>
      </w:r>
    </w:p>
    <w:p w14:paraId="0841CE1D" w14:textId="77777777" w:rsidR="00DF6599" w:rsidRPr="007D5D76" w:rsidRDefault="00DF6599" w:rsidP="007D5D76">
      <w:pPr>
        <w:contextualSpacing/>
        <w:rPr>
          <w:rFonts w:asciiTheme="minorBidi" w:hAnsiTheme="minorBidi"/>
        </w:rPr>
      </w:pPr>
      <w:r w:rsidRPr="007D5D76">
        <w:rPr>
          <w:rFonts w:asciiTheme="minorBidi" w:hAnsiTheme="minorBidi"/>
          <w:vertAlign w:val="superscript"/>
        </w:rPr>
        <w:t>6</w:t>
      </w:r>
      <w:r w:rsidRPr="007D5D76">
        <w:rPr>
          <w:rFonts w:asciiTheme="minorBidi" w:eastAsiaTheme="minorEastAsia" w:hAnsiTheme="minorBidi"/>
        </w:rPr>
        <w:t xml:space="preserve">Makassed General Hospital, </w:t>
      </w:r>
      <w:r w:rsidRPr="007D5D76">
        <w:rPr>
          <w:rFonts w:asciiTheme="minorBidi" w:hAnsiTheme="minorBidi"/>
        </w:rPr>
        <w:t>Beirut, Lebanon.</w:t>
      </w:r>
    </w:p>
    <w:p w14:paraId="5F8CE588" w14:textId="77777777" w:rsidR="00DF6599" w:rsidRPr="007D5D76" w:rsidRDefault="00DF6599" w:rsidP="007D5D76">
      <w:pPr>
        <w:contextualSpacing/>
        <w:rPr>
          <w:rFonts w:asciiTheme="minorBidi" w:hAnsiTheme="minorBidi"/>
        </w:rPr>
      </w:pPr>
    </w:p>
    <w:p w14:paraId="3B4E78AF" w14:textId="77777777" w:rsidR="00DF6599" w:rsidRPr="007D5D76" w:rsidRDefault="00DF6599" w:rsidP="007D5D76">
      <w:pPr>
        <w:widowControl w:val="0"/>
        <w:autoSpaceDE w:val="0"/>
        <w:autoSpaceDN w:val="0"/>
        <w:adjustRightInd w:val="0"/>
        <w:rPr>
          <w:rFonts w:asciiTheme="minorBidi" w:hAnsiTheme="minorBidi"/>
          <w:b/>
        </w:rPr>
      </w:pPr>
      <w:r w:rsidRPr="007D5D76">
        <w:rPr>
          <w:rFonts w:asciiTheme="minorBidi" w:hAnsiTheme="minorBidi"/>
          <w:b/>
        </w:rPr>
        <w:t>*Correspondence</w:t>
      </w:r>
    </w:p>
    <w:p w14:paraId="4C78A917" w14:textId="77777777" w:rsidR="00DF6599" w:rsidRPr="007D5D76" w:rsidRDefault="00DF6599" w:rsidP="007D5D76">
      <w:pPr>
        <w:shd w:val="clear" w:color="auto" w:fill="FFFFFF"/>
        <w:rPr>
          <w:rFonts w:asciiTheme="minorBidi" w:hAnsiTheme="minorBidi"/>
          <w:color w:val="222222"/>
        </w:rPr>
      </w:pPr>
      <w:r w:rsidRPr="007D5D76">
        <w:rPr>
          <w:rFonts w:asciiTheme="minorBidi" w:hAnsiTheme="minorBidi"/>
          <w:color w:val="222222"/>
        </w:rPr>
        <w:t xml:space="preserve">Rima </w:t>
      </w:r>
      <w:proofErr w:type="spellStart"/>
      <w:r w:rsidRPr="007D5D76">
        <w:rPr>
          <w:rFonts w:asciiTheme="minorBidi" w:hAnsiTheme="minorBidi"/>
          <w:color w:val="222222"/>
        </w:rPr>
        <w:t>Moghnieh</w:t>
      </w:r>
      <w:proofErr w:type="spellEnd"/>
      <w:r w:rsidRPr="007D5D76">
        <w:rPr>
          <w:rFonts w:asciiTheme="minorBidi" w:hAnsiTheme="minorBidi"/>
          <w:color w:val="222222"/>
        </w:rPr>
        <w:t>, MD, FRCP</w:t>
      </w:r>
    </w:p>
    <w:p w14:paraId="4BFBB730" w14:textId="77777777" w:rsidR="00DF6599" w:rsidRPr="007D5D76" w:rsidRDefault="00DF6599" w:rsidP="007D5D76">
      <w:pPr>
        <w:shd w:val="clear" w:color="auto" w:fill="FFFFFF"/>
        <w:rPr>
          <w:rFonts w:asciiTheme="minorBidi" w:hAnsiTheme="minorBidi"/>
          <w:color w:val="222222"/>
        </w:rPr>
      </w:pPr>
      <w:r w:rsidRPr="007D5D76">
        <w:rPr>
          <w:rFonts w:asciiTheme="minorBidi" w:hAnsiTheme="minorBidi"/>
          <w:color w:val="222222"/>
        </w:rPr>
        <w:t>Professor of Clinical Medicine, Lebanese American University, Beirut, Lebanon</w:t>
      </w:r>
    </w:p>
    <w:p w14:paraId="12AF927E" w14:textId="77777777" w:rsidR="00DF6599" w:rsidRPr="007D5D76" w:rsidRDefault="00DF6599" w:rsidP="007D5D76">
      <w:pPr>
        <w:shd w:val="clear" w:color="auto" w:fill="FFFFFF"/>
        <w:rPr>
          <w:rFonts w:asciiTheme="minorBidi" w:hAnsiTheme="minorBidi"/>
          <w:color w:val="222222"/>
        </w:rPr>
      </w:pPr>
      <w:r w:rsidRPr="007D5D76">
        <w:rPr>
          <w:rFonts w:asciiTheme="minorBidi" w:hAnsiTheme="minorBidi"/>
          <w:color w:val="222222"/>
        </w:rPr>
        <w:t>Head, Division of Infectious Diseases, Department of Internal Medicine, Lebanese American University Medical Center, Beirut, Lebanon</w:t>
      </w:r>
    </w:p>
    <w:p w14:paraId="7493AE62" w14:textId="77777777" w:rsidR="00DF6599" w:rsidRPr="007D5D76" w:rsidRDefault="00DF6599" w:rsidP="007D5D76">
      <w:pPr>
        <w:rPr>
          <w:rFonts w:asciiTheme="minorBidi" w:hAnsiTheme="minorBidi"/>
          <w:lang w:val="fr-FR"/>
        </w:rPr>
      </w:pPr>
      <w:r w:rsidRPr="007D5D76">
        <w:rPr>
          <w:rFonts w:asciiTheme="minorBidi" w:eastAsiaTheme="minorEastAsia" w:hAnsiTheme="minorBidi"/>
          <w:lang w:val="fr-FR"/>
        </w:rPr>
        <w:t>E-mail:</w:t>
      </w:r>
      <w:r w:rsidRPr="007D5D76">
        <w:rPr>
          <w:rFonts w:asciiTheme="minorBidi" w:hAnsiTheme="minorBidi"/>
          <w:shd w:val="clear" w:color="auto" w:fill="FFFFFF"/>
          <w:lang w:val="fr-FR"/>
        </w:rPr>
        <w:t xml:space="preserve"> </w:t>
      </w:r>
      <w:hyperlink r:id="rId5" w:history="1">
        <w:r w:rsidRPr="007D5D76">
          <w:rPr>
            <w:rStyle w:val="Hyperlink"/>
            <w:rFonts w:asciiTheme="minorBidi" w:eastAsiaTheme="minorEastAsia" w:hAnsiTheme="minorBidi"/>
            <w:lang w:val="fr-FR"/>
          </w:rPr>
          <w:t>moghniehrima@gmail.com</w:t>
        </w:r>
      </w:hyperlink>
      <w:r w:rsidRPr="007D5D76">
        <w:rPr>
          <w:rStyle w:val="Hyperlink"/>
          <w:rFonts w:asciiTheme="minorBidi" w:eastAsiaTheme="minorEastAsia" w:hAnsiTheme="minorBidi"/>
          <w:lang w:val="fr-FR"/>
        </w:rPr>
        <w:t xml:space="preserve">; </w:t>
      </w:r>
      <w:hyperlink r:id="rId6" w:history="1">
        <w:r w:rsidRPr="007D5D76">
          <w:rPr>
            <w:rStyle w:val="Hyperlink"/>
            <w:rFonts w:asciiTheme="minorBidi" w:hAnsiTheme="minorBidi"/>
            <w:lang w:val="fr-FR"/>
          </w:rPr>
          <w:t>rima.moghnieh@laumcrh.com</w:t>
        </w:r>
      </w:hyperlink>
    </w:p>
    <w:p w14:paraId="6095D1CC" w14:textId="77777777" w:rsidR="00DF6599" w:rsidRPr="007D5D76" w:rsidRDefault="00DF6599" w:rsidP="007D5D76">
      <w:pPr>
        <w:pStyle w:val="NormalWeb"/>
        <w:spacing w:before="0" w:beforeAutospacing="0" w:after="0" w:afterAutospacing="0"/>
        <w:rPr>
          <w:rFonts w:asciiTheme="minorBidi" w:hAnsiTheme="minorBidi" w:cstheme="minorBidi"/>
          <w:b/>
          <w:bCs/>
        </w:rPr>
      </w:pPr>
    </w:p>
    <w:p w14:paraId="6A947F7A" w14:textId="77777777" w:rsidR="00DF6599" w:rsidRPr="007D5D76" w:rsidRDefault="00DF6599" w:rsidP="007D5D76">
      <w:pPr>
        <w:rPr>
          <w:rFonts w:asciiTheme="minorBidi" w:hAnsiTheme="minorBidi"/>
          <w:b/>
          <w:bCs/>
          <w:lang w:val="en-FR"/>
        </w:rPr>
      </w:pPr>
    </w:p>
    <w:p w14:paraId="540DCED0" w14:textId="77777777" w:rsidR="003E6D6F" w:rsidRPr="007D5D76" w:rsidRDefault="003E6D6F" w:rsidP="007D5D76">
      <w:pPr>
        <w:rPr>
          <w:rFonts w:asciiTheme="minorBidi" w:hAnsiTheme="minorBidi"/>
          <w:b/>
          <w:bCs/>
          <w:lang w:val="fr-FR"/>
        </w:rPr>
      </w:pPr>
    </w:p>
    <w:p w14:paraId="288B8A95" w14:textId="77777777" w:rsidR="00DF6599" w:rsidRPr="007D5D76" w:rsidRDefault="00DF6599" w:rsidP="007D5D76">
      <w:pPr>
        <w:rPr>
          <w:rFonts w:asciiTheme="minorBidi" w:hAnsiTheme="minorBidi"/>
          <w:b/>
          <w:bCs/>
          <w:lang w:val="fr-FR"/>
        </w:rPr>
      </w:pPr>
    </w:p>
    <w:p w14:paraId="7D780D06" w14:textId="77777777" w:rsidR="00DF6599" w:rsidRPr="007D5D76" w:rsidRDefault="00DF6599" w:rsidP="007D5D76">
      <w:pPr>
        <w:rPr>
          <w:rFonts w:asciiTheme="minorBidi" w:hAnsiTheme="minorBidi"/>
          <w:b/>
          <w:bCs/>
          <w:lang w:val="fr-FR"/>
        </w:rPr>
      </w:pPr>
    </w:p>
    <w:p w14:paraId="57DF3C12" w14:textId="77777777" w:rsidR="00DF6599" w:rsidRPr="007D5D76" w:rsidRDefault="00DF6599" w:rsidP="007D5D76">
      <w:pPr>
        <w:rPr>
          <w:rFonts w:asciiTheme="minorBidi" w:hAnsiTheme="minorBidi"/>
          <w:b/>
          <w:bCs/>
          <w:lang w:val="fr-FR"/>
        </w:rPr>
      </w:pPr>
    </w:p>
    <w:p w14:paraId="51CD6AD8" w14:textId="77777777" w:rsidR="00DF6599" w:rsidRPr="007D5D76" w:rsidRDefault="00DF6599" w:rsidP="007D5D76">
      <w:pPr>
        <w:rPr>
          <w:rFonts w:asciiTheme="minorBidi" w:hAnsiTheme="minorBidi"/>
          <w:b/>
          <w:bCs/>
          <w:lang w:val="fr-FR"/>
        </w:rPr>
      </w:pPr>
    </w:p>
    <w:p w14:paraId="2B965563" w14:textId="77777777" w:rsidR="00DF6599" w:rsidRPr="007D5D76" w:rsidRDefault="00DF6599" w:rsidP="007D5D76">
      <w:pPr>
        <w:rPr>
          <w:rFonts w:asciiTheme="minorBidi" w:hAnsiTheme="minorBidi"/>
          <w:b/>
          <w:bCs/>
          <w:lang w:val="fr-FR"/>
        </w:rPr>
      </w:pPr>
    </w:p>
    <w:p w14:paraId="2CC53123" w14:textId="77777777" w:rsidR="00DF6599" w:rsidRPr="007D5D76" w:rsidRDefault="00DF6599" w:rsidP="007D5D76">
      <w:pPr>
        <w:rPr>
          <w:rFonts w:asciiTheme="minorBidi" w:hAnsiTheme="minorBidi"/>
          <w:b/>
          <w:bCs/>
          <w:lang w:val="fr-FR"/>
        </w:rPr>
      </w:pPr>
    </w:p>
    <w:p w14:paraId="67B33362" w14:textId="77777777" w:rsidR="00DF6599" w:rsidRPr="007D5D76" w:rsidRDefault="00DF6599" w:rsidP="007D5D76">
      <w:pPr>
        <w:rPr>
          <w:rFonts w:asciiTheme="minorBidi" w:hAnsiTheme="minorBidi"/>
          <w:b/>
          <w:bCs/>
          <w:lang w:val="fr-FR"/>
        </w:rPr>
      </w:pPr>
    </w:p>
    <w:p w14:paraId="50A906E5" w14:textId="77777777" w:rsidR="00DF6599" w:rsidRPr="007D5D76" w:rsidRDefault="00DF6599" w:rsidP="007D5D76">
      <w:pPr>
        <w:rPr>
          <w:rFonts w:asciiTheme="minorBidi" w:hAnsiTheme="minorBidi"/>
          <w:b/>
          <w:bCs/>
          <w:lang w:val="fr-FR"/>
        </w:rPr>
      </w:pPr>
    </w:p>
    <w:p w14:paraId="12B3A538" w14:textId="77777777" w:rsidR="00DF6599" w:rsidRPr="007D5D76" w:rsidRDefault="00DF6599" w:rsidP="007D5D76">
      <w:pPr>
        <w:rPr>
          <w:rFonts w:asciiTheme="minorBidi" w:hAnsiTheme="minorBidi"/>
          <w:b/>
          <w:bCs/>
          <w:lang w:val="fr-FR"/>
        </w:rPr>
      </w:pPr>
    </w:p>
    <w:p w14:paraId="01E30683" w14:textId="77777777" w:rsidR="00DF6599" w:rsidRPr="007D5D76" w:rsidRDefault="00DF6599" w:rsidP="007D5D76">
      <w:pPr>
        <w:rPr>
          <w:rFonts w:asciiTheme="minorBidi" w:hAnsiTheme="minorBidi"/>
          <w:b/>
          <w:bCs/>
          <w:lang w:val="fr-FR"/>
        </w:rPr>
      </w:pPr>
    </w:p>
    <w:p w14:paraId="527EBBD5" w14:textId="77777777" w:rsidR="00DF6599" w:rsidRPr="007D5D76" w:rsidRDefault="00DF6599" w:rsidP="007D5D76">
      <w:pPr>
        <w:rPr>
          <w:rFonts w:asciiTheme="minorBidi" w:hAnsiTheme="minorBidi"/>
          <w:b/>
          <w:bCs/>
          <w:lang w:val="fr-FR"/>
        </w:rPr>
      </w:pPr>
    </w:p>
    <w:p w14:paraId="7C658026" w14:textId="77777777" w:rsidR="00DF6599" w:rsidRPr="007D5D76" w:rsidRDefault="00DF6599" w:rsidP="007D5D76">
      <w:pPr>
        <w:rPr>
          <w:rFonts w:asciiTheme="minorBidi" w:hAnsiTheme="minorBidi"/>
          <w:b/>
          <w:bCs/>
          <w:lang w:val="fr-FR"/>
        </w:rPr>
      </w:pPr>
    </w:p>
    <w:p w14:paraId="4F9B2952" w14:textId="77777777" w:rsidR="00DF6599" w:rsidRPr="007D5D76" w:rsidRDefault="00DF6599" w:rsidP="007D5D76">
      <w:pPr>
        <w:rPr>
          <w:rFonts w:asciiTheme="minorBidi" w:hAnsiTheme="minorBidi"/>
          <w:b/>
          <w:bCs/>
          <w:lang w:val="fr-FR"/>
        </w:rPr>
      </w:pPr>
    </w:p>
    <w:p w14:paraId="562E9C07" w14:textId="77777777" w:rsidR="00DF6599" w:rsidRPr="007D5D76" w:rsidRDefault="00DF6599" w:rsidP="007D5D76">
      <w:pPr>
        <w:rPr>
          <w:rFonts w:asciiTheme="minorBidi" w:hAnsiTheme="minorBidi"/>
          <w:b/>
          <w:bCs/>
          <w:lang w:val="fr-FR"/>
        </w:rPr>
      </w:pPr>
    </w:p>
    <w:p w14:paraId="76D42DFC" w14:textId="77777777" w:rsidR="00DF6599" w:rsidRPr="007D5D76" w:rsidRDefault="00DF6599" w:rsidP="007D5D76">
      <w:pPr>
        <w:rPr>
          <w:rFonts w:asciiTheme="minorBidi" w:hAnsiTheme="minorBidi"/>
          <w:b/>
          <w:bCs/>
          <w:lang w:val="fr-FR"/>
        </w:rPr>
      </w:pPr>
    </w:p>
    <w:p w14:paraId="0BC41342" w14:textId="77777777" w:rsidR="00DF6599" w:rsidRPr="007D5D76" w:rsidRDefault="00DF6599" w:rsidP="007D5D76">
      <w:pPr>
        <w:rPr>
          <w:rFonts w:asciiTheme="minorBidi" w:hAnsiTheme="minorBidi"/>
          <w:b/>
          <w:bCs/>
          <w:lang w:val="fr-FR"/>
        </w:rPr>
      </w:pPr>
    </w:p>
    <w:p w14:paraId="7BEFF4B1" w14:textId="77777777" w:rsidR="00DF6599" w:rsidRPr="007D5D76" w:rsidRDefault="00DF6599" w:rsidP="007D5D76">
      <w:pPr>
        <w:rPr>
          <w:rFonts w:asciiTheme="minorBidi" w:hAnsiTheme="minorBidi"/>
          <w:b/>
          <w:bCs/>
          <w:lang w:val="fr-FR"/>
        </w:rPr>
      </w:pPr>
    </w:p>
    <w:p w14:paraId="59D61E01" w14:textId="77777777" w:rsidR="00DF6599" w:rsidRPr="007D5D76" w:rsidRDefault="00DF6599" w:rsidP="007D5D76">
      <w:pPr>
        <w:rPr>
          <w:rFonts w:asciiTheme="minorBidi" w:hAnsiTheme="minorBidi"/>
          <w:b/>
          <w:bCs/>
          <w:lang w:val="fr-FR"/>
        </w:rPr>
      </w:pPr>
    </w:p>
    <w:p w14:paraId="5E24F2A3" w14:textId="77777777" w:rsidR="00DF6599" w:rsidRPr="007D5D76" w:rsidRDefault="00DF6599" w:rsidP="007D5D76">
      <w:pPr>
        <w:rPr>
          <w:rFonts w:asciiTheme="minorBidi" w:hAnsiTheme="minorBidi"/>
          <w:b/>
          <w:bCs/>
          <w:lang w:val="fr-FR"/>
        </w:rPr>
      </w:pPr>
    </w:p>
    <w:p w14:paraId="40795021" w14:textId="77777777" w:rsidR="00DF6599" w:rsidRPr="007D5D76" w:rsidRDefault="00DF6599" w:rsidP="007D5D76">
      <w:pPr>
        <w:rPr>
          <w:rFonts w:asciiTheme="minorBidi" w:hAnsiTheme="minorBidi"/>
          <w:b/>
          <w:bCs/>
          <w:lang w:val="fr-FR"/>
        </w:rPr>
      </w:pPr>
    </w:p>
    <w:p w14:paraId="4BFADA7E" w14:textId="77777777" w:rsidR="000A365E" w:rsidRPr="007D5D76" w:rsidRDefault="000A365E" w:rsidP="007D5D76">
      <w:pPr>
        <w:rPr>
          <w:rFonts w:asciiTheme="minorBidi" w:hAnsiTheme="minorBidi"/>
          <w:b/>
          <w:bCs/>
          <w:lang w:val="fr-FR"/>
        </w:rPr>
      </w:pPr>
    </w:p>
    <w:p w14:paraId="5D5EA69D" w14:textId="77777777" w:rsidR="000A365E" w:rsidRPr="007D5D76" w:rsidRDefault="000A365E" w:rsidP="007D5D76">
      <w:pPr>
        <w:rPr>
          <w:rFonts w:asciiTheme="minorBidi" w:hAnsiTheme="minorBidi"/>
          <w:b/>
          <w:bCs/>
          <w:lang w:val="fr-FR"/>
        </w:rPr>
      </w:pPr>
    </w:p>
    <w:p w14:paraId="30C3D662" w14:textId="6C06D678" w:rsidR="003E6D6F" w:rsidRPr="007D5D76" w:rsidRDefault="003E6D6F" w:rsidP="007D5D76">
      <w:pPr>
        <w:rPr>
          <w:rFonts w:asciiTheme="minorBidi" w:hAnsiTheme="minorBidi"/>
          <w:b/>
          <w:bCs/>
        </w:rPr>
      </w:pPr>
      <w:r w:rsidRPr="007D5D76">
        <w:rPr>
          <w:rFonts w:asciiTheme="minorBidi" w:hAnsiTheme="minorBidi"/>
          <w:b/>
          <w:bCs/>
        </w:rPr>
        <w:lastRenderedPageBreak/>
        <w:t>Study Protocol</w:t>
      </w:r>
    </w:p>
    <w:p w14:paraId="640438C1" w14:textId="77777777" w:rsidR="003E6D6F" w:rsidRPr="007D5D76" w:rsidRDefault="003E6D6F" w:rsidP="007D5D76">
      <w:pPr>
        <w:rPr>
          <w:rFonts w:asciiTheme="minorBidi" w:hAnsiTheme="minorBidi"/>
        </w:rPr>
      </w:pPr>
    </w:p>
    <w:p w14:paraId="11022513" w14:textId="77777777" w:rsidR="003E6D6F" w:rsidRPr="007D5D76" w:rsidRDefault="003E6D6F" w:rsidP="007D5D76">
      <w:pPr>
        <w:pStyle w:val="NormalWeb"/>
        <w:numPr>
          <w:ilvl w:val="0"/>
          <w:numId w:val="3"/>
        </w:numPr>
        <w:spacing w:before="0" w:beforeAutospacing="0" w:after="0" w:afterAutospacing="0"/>
        <w:rPr>
          <w:rStyle w:val="Strong"/>
          <w:rFonts w:asciiTheme="minorBidi" w:hAnsiTheme="minorBidi" w:cstheme="minorBidi"/>
          <w:b w:val="0"/>
          <w:bCs w:val="0"/>
          <w:lang w:val="en-US"/>
        </w:rPr>
      </w:pPr>
      <w:r w:rsidRPr="007D5D76">
        <w:rPr>
          <w:rStyle w:val="Strong"/>
          <w:rFonts w:asciiTheme="minorBidi" w:hAnsiTheme="minorBidi" w:cstheme="minorBidi"/>
          <w:lang w:val="en-US"/>
        </w:rPr>
        <w:t>Patients and Methods</w:t>
      </w:r>
    </w:p>
    <w:p w14:paraId="1A54FF07" w14:textId="77777777" w:rsidR="003E6D6F" w:rsidRPr="007D5D76" w:rsidRDefault="003E6D6F" w:rsidP="007D5D76">
      <w:pPr>
        <w:pStyle w:val="NormalWeb"/>
        <w:numPr>
          <w:ilvl w:val="1"/>
          <w:numId w:val="3"/>
        </w:numPr>
        <w:spacing w:before="0" w:beforeAutospacing="0" w:after="0" w:afterAutospacing="0"/>
        <w:rPr>
          <w:rFonts w:asciiTheme="minorBidi" w:hAnsiTheme="minorBidi" w:cstheme="minorBidi"/>
          <w:b/>
          <w:bCs/>
          <w:u w:val="single"/>
          <w:lang w:val="en-US"/>
        </w:rPr>
      </w:pPr>
      <w:r w:rsidRPr="007D5D76">
        <w:rPr>
          <w:rStyle w:val="Strong"/>
          <w:rFonts w:asciiTheme="minorBidi" w:hAnsiTheme="minorBidi" w:cstheme="minorBidi"/>
          <w:b w:val="0"/>
          <w:bCs w:val="0"/>
          <w:u w:val="single"/>
          <w:lang w:val="en-US"/>
        </w:rPr>
        <w:t>Setting, Study Design, and Study Participants</w:t>
      </w:r>
    </w:p>
    <w:p w14:paraId="49C88111" w14:textId="132AB9F7" w:rsidR="003E6D6F" w:rsidRPr="007D5D76" w:rsidRDefault="003E6D6F" w:rsidP="007D5D76">
      <w:pPr>
        <w:rPr>
          <w:rFonts w:asciiTheme="minorBidi" w:hAnsiTheme="minorBidi"/>
        </w:rPr>
      </w:pPr>
      <w:r w:rsidRPr="007D5D76">
        <w:rPr>
          <w:rFonts w:asciiTheme="minorBidi" w:hAnsiTheme="minorBidi"/>
        </w:rPr>
        <w:t xml:space="preserve">This retrospective chart review included adult patients admitted for </w:t>
      </w:r>
      <w:r w:rsidRPr="007D5D76">
        <w:rPr>
          <w:rStyle w:val="Strong"/>
          <w:rFonts w:asciiTheme="minorBidi" w:hAnsiTheme="minorBidi"/>
          <w:b w:val="0"/>
          <w:bCs w:val="0"/>
        </w:rPr>
        <w:t xml:space="preserve">auto-HCT or </w:t>
      </w:r>
      <w:proofErr w:type="spellStart"/>
      <w:r w:rsidRPr="007D5D76">
        <w:rPr>
          <w:rStyle w:val="Strong"/>
          <w:rFonts w:asciiTheme="minorBidi" w:hAnsiTheme="minorBidi"/>
          <w:b w:val="0"/>
          <w:bCs w:val="0"/>
        </w:rPr>
        <w:t>allo</w:t>
      </w:r>
      <w:proofErr w:type="spellEnd"/>
      <w:r w:rsidRPr="007D5D76">
        <w:rPr>
          <w:rStyle w:val="Strong"/>
          <w:rFonts w:asciiTheme="minorBidi" w:hAnsiTheme="minorBidi"/>
          <w:b w:val="0"/>
          <w:bCs w:val="0"/>
        </w:rPr>
        <w:t xml:space="preserve">-HCT </w:t>
      </w:r>
      <w:r w:rsidRPr="007D5D76">
        <w:rPr>
          <w:rFonts w:asciiTheme="minorBidi" w:hAnsiTheme="minorBidi"/>
        </w:rPr>
        <w:t xml:space="preserve">at the Middle East Institute of Health (MEIH), a 160-bed university-affiliated tertiary care referral center in Lebanon, between 2017 and 2022. MEIH has a 9-bed HCT unit and is affiliated with the HCT unit at </w:t>
      </w:r>
      <w:proofErr w:type="spellStart"/>
      <w:r w:rsidRPr="007D5D76">
        <w:rPr>
          <w:rFonts w:asciiTheme="minorBidi" w:hAnsiTheme="minorBidi"/>
        </w:rPr>
        <w:t>Makassed</w:t>
      </w:r>
      <w:proofErr w:type="spellEnd"/>
      <w:r w:rsidRPr="007D5D76">
        <w:rPr>
          <w:rFonts w:asciiTheme="minorBidi" w:hAnsiTheme="minorBidi"/>
        </w:rPr>
        <w:t xml:space="preserve"> General Hospital, </w:t>
      </w:r>
      <w:r w:rsidRPr="007D5D76">
        <w:rPr>
          <w:rFonts w:asciiTheme="minorBidi" w:hAnsiTheme="minorBidi"/>
          <w:highlight w:val="yellow"/>
        </w:rPr>
        <w:t>another tertiary care hospital in Beirut.</w:t>
      </w:r>
      <w:r w:rsidRPr="007D5D76">
        <w:rPr>
          <w:rFonts w:asciiTheme="minorBidi" w:hAnsiTheme="minorBidi"/>
        </w:rPr>
        <w:t xml:space="preserve"> Both centers perform autologous and allogeneic HCTs, with this study specifically focused on transplant </w:t>
      </w:r>
      <w:r w:rsidRPr="007D5D76">
        <w:rPr>
          <w:rFonts w:asciiTheme="minorBidi" w:hAnsiTheme="minorBidi"/>
          <w:highlight w:val="yellow"/>
        </w:rPr>
        <w:t>admissions to MEIH.</w:t>
      </w:r>
      <w:r w:rsidR="000A365E" w:rsidRPr="007D5D76">
        <w:rPr>
          <w:rFonts w:asciiTheme="minorBidi" w:hAnsiTheme="minorBidi"/>
        </w:rPr>
        <w:t xml:space="preserve"> </w:t>
      </w:r>
      <w:r w:rsidRPr="007D5D76">
        <w:rPr>
          <w:rFonts w:asciiTheme="minorBidi" w:hAnsiTheme="minorBidi"/>
        </w:rPr>
        <w:t xml:space="preserve">The study adhered to the Declaration of Helsinki guidelines and received ethical approval from the Institutional Clinical Research Ethics Committee at </w:t>
      </w:r>
      <w:proofErr w:type="spellStart"/>
      <w:r w:rsidRPr="007D5D76">
        <w:rPr>
          <w:rFonts w:asciiTheme="minorBidi" w:hAnsiTheme="minorBidi"/>
        </w:rPr>
        <w:t>Makassed</w:t>
      </w:r>
      <w:proofErr w:type="spellEnd"/>
      <w:r w:rsidRPr="007D5D76">
        <w:rPr>
          <w:rFonts w:asciiTheme="minorBidi" w:hAnsiTheme="minorBidi"/>
        </w:rPr>
        <w:t xml:space="preserve"> General Hospital (approval number: 892021). Due to the retrospective design, patient consent was waived.</w:t>
      </w:r>
    </w:p>
    <w:p w14:paraId="2C0C34A1" w14:textId="77777777" w:rsidR="003E6D6F" w:rsidRPr="007D5D76" w:rsidRDefault="003E6D6F" w:rsidP="007D5D76">
      <w:pPr>
        <w:pStyle w:val="ListParagraph"/>
        <w:numPr>
          <w:ilvl w:val="1"/>
          <w:numId w:val="3"/>
        </w:numPr>
        <w:spacing w:before="100" w:beforeAutospacing="1" w:after="100" w:afterAutospacing="1"/>
        <w:rPr>
          <w:rFonts w:asciiTheme="minorBidi" w:hAnsiTheme="minorBidi" w:cstheme="minorBidi"/>
          <w:u w:val="single"/>
          <w:lang w:val="en-US"/>
        </w:rPr>
      </w:pPr>
      <w:r w:rsidRPr="007D5D76">
        <w:rPr>
          <w:rFonts w:asciiTheme="minorBidi" w:hAnsiTheme="minorBidi" w:cstheme="minorBidi"/>
          <w:u w:val="single"/>
          <w:lang w:val="en-US"/>
        </w:rPr>
        <w:t xml:space="preserve">Data collection </w:t>
      </w:r>
    </w:p>
    <w:p w14:paraId="6B4BDAF4" w14:textId="196003FD" w:rsidR="003E6D6F" w:rsidRPr="007D5D76" w:rsidRDefault="003E6D6F" w:rsidP="007D5D76">
      <w:pPr>
        <w:pStyle w:val="NormalWeb"/>
        <w:rPr>
          <w:rFonts w:asciiTheme="minorBidi" w:hAnsiTheme="minorBidi" w:cstheme="minorBidi"/>
          <w:lang w:val="en-US"/>
        </w:rPr>
      </w:pPr>
      <w:r w:rsidRPr="007D5D76">
        <w:rPr>
          <w:rFonts w:asciiTheme="minorBidi" w:hAnsiTheme="minorBidi" w:cstheme="minorBidi"/>
          <w:lang w:val="en-US"/>
        </w:rPr>
        <w:t>Clinical and microbiological data were retrieved from electronic medical records, the HCT registry, and medical microbiology laboratory logbooks for all patients</w:t>
      </w:r>
      <w:r w:rsidR="000A365E" w:rsidRPr="007D5D76">
        <w:rPr>
          <w:rFonts w:asciiTheme="minorBidi" w:hAnsiTheme="minorBidi" w:cstheme="minorBidi"/>
          <w:lang w:val="en-US"/>
        </w:rPr>
        <w:t>.</w:t>
      </w:r>
    </w:p>
    <w:p w14:paraId="581BB402" w14:textId="77777777" w:rsidR="003E6D6F" w:rsidRPr="007D5D76" w:rsidRDefault="003E6D6F" w:rsidP="007D5D76">
      <w:pPr>
        <w:pStyle w:val="NormalWeb"/>
        <w:numPr>
          <w:ilvl w:val="0"/>
          <w:numId w:val="1"/>
        </w:numPr>
        <w:rPr>
          <w:rFonts w:asciiTheme="minorBidi" w:hAnsiTheme="minorBidi" w:cstheme="minorBidi"/>
          <w:i/>
          <w:iCs/>
          <w:lang w:val="en-US"/>
        </w:rPr>
      </w:pPr>
      <w:r w:rsidRPr="007D5D76">
        <w:rPr>
          <w:rFonts w:asciiTheme="minorBidi" w:hAnsiTheme="minorBidi" w:cstheme="minorBidi"/>
          <w:i/>
          <w:iCs/>
          <w:lang w:val="en-US"/>
        </w:rPr>
        <w:t>Pre-transplant clinical characteristics included:</w:t>
      </w:r>
    </w:p>
    <w:p w14:paraId="39D583D3"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Baseline demographic features (age and gender),</w:t>
      </w:r>
    </w:p>
    <w:p w14:paraId="4F2EF9FD"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Underlying malignant and non-malignant diseases necessitating HCT (e.g., leukemia, lymphoma, multiple myeloma, solid tumors, aplastic anemia, or others),</w:t>
      </w:r>
    </w:p>
    <w:p w14:paraId="58392B90"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Disease status prior to transplant (partial or complete remission, or relapse),</w:t>
      </w:r>
    </w:p>
    <w:p w14:paraId="2449062F"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Type of transplant,</w:t>
      </w:r>
    </w:p>
    <w:p w14:paraId="207F0EDF"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Conditioning regimen,</w:t>
      </w:r>
    </w:p>
    <w:p w14:paraId="456A33AA"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Type of donor,</w:t>
      </w:r>
    </w:p>
    <w:p w14:paraId="164CD282"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Type of cells infused,</w:t>
      </w:r>
    </w:p>
    <w:p w14:paraId="1C347F39"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 xml:space="preserve">Prophylactic agents against graft-versus-host-disease (GvHD) for </w:t>
      </w:r>
      <w:proofErr w:type="spellStart"/>
      <w:r w:rsidRPr="007D5D76">
        <w:rPr>
          <w:rFonts w:asciiTheme="minorBidi" w:hAnsiTheme="minorBidi" w:cstheme="minorBidi"/>
          <w:lang w:val="en-US"/>
        </w:rPr>
        <w:t>allo</w:t>
      </w:r>
      <w:proofErr w:type="spellEnd"/>
      <w:r w:rsidRPr="007D5D76">
        <w:rPr>
          <w:rFonts w:asciiTheme="minorBidi" w:hAnsiTheme="minorBidi" w:cstheme="minorBidi"/>
          <w:lang w:val="en-US"/>
        </w:rPr>
        <w:t>-HCT,</w:t>
      </w:r>
    </w:p>
    <w:p w14:paraId="250177D0"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Receipt of FQ prophylaxis,</w:t>
      </w:r>
    </w:p>
    <w:p w14:paraId="445E32B1"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Receipt of broad-spectrum antimicrobials (BSA),</w:t>
      </w:r>
    </w:p>
    <w:p w14:paraId="6CCB78C1" w14:textId="77777777" w:rsidR="003E6D6F" w:rsidRPr="007D5D76" w:rsidRDefault="003E6D6F" w:rsidP="007D5D76">
      <w:pPr>
        <w:pStyle w:val="ListParagraph"/>
        <w:numPr>
          <w:ilvl w:val="1"/>
          <w:numId w:val="1"/>
        </w:numPr>
        <w:spacing w:before="100" w:beforeAutospacing="1" w:after="100" w:afterAutospacing="1"/>
        <w:rPr>
          <w:rFonts w:asciiTheme="minorBidi" w:hAnsiTheme="minorBidi" w:cstheme="minorBidi"/>
          <w:lang w:val="en-US"/>
        </w:rPr>
      </w:pPr>
      <w:r w:rsidRPr="007D5D76">
        <w:rPr>
          <w:rFonts w:asciiTheme="minorBidi" w:hAnsiTheme="minorBidi" w:cstheme="minorBidi"/>
          <w:lang w:val="en-US"/>
        </w:rPr>
        <w:t xml:space="preserve">Results of perianal surveillance cultures for third-generation cephalosporin-resistant </w:t>
      </w:r>
      <w:proofErr w:type="spellStart"/>
      <w:r w:rsidRPr="007D5D76">
        <w:rPr>
          <w:rFonts w:asciiTheme="minorBidi" w:hAnsiTheme="minorBidi" w:cstheme="minorBidi"/>
          <w:lang w:val="en-US"/>
        </w:rPr>
        <w:t>Enterobacterales</w:t>
      </w:r>
      <w:proofErr w:type="spellEnd"/>
      <w:r w:rsidRPr="007D5D76">
        <w:rPr>
          <w:rFonts w:asciiTheme="minorBidi" w:hAnsiTheme="minorBidi" w:cstheme="minorBidi"/>
          <w:lang w:val="en-US"/>
        </w:rPr>
        <w:t xml:space="preserve"> (3GCRE) and FQRE during the transplant admission.</w:t>
      </w:r>
    </w:p>
    <w:p w14:paraId="54E476C1" w14:textId="77777777" w:rsidR="003E6D6F" w:rsidRPr="007D5D76" w:rsidRDefault="003E6D6F" w:rsidP="007D5D76">
      <w:pPr>
        <w:pStyle w:val="NormalWeb"/>
        <w:numPr>
          <w:ilvl w:val="0"/>
          <w:numId w:val="1"/>
        </w:numPr>
        <w:rPr>
          <w:rFonts w:asciiTheme="minorBidi" w:hAnsiTheme="minorBidi" w:cstheme="minorBidi"/>
          <w:i/>
          <w:iCs/>
          <w:lang w:val="en-US"/>
        </w:rPr>
      </w:pPr>
      <w:r w:rsidRPr="007D5D76">
        <w:rPr>
          <w:rFonts w:asciiTheme="minorBidi" w:hAnsiTheme="minorBidi" w:cstheme="minorBidi"/>
          <w:i/>
          <w:iCs/>
          <w:lang w:val="en-US"/>
        </w:rPr>
        <w:t>Post-transplant complications included:</w:t>
      </w:r>
    </w:p>
    <w:p w14:paraId="5BACA0A7" w14:textId="77777777" w:rsidR="003E6D6F" w:rsidRPr="007D5D76" w:rsidRDefault="003E6D6F" w:rsidP="007D5D76">
      <w:pPr>
        <w:pStyle w:val="NormalWeb"/>
        <w:numPr>
          <w:ilvl w:val="1"/>
          <w:numId w:val="1"/>
        </w:numPr>
        <w:rPr>
          <w:rFonts w:asciiTheme="minorBidi" w:hAnsiTheme="minorBidi" w:cstheme="minorBidi"/>
          <w:i/>
          <w:iCs/>
          <w:lang w:val="en-US"/>
        </w:rPr>
      </w:pPr>
      <w:r w:rsidRPr="007D5D76">
        <w:rPr>
          <w:rFonts w:asciiTheme="minorBidi" w:hAnsiTheme="minorBidi" w:cstheme="minorBidi"/>
          <w:lang w:val="en-US"/>
        </w:rPr>
        <w:t xml:space="preserve">First episode of neutropenic fever,  </w:t>
      </w:r>
    </w:p>
    <w:p w14:paraId="089C1F02" w14:textId="77777777" w:rsidR="003E6D6F" w:rsidRPr="007D5D76" w:rsidRDefault="003E6D6F" w:rsidP="007D5D76">
      <w:pPr>
        <w:pStyle w:val="NormalWeb"/>
        <w:numPr>
          <w:ilvl w:val="1"/>
          <w:numId w:val="1"/>
        </w:numPr>
        <w:rPr>
          <w:rFonts w:asciiTheme="minorBidi" w:hAnsiTheme="minorBidi" w:cstheme="minorBidi"/>
          <w:i/>
          <w:iCs/>
          <w:lang w:val="en-US"/>
        </w:rPr>
      </w:pPr>
      <w:r w:rsidRPr="007D5D76">
        <w:rPr>
          <w:rFonts w:asciiTheme="minorBidi" w:hAnsiTheme="minorBidi" w:cstheme="minorBidi"/>
          <w:lang w:val="en-US"/>
        </w:rPr>
        <w:t>Diarrhea,</w:t>
      </w:r>
    </w:p>
    <w:p w14:paraId="685E3843" w14:textId="77777777" w:rsidR="003E6D6F" w:rsidRPr="007D5D76" w:rsidRDefault="003E6D6F" w:rsidP="007D5D76">
      <w:pPr>
        <w:pStyle w:val="NormalWeb"/>
        <w:numPr>
          <w:ilvl w:val="1"/>
          <w:numId w:val="1"/>
        </w:numPr>
        <w:rPr>
          <w:rFonts w:asciiTheme="minorBidi" w:hAnsiTheme="minorBidi" w:cstheme="minorBidi"/>
          <w:i/>
          <w:iCs/>
          <w:lang w:val="en-US"/>
        </w:rPr>
      </w:pPr>
      <w:r w:rsidRPr="007D5D76">
        <w:rPr>
          <w:rFonts w:asciiTheme="minorBidi" w:hAnsiTheme="minorBidi" w:cstheme="minorBidi"/>
          <w:lang w:val="en-US"/>
        </w:rPr>
        <w:t>Mucositis, graded according to the World Health Organization (WHO) scale [21],</w:t>
      </w:r>
    </w:p>
    <w:p w14:paraId="01A14673" w14:textId="77777777" w:rsidR="003E6D6F" w:rsidRPr="007D5D76" w:rsidRDefault="003E6D6F" w:rsidP="007D5D76">
      <w:pPr>
        <w:pStyle w:val="NormalWeb"/>
        <w:numPr>
          <w:ilvl w:val="1"/>
          <w:numId w:val="1"/>
        </w:numPr>
        <w:rPr>
          <w:rFonts w:asciiTheme="minorBidi" w:hAnsiTheme="minorBidi" w:cstheme="minorBidi"/>
          <w:i/>
          <w:iCs/>
          <w:lang w:val="en-US"/>
        </w:rPr>
      </w:pPr>
      <w:r w:rsidRPr="007D5D76">
        <w:rPr>
          <w:rFonts w:asciiTheme="minorBidi" w:hAnsiTheme="minorBidi" w:cstheme="minorBidi"/>
          <w:lang w:val="en-US"/>
        </w:rPr>
        <w:t>Nausea and vomiting,</w:t>
      </w:r>
    </w:p>
    <w:p w14:paraId="231850AB" w14:textId="77777777" w:rsidR="003E6D6F" w:rsidRPr="007D5D76" w:rsidRDefault="003E6D6F" w:rsidP="007D5D76">
      <w:pPr>
        <w:pStyle w:val="NormalWeb"/>
        <w:numPr>
          <w:ilvl w:val="1"/>
          <w:numId w:val="1"/>
        </w:numPr>
        <w:rPr>
          <w:rFonts w:asciiTheme="minorBidi" w:hAnsiTheme="minorBidi" w:cstheme="minorBidi"/>
          <w:i/>
          <w:iCs/>
          <w:lang w:val="en-US"/>
        </w:rPr>
      </w:pPr>
      <w:r w:rsidRPr="007D5D76">
        <w:rPr>
          <w:rFonts w:asciiTheme="minorBidi" w:hAnsiTheme="minorBidi" w:cstheme="minorBidi"/>
          <w:lang w:val="en-US"/>
        </w:rPr>
        <w:t xml:space="preserve">Neutrophil engraftment, </w:t>
      </w:r>
    </w:p>
    <w:p w14:paraId="76DB6E03" w14:textId="5A9D60A5" w:rsidR="003E6D6F" w:rsidRPr="007D5D76" w:rsidRDefault="003E6D6F" w:rsidP="007D5D76">
      <w:pPr>
        <w:pStyle w:val="NormalWeb"/>
        <w:numPr>
          <w:ilvl w:val="1"/>
          <w:numId w:val="1"/>
        </w:numPr>
        <w:rPr>
          <w:rFonts w:asciiTheme="minorBidi" w:hAnsiTheme="minorBidi" w:cstheme="minorBidi"/>
          <w:i/>
          <w:iCs/>
          <w:lang w:val="en-US"/>
        </w:rPr>
      </w:pPr>
      <w:r w:rsidRPr="007D5D76">
        <w:rPr>
          <w:rFonts w:asciiTheme="minorBidi" w:hAnsiTheme="minorBidi" w:cstheme="minorBidi"/>
          <w:lang w:val="en-US"/>
        </w:rPr>
        <w:t xml:space="preserve">Acute </w:t>
      </w:r>
      <w:r w:rsidRPr="007D5D76">
        <w:rPr>
          <w:rFonts w:asciiTheme="minorBidi" w:hAnsiTheme="minorBidi" w:cstheme="minorBidi"/>
          <w:highlight w:val="yellow"/>
          <w:lang w:val="en-US"/>
        </w:rPr>
        <w:t>GvHD</w:t>
      </w:r>
      <w:r w:rsidRPr="007D5D76">
        <w:rPr>
          <w:rFonts w:asciiTheme="minorBidi" w:hAnsiTheme="minorBidi" w:cstheme="minorBidi"/>
          <w:lang w:val="en-US"/>
        </w:rPr>
        <w:t xml:space="preserve"> as a post-engraftment complication, clinically graded and staged from grades 1 to 4 based on the extent of skin, liver, upper gastrointestinal tract, and gut involvement [</w:t>
      </w:r>
      <w:r w:rsidR="007C02B9" w:rsidRPr="007D5D76">
        <w:rPr>
          <w:rFonts w:asciiTheme="minorBidi" w:hAnsiTheme="minorBidi" w:cstheme="minorBidi"/>
          <w:lang w:val="en-US"/>
        </w:rPr>
        <w:t>1</w:t>
      </w:r>
      <w:r w:rsidRPr="007D5D76">
        <w:rPr>
          <w:rFonts w:asciiTheme="minorBidi" w:hAnsiTheme="minorBidi" w:cstheme="minorBidi"/>
          <w:lang w:val="en-US"/>
        </w:rPr>
        <w:t>].</w:t>
      </w:r>
    </w:p>
    <w:p w14:paraId="5B184FC7" w14:textId="77777777" w:rsidR="003E6D6F" w:rsidRPr="007D5D76" w:rsidRDefault="003E6D6F" w:rsidP="007D5D76">
      <w:pPr>
        <w:pStyle w:val="NormalWeb"/>
        <w:numPr>
          <w:ilvl w:val="0"/>
          <w:numId w:val="1"/>
        </w:numPr>
        <w:rPr>
          <w:rFonts w:asciiTheme="minorBidi" w:hAnsiTheme="minorBidi" w:cstheme="minorBidi"/>
          <w:i/>
          <w:iCs/>
          <w:lang w:val="en-US"/>
        </w:rPr>
      </w:pPr>
      <w:r w:rsidRPr="007D5D76">
        <w:rPr>
          <w:rFonts w:asciiTheme="minorBidi" w:hAnsiTheme="minorBidi" w:cstheme="minorBidi"/>
          <w:i/>
          <w:iCs/>
          <w:lang w:val="en-US"/>
        </w:rPr>
        <w:t>Infectious complications included:</w:t>
      </w:r>
    </w:p>
    <w:p w14:paraId="4EB97011" w14:textId="77777777" w:rsidR="003E6D6F" w:rsidRPr="007D5D76" w:rsidRDefault="003E6D6F" w:rsidP="007D5D76">
      <w:pPr>
        <w:pStyle w:val="NormalWeb"/>
        <w:numPr>
          <w:ilvl w:val="1"/>
          <w:numId w:val="1"/>
        </w:numPr>
        <w:rPr>
          <w:rFonts w:asciiTheme="minorBidi" w:hAnsiTheme="minorBidi" w:cstheme="minorBidi"/>
          <w:i/>
          <w:iCs/>
          <w:lang w:val="en-US"/>
        </w:rPr>
      </w:pPr>
      <w:r w:rsidRPr="007D5D76">
        <w:rPr>
          <w:rFonts w:asciiTheme="minorBidi" w:hAnsiTheme="minorBidi" w:cstheme="minorBidi"/>
          <w:lang w:val="en-US"/>
        </w:rPr>
        <w:lastRenderedPageBreak/>
        <w:t>Pre-engraftment bacteremia and pre-engraftment pneumonia, along with microbiological findings when available,</w:t>
      </w:r>
    </w:p>
    <w:p w14:paraId="3B0D0FCC" w14:textId="77777777" w:rsidR="003E6D6F" w:rsidRPr="007D5D76" w:rsidRDefault="003E6D6F" w:rsidP="007D5D76">
      <w:pPr>
        <w:pStyle w:val="NormalWeb"/>
        <w:numPr>
          <w:ilvl w:val="1"/>
          <w:numId w:val="1"/>
        </w:numPr>
        <w:rPr>
          <w:rFonts w:asciiTheme="minorBidi" w:hAnsiTheme="minorBidi" w:cstheme="minorBidi"/>
          <w:i/>
          <w:iCs/>
          <w:lang w:val="en-US"/>
        </w:rPr>
      </w:pPr>
      <w:r w:rsidRPr="007D5D76">
        <w:rPr>
          <w:rFonts w:asciiTheme="minorBidi" w:hAnsiTheme="minorBidi" w:cstheme="minorBidi"/>
          <w:lang w:val="en-US"/>
        </w:rPr>
        <w:t xml:space="preserve">Microbiologically documented </w:t>
      </w:r>
      <w:r w:rsidRPr="007D5D76">
        <w:rPr>
          <w:rFonts w:asciiTheme="minorBidi" w:hAnsiTheme="minorBidi" w:cstheme="minorBidi"/>
          <w:i/>
          <w:iCs/>
          <w:highlight w:val="yellow"/>
          <w:lang w:val="en-US"/>
        </w:rPr>
        <w:t>C. difficile</w:t>
      </w:r>
      <w:r w:rsidRPr="007D5D76">
        <w:rPr>
          <w:rFonts w:asciiTheme="minorBidi" w:hAnsiTheme="minorBidi" w:cstheme="minorBidi"/>
          <w:lang w:val="en-US"/>
        </w:rPr>
        <w:t xml:space="preserve"> infection,</w:t>
      </w:r>
    </w:p>
    <w:p w14:paraId="7F23D3DB" w14:textId="77777777" w:rsidR="003E6D6F" w:rsidRPr="007D5D76" w:rsidRDefault="003E6D6F" w:rsidP="007D5D76">
      <w:pPr>
        <w:numPr>
          <w:ilvl w:val="0"/>
          <w:numId w:val="1"/>
        </w:numPr>
        <w:spacing w:before="100" w:beforeAutospacing="1" w:after="100" w:afterAutospacing="1"/>
        <w:rPr>
          <w:rFonts w:asciiTheme="minorBidi" w:hAnsiTheme="minorBidi"/>
        </w:rPr>
      </w:pPr>
      <w:r w:rsidRPr="007D5D76">
        <w:rPr>
          <w:rFonts w:asciiTheme="minorBidi" w:hAnsiTheme="minorBidi"/>
        </w:rPr>
        <w:t>All-cause mortality during the same hospitalization, recorded for any death occurring at any stage of hospitalization, along with the cause of death</w:t>
      </w:r>
    </w:p>
    <w:p w14:paraId="1C837518" w14:textId="77777777" w:rsidR="003E6D6F" w:rsidRPr="007D5D76" w:rsidRDefault="003E6D6F" w:rsidP="007D5D76">
      <w:pPr>
        <w:pStyle w:val="ListParagraph"/>
        <w:numPr>
          <w:ilvl w:val="1"/>
          <w:numId w:val="3"/>
        </w:numPr>
        <w:spacing w:before="100" w:beforeAutospacing="1" w:after="100" w:afterAutospacing="1"/>
        <w:rPr>
          <w:rFonts w:asciiTheme="minorBidi" w:hAnsiTheme="minorBidi" w:cstheme="minorBidi"/>
          <w:u w:val="single"/>
          <w:lang w:val="en-US"/>
        </w:rPr>
      </w:pPr>
      <w:r w:rsidRPr="007D5D76">
        <w:rPr>
          <w:rFonts w:asciiTheme="minorBidi" w:hAnsiTheme="minorBidi" w:cstheme="minorBidi"/>
          <w:u w:val="single"/>
          <w:lang w:val="en-US"/>
        </w:rPr>
        <w:t xml:space="preserve">Transplantation procedure and other definitions </w:t>
      </w:r>
    </w:p>
    <w:p w14:paraId="7A2FC8FF" w14:textId="108FCC36"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Conditioning regimens, immunosuppressive therapies, and supportive treatments were administered according to internationally accepted standards [</w:t>
      </w:r>
      <w:r w:rsidR="007C02B9" w:rsidRPr="007D5D76">
        <w:rPr>
          <w:rFonts w:asciiTheme="minorBidi" w:hAnsiTheme="minorBidi"/>
        </w:rPr>
        <w:t>2</w:t>
      </w:r>
      <w:r w:rsidRPr="007D5D76">
        <w:rPr>
          <w:rFonts w:asciiTheme="minorBidi" w:hAnsiTheme="minorBidi"/>
        </w:rPr>
        <w:t xml:space="preserve">]. All treatment protocols were tailored based on patient age, comorbidities, and the type of malignancy or disease requiring HCT. </w:t>
      </w:r>
      <w:r w:rsidRPr="007D5D76">
        <w:rPr>
          <w:rFonts w:asciiTheme="minorBidi" w:hAnsiTheme="minorBidi"/>
          <w:highlight w:val="yellow"/>
        </w:rPr>
        <w:t xml:space="preserve">Day 0 was defined as the date of </w:t>
      </w:r>
      <w:r w:rsidRPr="007D5D76">
        <w:rPr>
          <w:rStyle w:val="Strong"/>
          <w:rFonts w:asciiTheme="minorBidi" w:hAnsiTheme="minorBidi"/>
          <w:b w:val="0"/>
          <w:bCs w:val="0"/>
          <w:highlight w:val="yellow"/>
        </w:rPr>
        <w:t xml:space="preserve">auto-HCT or </w:t>
      </w:r>
      <w:proofErr w:type="spellStart"/>
      <w:r w:rsidRPr="007D5D76">
        <w:rPr>
          <w:rStyle w:val="Strong"/>
          <w:rFonts w:asciiTheme="minorBidi" w:hAnsiTheme="minorBidi"/>
          <w:b w:val="0"/>
          <w:bCs w:val="0"/>
          <w:highlight w:val="yellow"/>
        </w:rPr>
        <w:t>allo</w:t>
      </w:r>
      <w:proofErr w:type="spellEnd"/>
      <w:r w:rsidRPr="007D5D76">
        <w:rPr>
          <w:rStyle w:val="Strong"/>
          <w:rFonts w:asciiTheme="minorBidi" w:hAnsiTheme="minorBidi"/>
          <w:b w:val="0"/>
          <w:bCs w:val="0"/>
          <w:highlight w:val="yellow"/>
        </w:rPr>
        <w:t xml:space="preserve">-HCT </w:t>
      </w:r>
      <w:r w:rsidRPr="007D5D76">
        <w:rPr>
          <w:rFonts w:asciiTheme="minorBidi" w:hAnsiTheme="minorBidi"/>
          <w:highlight w:val="yellow"/>
        </w:rPr>
        <w:t>graft infusion</w:t>
      </w:r>
      <w:r w:rsidRPr="007D5D76">
        <w:rPr>
          <w:rFonts w:asciiTheme="minorBidi" w:hAnsiTheme="minorBidi"/>
        </w:rPr>
        <w:t>. Neutropenia was defined as an absolute neutrophil count (ANC) of &lt; 1.0 × 10^9 cells/L, and severe neutropenia as an ANC of &lt; 0.5 × 10^9 cells/L after the initiation of the conditioning regimen [</w:t>
      </w:r>
      <w:r w:rsidR="007C02B9" w:rsidRPr="007D5D76">
        <w:rPr>
          <w:rFonts w:asciiTheme="minorBidi" w:hAnsiTheme="minorBidi"/>
        </w:rPr>
        <w:t>3</w:t>
      </w:r>
      <w:r w:rsidRPr="007D5D76">
        <w:rPr>
          <w:rFonts w:asciiTheme="minorBidi" w:hAnsiTheme="minorBidi"/>
        </w:rPr>
        <w:t>]. Profound neutropenia was defined as an ANC of &lt; 0.1 × 10^9 cells/L [</w:t>
      </w:r>
      <w:r w:rsidR="007C02B9" w:rsidRPr="007D5D76">
        <w:rPr>
          <w:rFonts w:asciiTheme="minorBidi" w:hAnsiTheme="minorBidi"/>
        </w:rPr>
        <w:t>3</w:t>
      </w:r>
      <w:r w:rsidRPr="007D5D76">
        <w:rPr>
          <w:rFonts w:asciiTheme="minorBidi" w:hAnsiTheme="minorBidi"/>
        </w:rPr>
        <w:t>]. Neutrophil engraftment was defined as the recovery of a stable ANC of &gt; 0.5 × 10^9 cells/L for three consecutive days post-transplantation [</w:t>
      </w:r>
      <w:r w:rsidR="007C02B9" w:rsidRPr="007D5D76">
        <w:rPr>
          <w:rFonts w:asciiTheme="minorBidi" w:hAnsiTheme="minorBidi"/>
        </w:rPr>
        <w:t>4</w:t>
      </w:r>
      <w:r w:rsidRPr="007D5D76">
        <w:rPr>
          <w:rFonts w:asciiTheme="minorBidi" w:hAnsiTheme="minorBidi"/>
        </w:rPr>
        <w:t>]. The pre-engraftment period extended from Day 0 until neutrophil engraftment. All patients remained hospitalized until neutrophil engraftment was achieved.</w:t>
      </w:r>
    </w:p>
    <w:p w14:paraId="163ED015" w14:textId="77777777" w:rsidR="003E6D6F" w:rsidRPr="007D5D76" w:rsidRDefault="003E6D6F" w:rsidP="007D5D76">
      <w:pPr>
        <w:pStyle w:val="ListParagraph"/>
        <w:numPr>
          <w:ilvl w:val="1"/>
          <w:numId w:val="3"/>
        </w:numPr>
        <w:spacing w:before="100" w:beforeAutospacing="1" w:after="100" w:afterAutospacing="1"/>
        <w:outlineLvl w:val="2"/>
        <w:rPr>
          <w:rFonts w:asciiTheme="minorBidi" w:hAnsiTheme="minorBidi" w:cstheme="minorBidi"/>
          <w:u w:val="single"/>
          <w:lang w:val="en-US"/>
        </w:rPr>
      </w:pPr>
      <w:r w:rsidRPr="007D5D76">
        <w:rPr>
          <w:rFonts w:asciiTheme="minorBidi" w:hAnsiTheme="minorBidi" w:cstheme="minorBidi"/>
          <w:u w:val="single"/>
          <w:lang w:val="en-US"/>
        </w:rPr>
        <w:t>Antimicrobial Prophylaxis and Supportive Standard of Care</w:t>
      </w:r>
    </w:p>
    <w:p w14:paraId="02C16969" w14:textId="2E305FDA"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Infection control and patient care practices in the HCT unit were adapted from the American Society for Blood and Marrow Transplantation (ASBMT) guidelines for preventing infectious complications among HCT recipients [</w:t>
      </w:r>
      <w:r w:rsidR="007C02B9" w:rsidRPr="007D5D76">
        <w:rPr>
          <w:rFonts w:asciiTheme="minorBidi" w:hAnsiTheme="minorBidi"/>
        </w:rPr>
        <w:t>5</w:t>
      </w:r>
      <w:r w:rsidRPr="007D5D76">
        <w:rPr>
          <w:rFonts w:asciiTheme="minorBidi" w:hAnsiTheme="minorBidi"/>
        </w:rPr>
        <w:t>]. The nurse-to-patient ratio was maintained at 1:4.</w:t>
      </w:r>
    </w:p>
    <w:p w14:paraId="50F581F6" w14:textId="77777777"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All patients were placed in protective environments with single-bed rooms equipped with at least 12 air exchanges per hour, HEPA-filtered directed airflow, positive air pressure, and self-closing doors. Transplant recipients remained under reverse isolation precautions until neutrophil engraftment.</w:t>
      </w:r>
    </w:p>
    <w:p w14:paraId="7587A9A3" w14:textId="77777777"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Blood products for transfusion were irradiated and leukocyte-depleted according to standard protocols. Patients were provided a low-microbial diet and managed under strict infection control measures to reduce the risk of nosocomial infections.</w:t>
      </w:r>
    </w:p>
    <w:p w14:paraId="7083B8F0" w14:textId="77777777"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highlight w:val="yellow"/>
        </w:rPr>
        <w:t>The institutional microbiological surveillance program included weekly perianal swab cultures to detect colonization by 3GCRE and FQRE starting at admission (baseline screening culture) and continuing until discharge.</w:t>
      </w:r>
    </w:p>
    <w:p w14:paraId="085AD098" w14:textId="14502A9A"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Anti-infective prophylaxis followed institutional protocols based on international recommendations [</w:t>
      </w:r>
      <w:r w:rsidR="007C02B9" w:rsidRPr="007D5D76">
        <w:rPr>
          <w:rFonts w:asciiTheme="minorBidi" w:hAnsiTheme="minorBidi"/>
        </w:rPr>
        <w:t>3,6</w:t>
      </w:r>
      <w:r w:rsidRPr="007D5D76">
        <w:rPr>
          <w:rFonts w:asciiTheme="minorBidi" w:hAnsiTheme="minorBidi"/>
        </w:rPr>
        <w:t xml:space="preserve">]. For antibacterial prophylaxis, auto-HCT recipients received FQ prophylaxis (levofloxacin 500 mg–750 mg PO once daily) at the start of conditioning chemotherapy, continuing until neutropenia recovery or the onset of neutropenic fever, </w:t>
      </w:r>
      <w:r w:rsidRPr="007D5D76">
        <w:rPr>
          <w:rFonts w:asciiTheme="minorBidi" w:hAnsiTheme="minorBidi"/>
          <w:highlight w:val="yellow"/>
        </w:rPr>
        <w:t>as per the treating oncologist’s discretion</w:t>
      </w:r>
      <w:r w:rsidRPr="007D5D76">
        <w:rPr>
          <w:rFonts w:asciiTheme="minorBidi" w:hAnsiTheme="minorBidi"/>
        </w:rPr>
        <w:t>. Auto-HCT recipients did not receive oral antifungal prophylaxis unless they developed mucositis, but they did receive antiviral prophylaxis for three months post-transplant starting on Day 0. Granulocyte colony-stimulating factors were administered from Day 1 post-transplant until full recovery from neutropenia.</w:t>
      </w:r>
    </w:p>
    <w:p w14:paraId="1F00FF02" w14:textId="77777777" w:rsidR="003E6D6F" w:rsidRPr="007D5D76" w:rsidRDefault="003E6D6F" w:rsidP="007D5D76">
      <w:pPr>
        <w:spacing w:before="100" w:beforeAutospacing="1" w:after="100" w:afterAutospacing="1"/>
        <w:rPr>
          <w:rFonts w:asciiTheme="minorBidi" w:hAnsiTheme="minorBidi"/>
        </w:rPr>
      </w:pPr>
      <w:proofErr w:type="spellStart"/>
      <w:r w:rsidRPr="007D5D76">
        <w:rPr>
          <w:rFonts w:asciiTheme="minorBidi" w:hAnsiTheme="minorBidi"/>
        </w:rPr>
        <w:lastRenderedPageBreak/>
        <w:t>Allo</w:t>
      </w:r>
      <w:proofErr w:type="spellEnd"/>
      <w:r w:rsidRPr="007D5D76">
        <w:rPr>
          <w:rFonts w:asciiTheme="minorBidi" w:hAnsiTheme="minorBidi"/>
        </w:rPr>
        <w:t xml:space="preserve">-HCT recipients also received FQ prophylaxis (levofloxacin 500 mg–750 mg PO once daily) starting with conditioning chemotherapy and continuing until the first febrile episode or neutrophil engraftment, as per the treating oncologist’s discretion. Oral azole antifungal prophylaxis was administered from Day 0 until six months post-transplant. In addition, oral phenoxymethylpenicillin (penicillin VK) was given for six months post-engraftment or until discontinuation of immunosuppressants. Prophylaxis with oral trimethoprim-sulfamethoxazole was provided three days per week for </w:t>
      </w:r>
      <w:r w:rsidRPr="007D5D76">
        <w:rPr>
          <w:rFonts w:asciiTheme="minorBidi" w:hAnsiTheme="minorBidi"/>
          <w:i/>
          <w:iCs/>
        </w:rPr>
        <w:t xml:space="preserve">Pneumocystis </w:t>
      </w:r>
      <w:proofErr w:type="spellStart"/>
      <w:r w:rsidRPr="007D5D76">
        <w:rPr>
          <w:rFonts w:asciiTheme="minorBidi" w:hAnsiTheme="minorBidi"/>
          <w:i/>
          <w:iCs/>
        </w:rPr>
        <w:t>jirovecii</w:t>
      </w:r>
      <w:proofErr w:type="spellEnd"/>
      <w:r w:rsidRPr="007D5D76">
        <w:rPr>
          <w:rFonts w:asciiTheme="minorBidi" w:hAnsiTheme="minorBidi"/>
        </w:rPr>
        <w:t xml:space="preserve"> prevention, continuing for six months post-engraftment or until immunosuppressant therapy was discontinued. Oral valacyclovir was given from Day 0 until six months post-transplant.</w:t>
      </w:r>
    </w:p>
    <w:p w14:paraId="0443B484" w14:textId="77777777"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Cytomegalovirus (CMV) prevention involved pre-emptive therapy with oral valganciclovir or intravenous ganciclovir based on weekly pp65 antigenemia assays or CMV polymerase chain reaction (PCR) results.</w:t>
      </w:r>
    </w:p>
    <w:p w14:paraId="3470D5B0" w14:textId="77777777" w:rsidR="003E6D6F" w:rsidRPr="007D5D76" w:rsidRDefault="003E6D6F" w:rsidP="007D5D76">
      <w:pPr>
        <w:pStyle w:val="Heading3"/>
        <w:numPr>
          <w:ilvl w:val="1"/>
          <w:numId w:val="3"/>
        </w:numPr>
        <w:tabs>
          <w:tab w:val="num" w:pos="360"/>
        </w:tabs>
        <w:ind w:left="0" w:firstLine="0"/>
        <w:rPr>
          <w:rFonts w:asciiTheme="minorBidi" w:hAnsiTheme="minorBidi" w:cstheme="minorBidi"/>
          <w:b w:val="0"/>
          <w:bCs w:val="0"/>
          <w:sz w:val="24"/>
          <w:szCs w:val="24"/>
          <w:u w:val="single"/>
          <w:lang w:val="en-US"/>
        </w:rPr>
      </w:pPr>
      <w:r w:rsidRPr="007D5D76">
        <w:rPr>
          <w:rFonts w:asciiTheme="minorBidi" w:hAnsiTheme="minorBidi" w:cstheme="minorBidi"/>
          <w:b w:val="0"/>
          <w:bCs w:val="0"/>
          <w:sz w:val="24"/>
          <w:szCs w:val="24"/>
          <w:u w:val="single"/>
          <w:lang w:val="en-US"/>
        </w:rPr>
        <w:t>Management of Neutropenic Fever and Infectious Diseases Workup</w:t>
      </w:r>
    </w:p>
    <w:p w14:paraId="67C2A171" w14:textId="3F679889" w:rsidR="003E6D6F" w:rsidRPr="007D5D76" w:rsidRDefault="003E6D6F" w:rsidP="007D5D76">
      <w:pPr>
        <w:pStyle w:val="NormalWeb"/>
        <w:rPr>
          <w:rFonts w:asciiTheme="minorBidi" w:hAnsiTheme="minorBidi" w:cstheme="minorBidi"/>
          <w:lang w:val="en-US"/>
        </w:rPr>
      </w:pPr>
      <w:r w:rsidRPr="007D5D76">
        <w:rPr>
          <w:rFonts w:asciiTheme="minorBidi" w:hAnsiTheme="minorBidi" w:cstheme="minorBidi"/>
          <w:lang w:val="en-US"/>
        </w:rPr>
        <w:t>Neutropenic fever was defined as a single oral temperature &gt; 38.5°C or two consecutive readings &gt; 38.0°C taken two hours apart in the presence of neutropenia [</w:t>
      </w:r>
      <w:r w:rsidR="007C02B9" w:rsidRPr="007D5D76">
        <w:rPr>
          <w:rFonts w:asciiTheme="minorBidi" w:hAnsiTheme="minorBidi" w:cstheme="minorBidi"/>
          <w:lang w:val="en-US"/>
        </w:rPr>
        <w:t>3</w:t>
      </w:r>
      <w:r w:rsidRPr="007D5D76">
        <w:rPr>
          <w:rFonts w:asciiTheme="minorBidi" w:hAnsiTheme="minorBidi" w:cstheme="minorBidi"/>
          <w:lang w:val="en-US"/>
        </w:rPr>
        <w:t>]. Fever was classified as of undetermined focus when clinical and microbiological evaluations did not identify an infectious source or pathogen.</w:t>
      </w:r>
    </w:p>
    <w:p w14:paraId="30B86A75" w14:textId="77777777" w:rsidR="003E6D6F" w:rsidRPr="007D5D76" w:rsidRDefault="003E6D6F" w:rsidP="007D5D76">
      <w:pPr>
        <w:pStyle w:val="NormalWeb"/>
        <w:rPr>
          <w:rFonts w:asciiTheme="minorBidi" w:hAnsiTheme="minorBidi" w:cstheme="minorBidi"/>
          <w:lang w:val="en-US"/>
        </w:rPr>
      </w:pPr>
      <w:r w:rsidRPr="007D5D76">
        <w:rPr>
          <w:rFonts w:asciiTheme="minorBidi" w:hAnsiTheme="minorBidi" w:cstheme="minorBidi"/>
          <w:lang w:val="en-US"/>
        </w:rPr>
        <w:t>All patients had an indwelling central venous catheter prior to the initiation of the conditioning regimen. During febrile episodes post-conditioning, two sets of aerobic blood cultures were obtained—one from a peripheral vein and the other from the central catheter—simultaneously. This process was repeated every three days if fever persisted.</w:t>
      </w:r>
    </w:p>
    <w:p w14:paraId="2DD8CE64" w14:textId="77777777" w:rsidR="003E6D6F" w:rsidRPr="007D5D76" w:rsidRDefault="003E6D6F" w:rsidP="007D5D76">
      <w:pPr>
        <w:pStyle w:val="NormalWeb"/>
        <w:rPr>
          <w:rFonts w:asciiTheme="minorBidi" w:hAnsiTheme="minorBidi" w:cstheme="minorBidi"/>
          <w:lang w:val="en-US"/>
        </w:rPr>
      </w:pPr>
      <w:r w:rsidRPr="007D5D76">
        <w:rPr>
          <w:rFonts w:asciiTheme="minorBidi" w:hAnsiTheme="minorBidi" w:cstheme="minorBidi"/>
          <w:lang w:val="en-US"/>
        </w:rPr>
        <w:t>Additional diagnostic evaluations included urine analysis and cultures, liver function tests, and chest radiography. At 72-96 hours following the initial febrile episode, the workup was repeated. Serum galactomannan levels, chest CT scans, and CMV PCR testing were ordered as needed based on assessments by the treating physician and the Infectious Diseases consultant.</w:t>
      </w:r>
    </w:p>
    <w:p w14:paraId="71729B88" w14:textId="743C7E35" w:rsidR="003E6D6F" w:rsidRPr="007D5D76" w:rsidRDefault="003E6D6F" w:rsidP="007D5D76">
      <w:pPr>
        <w:pStyle w:val="NormalWeb"/>
        <w:rPr>
          <w:rFonts w:asciiTheme="minorBidi" w:hAnsiTheme="minorBidi" w:cstheme="minorBidi"/>
          <w:lang w:val="en-US"/>
        </w:rPr>
      </w:pPr>
      <w:r w:rsidRPr="007D5D76">
        <w:rPr>
          <w:rFonts w:asciiTheme="minorBidi" w:hAnsiTheme="minorBidi" w:cstheme="minorBidi"/>
          <w:lang w:val="en-US"/>
        </w:rPr>
        <w:t xml:space="preserve">Upon the onset of fever, </w:t>
      </w:r>
      <w:r w:rsidRPr="007D5D76">
        <w:rPr>
          <w:rFonts w:asciiTheme="minorBidi" w:hAnsiTheme="minorBidi" w:cstheme="minorBidi"/>
          <w:highlight w:val="yellow"/>
          <w:lang w:val="en-US"/>
        </w:rPr>
        <w:t>FQ</w:t>
      </w:r>
      <w:r w:rsidRPr="007D5D76">
        <w:rPr>
          <w:rFonts w:asciiTheme="minorBidi" w:hAnsiTheme="minorBidi" w:cstheme="minorBidi"/>
          <w:lang w:val="en-US"/>
        </w:rPr>
        <w:t xml:space="preserve"> prophylaxis was discontinued, and patients were managed empirically according to an institutional protocol aligned with the Infectious Diseases Society of America (IDSA) and National Comprehensive Cancer Network (NCCN) guidelines for antimicrobial use in neutropenic patients with cancer [</w:t>
      </w:r>
      <w:r w:rsidR="007C02B9" w:rsidRPr="007D5D76">
        <w:rPr>
          <w:rFonts w:asciiTheme="minorBidi" w:hAnsiTheme="minorBidi" w:cstheme="minorBidi"/>
          <w:lang w:val="en-US"/>
        </w:rPr>
        <w:t>3,6</w:t>
      </w:r>
      <w:r w:rsidRPr="007D5D76">
        <w:rPr>
          <w:rFonts w:asciiTheme="minorBidi" w:hAnsiTheme="minorBidi" w:cstheme="minorBidi"/>
          <w:lang w:val="en-US"/>
        </w:rPr>
        <w:t>]. Empirical therapy was adjusted according to local and national antibiotic susceptibility patterns during the study period [</w:t>
      </w:r>
      <w:r w:rsidR="007C02B9" w:rsidRPr="007D5D76">
        <w:rPr>
          <w:rFonts w:asciiTheme="minorBidi" w:hAnsiTheme="minorBidi" w:cstheme="minorBidi"/>
          <w:lang w:val="en-US"/>
        </w:rPr>
        <w:t>7-10</w:t>
      </w:r>
      <w:r w:rsidRPr="007D5D76">
        <w:rPr>
          <w:rFonts w:asciiTheme="minorBidi" w:hAnsiTheme="minorBidi" w:cstheme="minorBidi"/>
          <w:lang w:val="en-US"/>
        </w:rPr>
        <w:t>]. Antibiotic therapy was continued until 48 hours after the resolution of neutropenia if no infection focus was identified. For infections with known susceptibility profiles, targeted therapy was administered based on the identified pathogen. The decision to discontinue antibiotic therapy was made at the discretion of the treating physician and Infectious Diseases specialists, who evaluated the patient’s clinical status daily.</w:t>
      </w:r>
    </w:p>
    <w:p w14:paraId="54C59C01" w14:textId="77777777" w:rsidR="003E6D6F" w:rsidRPr="007D5D76" w:rsidRDefault="003E6D6F" w:rsidP="007D5D76">
      <w:pPr>
        <w:pStyle w:val="ListParagraph"/>
        <w:numPr>
          <w:ilvl w:val="1"/>
          <w:numId w:val="3"/>
        </w:numPr>
        <w:spacing w:before="100" w:beforeAutospacing="1" w:after="100" w:afterAutospacing="1"/>
        <w:outlineLvl w:val="2"/>
        <w:rPr>
          <w:rFonts w:asciiTheme="minorBidi" w:hAnsiTheme="minorBidi" w:cstheme="minorBidi"/>
          <w:u w:val="single"/>
          <w:lang w:val="en-US"/>
        </w:rPr>
      </w:pPr>
      <w:r w:rsidRPr="007D5D76">
        <w:rPr>
          <w:rFonts w:asciiTheme="minorBidi" w:hAnsiTheme="minorBidi" w:cstheme="minorBidi"/>
          <w:u w:val="single"/>
          <w:lang w:val="en-US"/>
        </w:rPr>
        <w:t>Diagnosis and Initial Management of Pre-Engraftment Bacteremia</w:t>
      </w:r>
    </w:p>
    <w:p w14:paraId="3BFEA5E9" w14:textId="5FC5528D"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 xml:space="preserve">Bacteremia was defined as the isolation of </w:t>
      </w:r>
      <w:r w:rsidRPr="007D5D76">
        <w:rPr>
          <w:rFonts w:asciiTheme="minorBidi" w:hAnsiTheme="minorBidi"/>
          <w:highlight w:val="yellow"/>
        </w:rPr>
        <w:t>bacteria</w:t>
      </w:r>
      <w:r w:rsidRPr="007D5D76">
        <w:rPr>
          <w:rFonts w:asciiTheme="minorBidi" w:hAnsiTheme="minorBidi"/>
        </w:rPr>
        <w:t xml:space="preserve"> from at least one set of blood cultures, which included two aerobic culture bottles taken simultaneously [</w:t>
      </w:r>
      <w:r w:rsidR="007C02B9" w:rsidRPr="007D5D76">
        <w:rPr>
          <w:rFonts w:asciiTheme="minorBidi" w:hAnsiTheme="minorBidi"/>
        </w:rPr>
        <w:t>7,9,10</w:t>
      </w:r>
      <w:r w:rsidRPr="007D5D76">
        <w:rPr>
          <w:rFonts w:asciiTheme="minorBidi" w:hAnsiTheme="minorBidi"/>
        </w:rPr>
        <w:t xml:space="preserve">]. </w:t>
      </w:r>
      <w:r w:rsidRPr="007D5D76">
        <w:rPr>
          <w:rFonts w:asciiTheme="minorBidi" w:hAnsiTheme="minorBidi"/>
        </w:rPr>
        <w:lastRenderedPageBreak/>
        <w:t>Bacteremia occurring more than 14 days after a previous episode and separated by repeatedly negative blood cultures was considered a distinct episode [</w:t>
      </w:r>
      <w:r w:rsidR="007C02B9" w:rsidRPr="007D5D76">
        <w:rPr>
          <w:rFonts w:asciiTheme="minorBidi" w:hAnsiTheme="minorBidi"/>
        </w:rPr>
        <w:t>7,9,10</w:t>
      </w:r>
      <w:r w:rsidRPr="007D5D76">
        <w:rPr>
          <w:rFonts w:asciiTheme="minorBidi" w:hAnsiTheme="minorBidi"/>
        </w:rPr>
        <w:t>]. Blood cultures positive for potential skin contaminants (e.g., coagulase-negative staphylococci [</w:t>
      </w:r>
      <w:proofErr w:type="spellStart"/>
      <w:r w:rsidRPr="007D5D76">
        <w:rPr>
          <w:rFonts w:asciiTheme="minorBidi" w:hAnsiTheme="minorBidi"/>
        </w:rPr>
        <w:t>CoNS</w:t>
      </w:r>
      <w:proofErr w:type="spellEnd"/>
      <w:r w:rsidRPr="007D5D76">
        <w:rPr>
          <w:rFonts w:asciiTheme="minorBidi" w:hAnsiTheme="minorBidi"/>
        </w:rPr>
        <w:t xml:space="preserve">], </w:t>
      </w:r>
      <w:r w:rsidRPr="007D5D76">
        <w:rPr>
          <w:rFonts w:asciiTheme="minorBidi" w:hAnsiTheme="minorBidi"/>
          <w:i/>
          <w:iCs/>
          <w:highlight w:val="yellow"/>
        </w:rPr>
        <w:t>Bacillus spp., Propionibacterium spp., or Corynebacterium spp</w:t>
      </w:r>
      <w:r w:rsidRPr="007D5D76">
        <w:rPr>
          <w:rFonts w:asciiTheme="minorBidi" w:hAnsiTheme="minorBidi"/>
          <w:highlight w:val="yellow"/>
        </w:rPr>
        <w:t>.</w:t>
      </w:r>
      <w:r w:rsidRPr="007D5D76">
        <w:rPr>
          <w:rFonts w:asciiTheme="minorBidi" w:hAnsiTheme="minorBidi"/>
        </w:rPr>
        <w:t>) were deemed clinically significant only if one of the following criteria was met [</w:t>
      </w:r>
      <w:r w:rsidR="007C02B9" w:rsidRPr="007D5D76">
        <w:rPr>
          <w:rFonts w:asciiTheme="minorBidi" w:hAnsiTheme="minorBidi"/>
        </w:rPr>
        <w:t>7,9,10</w:t>
      </w:r>
      <w:r w:rsidRPr="007D5D76">
        <w:rPr>
          <w:rFonts w:asciiTheme="minorBidi" w:hAnsiTheme="minorBidi"/>
        </w:rPr>
        <w:t>]:</w:t>
      </w:r>
    </w:p>
    <w:p w14:paraId="332FA36D" w14:textId="77777777" w:rsidR="003E6D6F" w:rsidRPr="007D5D76" w:rsidRDefault="003E6D6F" w:rsidP="007D5D76">
      <w:pPr>
        <w:numPr>
          <w:ilvl w:val="1"/>
          <w:numId w:val="4"/>
        </w:numPr>
        <w:spacing w:before="100" w:beforeAutospacing="1" w:after="100" w:afterAutospacing="1"/>
        <w:rPr>
          <w:rFonts w:asciiTheme="minorBidi" w:hAnsiTheme="minorBidi"/>
        </w:rPr>
      </w:pPr>
      <w:r w:rsidRPr="007D5D76">
        <w:rPr>
          <w:rFonts w:asciiTheme="minorBidi" w:hAnsiTheme="minorBidi"/>
        </w:rPr>
        <w:t xml:space="preserve">Growth of the same bacterial species with an identical </w:t>
      </w:r>
      <w:r w:rsidRPr="007D5D76">
        <w:rPr>
          <w:rFonts w:asciiTheme="minorBidi" w:hAnsiTheme="minorBidi"/>
          <w:highlight w:val="yellow"/>
        </w:rPr>
        <w:t>antibiotic susceptibility patterns</w:t>
      </w:r>
      <w:r w:rsidRPr="007D5D76">
        <w:rPr>
          <w:rFonts w:asciiTheme="minorBidi" w:hAnsiTheme="minorBidi"/>
        </w:rPr>
        <w:t xml:space="preserve"> in two blood cultures drawn from different sites at the same time.</w:t>
      </w:r>
    </w:p>
    <w:p w14:paraId="459D66E3" w14:textId="77777777" w:rsidR="003E6D6F" w:rsidRPr="007D5D76" w:rsidRDefault="003E6D6F" w:rsidP="007D5D76">
      <w:pPr>
        <w:numPr>
          <w:ilvl w:val="1"/>
          <w:numId w:val="4"/>
        </w:numPr>
        <w:spacing w:before="100" w:beforeAutospacing="1" w:after="100" w:afterAutospacing="1"/>
        <w:rPr>
          <w:rFonts w:asciiTheme="minorBidi" w:hAnsiTheme="minorBidi"/>
        </w:rPr>
      </w:pPr>
      <w:r w:rsidRPr="007D5D76">
        <w:rPr>
          <w:rFonts w:asciiTheme="minorBidi" w:hAnsiTheme="minorBidi"/>
        </w:rPr>
        <w:t>Growth of the same bacterial species in one blood culture and another sterile site culture (e.g., urine, cerebrospinal fluid, ascitic fluid, pleural fluid, or joint fluid).</w:t>
      </w:r>
    </w:p>
    <w:p w14:paraId="4280E795" w14:textId="77777777" w:rsidR="003E6D6F" w:rsidRPr="007D5D76" w:rsidRDefault="003E6D6F" w:rsidP="007D5D76">
      <w:pPr>
        <w:numPr>
          <w:ilvl w:val="1"/>
          <w:numId w:val="4"/>
        </w:numPr>
        <w:spacing w:before="100" w:beforeAutospacing="1" w:after="100" w:afterAutospacing="1"/>
        <w:rPr>
          <w:rFonts w:asciiTheme="minorBidi" w:hAnsiTheme="minorBidi"/>
        </w:rPr>
      </w:pPr>
      <w:r w:rsidRPr="007D5D76">
        <w:rPr>
          <w:rFonts w:asciiTheme="minorBidi" w:hAnsiTheme="minorBidi"/>
        </w:rPr>
        <w:t>Growth of the same bacterial species in one peripheral blood culture and one blood culture taken from a central intravenous catheter, both collected simultaneously.</w:t>
      </w:r>
    </w:p>
    <w:p w14:paraId="66412627" w14:textId="41C39FA2"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Bacteremia was considered central line-associated if the central line had been in place for more than 48 hours on the date of the event, with the day of device placement counted as "day 1," and the line remained in place on the date of the event or the day prior [</w:t>
      </w:r>
      <w:r w:rsidR="007C02B9" w:rsidRPr="007D5D76">
        <w:rPr>
          <w:rFonts w:asciiTheme="minorBidi" w:hAnsiTheme="minorBidi"/>
        </w:rPr>
        <w:t>7,9,10</w:t>
      </w:r>
      <w:r w:rsidRPr="007D5D76">
        <w:rPr>
          <w:rFonts w:asciiTheme="minorBidi" w:hAnsiTheme="minorBidi"/>
        </w:rPr>
        <w:t>]. Antibiotic therapy for pre-engraftment bacteremia was guided by blood culture results and corresponding antibiograms.</w:t>
      </w:r>
    </w:p>
    <w:p w14:paraId="6C619D00" w14:textId="77777777" w:rsidR="003E6D6F" w:rsidRPr="007D5D76" w:rsidRDefault="003E6D6F" w:rsidP="007D5D76">
      <w:pPr>
        <w:pStyle w:val="Heading3"/>
        <w:numPr>
          <w:ilvl w:val="1"/>
          <w:numId w:val="3"/>
        </w:numPr>
        <w:tabs>
          <w:tab w:val="num" w:pos="360"/>
        </w:tabs>
        <w:ind w:left="0" w:firstLine="0"/>
        <w:rPr>
          <w:rFonts w:asciiTheme="minorBidi" w:hAnsiTheme="minorBidi" w:cstheme="minorBidi"/>
          <w:b w:val="0"/>
          <w:bCs w:val="0"/>
          <w:sz w:val="24"/>
          <w:szCs w:val="24"/>
          <w:u w:val="single"/>
          <w:lang w:val="en-US"/>
        </w:rPr>
      </w:pPr>
      <w:r w:rsidRPr="007D5D76">
        <w:rPr>
          <w:rFonts w:asciiTheme="minorBidi" w:hAnsiTheme="minorBidi" w:cstheme="minorBidi"/>
          <w:b w:val="0"/>
          <w:bCs w:val="0"/>
          <w:sz w:val="24"/>
          <w:szCs w:val="24"/>
          <w:u w:val="single"/>
          <w:lang w:val="en-US"/>
        </w:rPr>
        <w:t>Diagnosis and Initial Management of Pre-Engraftment Pneumonia</w:t>
      </w:r>
    </w:p>
    <w:p w14:paraId="77D10C59" w14:textId="5C4BBEFE"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Pre-engraftment pneumonia was diagnosed using a combination of clinical and radiographic criteria. Clinically, patients presented with fever (temperature &gt; 38°C), cough, dyspnea, purulent expectoration, and/or changes in respiratory secretions. Radiographic evidence, obtained via chest radiography or CT scans, showed new or progressive alveolar or interstitial infiltrates or cavitation that could not be attributed to non-infectious causes [</w:t>
      </w:r>
      <w:r w:rsidR="007C02B9" w:rsidRPr="007D5D76">
        <w:rPr>
          <w:rFonts w:asciiTheme="minorBidi" w:hAnsiTheme="minorBidi"/>
        </w:rPr>
        <w:t>10,11</w:t>
      </w:r>
      <w:r w:rsidRPr="007D5D76">
        <w:rPr>
          <w:rFonts w:asciiTheme="minorBidi" w:hAnsiTheme="minorBidi"/>
        </w:rPr>
        <w:t>]. Empiric antimicrobial therapy for pre-engraftment pneumonia was initiated according to IDSA guidelines for the management of nosocomial pneumonia [</w:t>
      </w:r>
      <w:r w:rsidR="007C02B9" w:rsidRPr="007D5D76">
        <w:rPr>
          <w:rFonts w:asciiTheme="minorBidi" w:hAnsiTheme="minorBidi"/>
        </w:rPr>
        <w:t>12</w:t>
      </w:r>
      <w:r w:rsidRPr="007D5D76">
        <w:rPr>
          <w:rFonts w:asciiTheme="minorBidi" w:hAnsiTheme="minorBidi"/>
        </w:rPr>
        <w:t>].Treatment was subsequently adjusted based on the antibiotic susceptibility of isolated organisms when available, ensuring targeted and effective therapy [</w:t>
      </w:r>
      <w:r w:rsidR="007C02B9" w:rsidRPr="007D5D76">
        <w:rPr>
          <w:rFonts w:asciiTheme="minorBidi" w:hAnsiTheme="minorBidi"/>
        </w:rPr>
        <w:t>12</w:t>
      </w:r>
      <w:r w:rsidRPr="007D5D76">
        <w:rPr>
          <w:rFonts w:asciiTheme="minorBidi" w:hAnsiTheme="minorBidi"/>
        </w:rPr>
        <w:t>].</w:t>
      </w:r>
    </w:p>
    <w:p w14:paraId="29D39C35" w14:textId="77777777" w:rsidR="003E6D6F" w:rsidRPr="007D5D76" w:rsidRDefault="003E6D6F" w:rsidP="007D5D76">
      <w:pPr>
        <w:pStyle w:val="Heading3"/>
        <w:numPr>
          <w:ilvl w:val="1"/>
          <w:numId w:val="3"/>
        </w:numPr>
        <w:tabs>
          <w:tab w:val="num" w:pos="360"/>
        </w:tabs>
        <w:ind w:left="0" w:firstLine="0"/>
        <w:rPr>
          <w:rFonts w:asciiTheme="minorBidi" w:hAnsiTheme="minorBidi" w:cstheme="minorBidi"/>
          <w:b w:val="0"/>
          <w:bCs w:val="0"/>
          <w:sz w:val="24"/>
          <w:szCs w:val="24"/>
          <w:u w:val="single"/>
          <w:lang w:val="en-US"/>
        </w:rPr>
      </w:pPr>
      <w:r w:rsidRPr="007D5D76">
        <w:rPr>
          <w:rFonts w:asciiTheme="minorBidi" w:hAnsiTheme="minorBidi" w:cstheme="minorBidi"/>
          <w:b w:val="0"/>
          <w:bCs w:val="0"/>
          <w:sz w:val="24"/>
          <w:szCs w:val="24"/>
          <w:u w:val="single"/>
          <w:lang w:val="en-US"/>
        </w:rPr>
        <w:t>Microbiological Studies and Antibiotic Susceptibility</w:t>
      </w:r>
    </w:p>
    <w:p w14:paraId="361C6A0E" w14:textId="77777777"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 xml:space="preserve">The microbiological data included all positive blood cultures linked to pre-engraftment bacteremia, along with their antibiotic susceptibility profiles. </w:t>
      </w:r>
      <w:r w:rsidRPr="007D5D76">
        <w:rPr>
          <w:rFonts w:asciiTheme="minorBidi" w:hAnsiTheme="minorBidi"/>
          <w:highlight w:val="yellow"/>
        </w:rPr>
        <w:t>Perianal</w:t>
      </w:r>
      <w:r w:rsidRPr="007D5D76">
        <w:rPr>
          <w:rFonts w:asciiTheme="minorBidi" w:hAnsiTheme="minorBidi"/>
        </w:rPr>
        <w:t xml:space="preserve"> swab culture results detecting 3GCRE and FQRE colonization during the transplant admission were also retrieved from electronic medical records. Bacterial cultures were requested based on each patient's clinical condition.</w:t>
      </w:r>
    </w:p>
    <w:p w14:paraId="7B1D7BE4" w14:textId="77777777" w:rsidR="003E6D6F" w:rsidRPr="007D5D76" w:rsidRDefault="003E6D6F" w:rsidP="007D5D76">
      <w:pPr>
        <w:spacing w:before="100" w:beforeAutospacing="1" w:after="100" w:afterAutospacing="1"/>
        <w:rPr>
          <w:rFonts w:asciiTheme="minorBidi" w:hAnsiTheme="minorBidi"/>
        </w:rPr>
      </w:pPr>
      <w:r w:rsidRPr="007D5D76">
        <w:rPr>
          <w:rFonts w:asciiTheme="minorBidi" w:hAnsiTheme="minorBidi"/>
        </w:rPr>
        <w:t>Bacterial identification adhered to standard microbiological procedures, with antibiotic susceptibility testing performed via the Kirby–Bauer disk diffusion method on Mueller–Hinton agar (</w:t>
      </w:r>
      <w:proofErr w:type="spellStart"/>
      <w:r w:rsidRPr="007D5D76">
        <w:rPr>
          <w:rFonts w:asciiTheme="minorBidi" w:hAnsiTheme="minorBidi"/>
        </w:rPr>
        <w:t>Oxoid</w:t>
      </w:r>
      <w:proofErr w:type="spellEnd"/>
      <w:r w:rsidRPr="007D5D76">
        <w:rPr>
          <w:rFonts w:asciiTheme="minorBidi" w:hAnsiTheme="minorBidi"/>
        </w:rPr>
        <w:t xml:space="preserve"> Ltd.). Culture plates were incubated at 37°C for 24 hours. Ciprofloxacin sensitivity was used to assess fluoroquinolone susceptibility in Gram-negative bacteria, and levofloxacin for </w:t>
      </w:r>
      <w:r w:rsidRPr="007D5D76">
        <w:rPr>
          <w:rStyle w:val="Emphasis"/>
          <w:rFonts w:asciiTheme="minorBidi" w:hAnsiTheme="minorBidi"/>
        </w:rPr>
        <w:t>Streptococcus</w:t>
      </w:r>
      <w:r w:rsidRPr="007D5D76">
        <w:rPr>
          <w:rFonts w:asciiTheme="minorBidi" w:hAnsiTheme="minorBidi"/>
        </w:rPr>
        <w:t xml:space="preserve"> spp. and </w:t>
      </w:r>
      <w:r w:rsidRPr="007D5D76">
        <w:rPr>
          <w:rStyle w:val="Emphasis"/>
          <w:rFonts w:asciiTheme="minorBidi" w:hAnsiTheme="minorBidi"/>
        </w:rPr>
        <w:t>Staphylococcus</w:t>
      </w:r>
      <w:r w:rsidRPr="007D5D76">
        <w:rPr>
          <w:rFonts w:asciiTheme="minorBidi" w:hAnsiTheme="minorBidi"/>
        </w:rPr>
        <w:t xml:space="preserve"> spp. Disc diffusion results were interpreted based on European </w:t>
      </w:r>
      <w:r w:rsidRPr="007D5D76">
        <w:rPr>
          <w:rFonts w:asciiTheme="minorBidi" w:hAnsiTheme="minorBidi"/>
        </w:rPr>
        <w:lastRenderedPageBreak/>
        <w:t>Committee on Antimicrobial Susceptibility Testing (EUCAST) clinical breakpoints [34].</w:t>
      </w:r>
    </w:p>
    <w:p w14:paraId="3526CDBE" w14:textId="77777777" w:rsidR="003E6D6F" w:rsidRPr="007D5D76" w:rsidRDefault="003E6D6F" w:rsidP="007D5D76">
      <w:pPr>
        <w:spacing w:before="100" w:beforeAutospacing="1" w:after="100" w:afterAutospacing="1"/>
        <w:rPr>
          <w:rFonts w:asciiTheme="minorBidi" w:hAnsiTheme="minorBidi"/>
        </w:rPr>
      </w:pPr>
      <w:proofErr w:type="spellStart"/>
      <w:r w:rsidRPr="007D5D76">
        <w:rPr>
          <w:rStyle w:val="Emphasis"/>
          <w:rFonts w:asciiTheme="minorBidi" w:hAnsiTheme="minorBidi"/>
        </w:rPr>
        <w:t>Clostridioides</w:t>
      </w:r>
      <w:proofErr w:type="spellEnd"/>
      <w:r w:rsidRPr="007D5D76">
        <w:rPr>
          <w:rStyle w:val="Emphasis"/>
          <w:rFonts w:asciiTheme="minorBidi" w:hAnsiTheme="minorBidi"/>
        </w:rPr>
        <w:t xml:space="preserve"> difficile</w:t>
      </w:r>
      <w:r w:rsidRPr="007D5D76">
        <w:rPr>
          <w:rFonts w:asciiTheme="minorBidi" w:hAnsiTheme="minorBidi"/>
        </w:rPr>
        <w:t xml:space="preserve"> diagnosis was based on the presence of </w:t>
      </w:r>
      <w:r w:rsidRPr="007D5D76">
        <w:rPr>
          <w:rFonts w:asciiTheme="minorBidi" w:hAnsiTheme="minorBidi"/>
          <w:highlight w:val="yellow"/>
        </w:rPr>
        <w:t>diarrhea (as diagnosed by the clinician and documented on the electronic medical records) and detection</w:t>
      </w:r>
      <w:r w:rsidRPr="007D5D76">
        <w:rPr>
          <w:rFonts w:asciiTheme="minorBidi" w:hAnsiTheme="minorBidi"/>
        </w:rPr>
        <w:t xml:space="preserve"> of the </w:t>
      </w:r>
      <w:r w:rsidRPr="007D5D76">
        <w:rPr>
          <w:rStyle w:val="Emphasis"/>
          <w:rFonts w:asciiTheme="minorBidi" w:hAnsiTheme="minorBidi"/>
        </w:rPr>
        <w:t>C. difficile</w:t>
      </w:r>
      <w:r w:rsidRPr="007D5D76">
        <w:rPr>
          <w:rFonts w:asciiTheme="minorBidi" w:hAnsiTheme="minorBidi"/>
        </w:rPr>
        <w:t xml:space="preserve"> toxin gene by PCR in stool, along with enzyme immunoassay (EIA) for glutamate dehydrogenase (GDH) and toxins A and B.</w:t>
      </w:r>
    </w:p>
    <w:p w14:paraId="2CAFCBDD" w14:textId="77777777" w:rsidR="003E6D6F" w:rsidRPr="007D5D76" w:rsidRDefault="003E6D6F" w:rsidP="007D5D76">
      <w:pPr>
        <w:pStyle w:val="NormalWeb"/>
        <w:rPr>
          <w:rFonts w:asciiTheme="minorBidi" w:hAnsiTheme="minorBidi" w:cstheme="minorBidi"/>
          <w:lang w:val="en-US"/>
        </w:rPr>
      </w:pPr>
      <w:r w:rsidRPr="007D5D76">
        <w:rPr>
          <w:rFonts w:asciiTheme="minorBidi" w:hAnsiTheme="minorBidi" w:cstheme="minorBidi"/>
          <w:lang w:val="en-US"/>
        </w:rPr>
        <w:t>Perianal swabbing for surveillance cultures was performed by nursing staff using sterile wooden cotton swabs. Samples were immediately transported to the medical laboratory. Swabs were inoculated onto MacConkey agar (Biolab, Hungary) and incubated at 37°C for 24 hours, following a four-quadrant dilution method for streaking. Representative colonies (lactose fermenters and non-fermenters) were transferred to sterile NaCl 0.9% tubes, adjusted to a 0.5 McFarland standard, and used to inoculate Mueller-Hinton agar (Biolab, Hungary) plates. Antibiotic disks (Bio-Rad, USA) included Amoxicillin/Clavulanic acid 20/10 µg, Cefotaxime 5 µg, Cefepime 30 µg, Ceftazidime 10 µg, Imipenem 10 µg, and Ciprofloxacin 5 µg. Results were interpreted using EUCAST breakpoints for disk diffusion, considering synergistic effects of clavulanic acid with third- and fourth-generation cephalosporins. The presence or absence of 3GCRE and ciprofloxacin susceptibility patterns were reported, with further species identification upon special request.</w:t>
      </w:r>
    </w:p>
    <w:p w14:paraId="55F94741" w14:textId="77777777" w:rsidR="00DF6599" w:rsidRPr="007D5D76" w:rsidRDefault="00DF6599" w:rsidP="007D5D76">
      <w:pPr>
        <w:pStyle w:val="NormalWeb"/>
        <w:numPr>
          <w:ilvl w:val="1"/>
          <w:numId w:val="3"/>
        </w:numPr>
        <w:rPr>
          <w:rFonts w:asciiTheme="minorBidi" w:hAnsiTheme="minorBidi" w:cstheme="minorBidi"/>
          <w:u w:val="single"/>
          <w:lang w:val="en-US"/>
        </w:rPr>
      </w:pPr>
      <w:r w:rsidRPr="007D5D76">
        <w:rPr>
          <w:rFonts w:asciiTheme="minorBidi" w:hAnsiTheme="minorBidi" w:cstheme="minorBidi"/>
          <w:u w:val="single"/>
          <w:lang w:val="en-US"/>
        </w:rPr>
        <w:t xml:space="preserve">Study endpoints </w:t>
      </w:r>
    </w:p>
    <w:p w14:paraId="572F642D" w14:textId="77777777" w:rsidR="00DF6599" w:rsidRPr="007D5D76" w:rsidRDefault="00DF6599" w:rsidP="007D5D76">
      <w:pPr>
        <w:pStyle w:val="NormalWeb"/>
        <w:numPr>
          <w:ilvl w:val="0"/>
          <w:numId w:val="2"/>
        </w:numPr>
        <w:rPr>
          <w:rFonts w:asciiTheme="minorBidi" w:hAnsiTheme="minorBidi" w:cstheme="minorBidi"/>
          <w:b/>
          <w:bCs/>
          <w:i/>
          <w:iCs/>
          <w:lang w:val="en-US"/>
        </w:rPr>
      </w:pPr>
      <w:r w:rsidRPr="007D5D76">
        <w:rPr>
          <w:rStyle w:val="Strong"/>
          <w:rFonts w:asciiTheme="minorBidi" w:hAnsiTheme="minorBidi" w:cstheme="minorBidi"/>
          <w:i/>
          <w:iCs/>
          <w:lang w:val="en-US"/>
        </w:rPr>
        <w:t>Primary:</w:t>
      </w:r>
    </w:p>
    <w:p w14:paraId="5022EAD6" w14:textId="77777777" w:rsidR="00DF6599" w:rsidRPr="007D5D76" w:rsidRDefault="00DF6599" w:rsidP="007D5D76">
      <w:pPr>
        <w:pStyle w:val="NormalWeb"/>
        <w:numPr>
          <w:ilvl w:val="1"/>
          <w:numId w:val="5"/>
        </w:numPr>
        <w:rPr>
          <w:rFonts w:asciiTheme="minorBidi" w:hAnsiTheme="minorBidi" w:cstheme="minorBidi"/>
          <w:lang w:val="en-US"/>
        </w:rPr>
      </w:pPr>
      <w:r w:rsidRPr="007D5D76">
        <w:rPr>
          <w:rStyle w:val="Strong"/>
          <w:rFonts w:asciiTheme="minorBidi" w:hAnsiTheme="minorBidi" w:cstheme="minorBidi"/>
          <w:lang w:val="en-US"/>
        </w:rPr>
        <w:t>First Fever Post-HCT:</w:t>
      </w:r>
      <w:r w:rsidRPr="007D5D76">
        <w:rPr>
          <w:rFonts w:asciiTheme="minorBidi" w:hAnsiTheme="minorBidi" w:cstheme="minorBidi"/>
          <w:lang w:val="en-US"/>
        </w:rPr>
        <w:t xml:space="preserve">  This primary outcome </w:t>
      </w:r>
      <w:r w:rsidRPr="007D5D76">
        <w:rPr>
          <w:rFonts w:asciiTheme="minorBidi" w:hAnsiTheme="minorBidi" w:cstheme="minorBidi"/>
          <w:highlight w:val="yellow"/>
        </w:rPr>
        <w:t>focused on comparing</w:t>
      </w:r>
      <w:r w:rsidRPr="007D5D76">
        <w:rPr>
          <w:rFonts w:asciiTheme="minorBidi" w:hAnsiTheme="minorBidi" w:cstheme="minorBidi"/>
          <w:lang w:val="en-US"/>
        </w:rPr>
        <w:t xml:space="preserve"> the timing and occurrence of the first febrile episode post-HCT between recipients who received </w:t>
      </w:r>
      <w:r w:rsidRPr="007D5D76">
        <w:rPr>
          <w:rFonts w:asciiTheme="minorBidi" w:hAnsiTheme="minorBidi" w:cstheme="minorBidi"/>
          <w:highlight w:val="yellow"/>
          <w:lang w:val="en-US"/>
        </w:rPr>
        <w:t>FQ prophylaxis and</w:t>
      </w:r>
      <w:r w:rsidRPr="007D5D76">
        <w:rPr>
          <w:rFonts w:asciiTheme="minorBidi" w:hAnsiTheme="minorBidi" w:cstheme="minorBidi"/>
          <w:highlight w:val="yellow"/>
        </w:rPr>
        <w:t xml:space="preserve"> those who did not</w:t>
      </w:r>
      <w:r w:rsidRPr="007D5D76">
        <w:rPr>
          <w:rFonts w:asciiTheme="minorBidi" w:hAnsiTheme="minorBidi" w:cstheme="minorBidi"/>
          <w:highlight w:val="yellow"/>
          <w:lang w:val="en-US"/>
        </w:rPr>
        <w:t xml:space="preserve">. All HCT recipients were included and further stratified by the baseline perianal surveillance cultures for FQRE, </w:t>
      </w:r>
      <w:r w:rsidRPr="007D5D76">
        <w:rPr>
          <w:rFonts w:asciiTheme="minorBidi" w:hAnsiTheme="minorBidi" w:cstheme="minorBidi"/>
          <w:highlight w:val="yellow"/>
        </w:rPr>
        <w:t>categorized as</w:t>
      </w:r>
      <w:r w:rsidRPr="007D5D76">
        <w:rPr>
          <w:rFonts w:asciiTheme="minorBidi" w:hAnsiTheme="minorBidi" w:cstheme="minorBidi"/>
          <w:highlight w:val="yellow"/>
          <w:lang w:val="en-US"/>
        </w:rPr>
        <w:t xml:space="preserve"> positive or negative. </w:t>
      </w:r>
      <w:r w:rsidRPr="007D5D76">
        <w:rPr>
          <w:rFonts w:asciiTheme="minorBidi" w:hAnsiTheme="minorBidi" w:cstheme="minorBidi"/>
          <w:highlight w:val="yellow"/>
        </w:rPr>
        <w:t xml:space="preserve"> The time to febrile neutropenia was defined as the duration from Day 0 (the day of HCT graft infusion) to the first febrile episode post-HCT.</w:t>
      </w:r>
      <w:r w:rsidRPr="007D5D76">
        <w:rPr>
          <w:rFonts w:asciiTheme="minorBidi" w:hAnsiTheme="minorBidi" w:cstheme="minorBidi"/>
          <w:highlight w:val="yellow"/>
          <w:lang w:val="en-US"/>
        </w:rPr>
        <w:t xml:space="preserve"> </w:t>
      </w:r>
      <w:r w:rsidRPr="007D5D76">
        <w:rPr>
          <w:rFonts w:asciiTheme="minorBidi" w:hAnsiTheme="minorBidi" w:cstheme="minorBidi"/>
          <w:lang w:val="en-US"/>
        </w:rPr>
        <w:t xml:space="preserve">Patients who developed fever after receiving broad-spectrum antimicrobials (BSA) were excluded from this analysis. Separate analyses were conducted for auto-HCT and </w:t>
      </w:r>
      <w:proofErr w:type="spellStart"/>
      <w:r w:rsidRPr="007D5D76">
        <w:rPr>
          <w:rFonts w:asciiTheme="minorBidi" w:hAnsiTheme="minorBidi" w:cstheme="minorBidi"/>
          <w:lang w:val="en-US"/>
        </w:rPr>
        <w:t>allo</w:t>
      </w:r>
      <w:proofErr w:type="spellEnd"/>
      <w:r w:rsidRPr="007D5D76">
        <w:rPr>
          <w:rFonts w:asciiTheme="minorBidi" w:hAnsiTheme="minorBidi" w:cstheme="minorBidi"/>
          <w:lang w:val="en-US"/>
        </w:rPr>
        <w:t>-HCT recipients.</w:t>
      </w:r>
    </w:p>
    <w:p w14:paraId="6698016F" w14:textId="77777777" w:rsidR="00DF6599" w:rsidRPr="007D5D76" w:rsidRDefault="00DF6599" w:rsidP="007D5D76">
      <w:pPr>
        <w:pStyle w:val="NormalWeb"/>
        <w:numPr>
          <w:ilvl w:val="1"/>
          <w:numId w:val="5"/>
        </w:numPr>
        <w:rPr>
          <w:rFonts w:asciiTheme="minorBidi" w:hAnsiTheme="minorBidi" w:cstheme="minorBidi"/>
          <w:lang w:val="en-US"/>
        </w:rPr>
      </w:pPr>
      <w:r w:rsidRPr="007D5D76">
        <w:rPr>
          <w:rStyle w:val="Strong"/>
          <w:rFonts w:asciiTheme="minorBidi" w:hAnsiTheme="minorBidi" w:cstheme="minorBidi"/>
          <w:lang w:val="en-US"/>
        </w:rPr>
        <w:t>Pre-engraftment Bacteremia:</w:t>
      </w:r>
      <w:r w:rsidRPr="007D5D76">
        <w:rPr>
          <w:rFonts w:asciiTheme="minorBidi" w:hAnsiTheme="minorBidi" w:cstheme="minorBidi"/>
          <w:lang w:val="en-US"/>
        </w:rPr>
        <w:t xml:space="preserve"> This endpoint </w:t>
      </w:r>
      <w:r w:rsidRPr="007D5D76">
        <w:rPr>
          <w:rFonts w:asciiTheme="minorBidi" w:hAnsiTheme="minorBidi" w:cstheme="minorBidi"/>
          <w:highlight w:val="yellow"/>
        </w:rPr>
        <w:t>focused on comparing</w:t>
      </w:r>
      <w:r w:rsidRPr="007D5D76">
        <w:rPr>
          <w:rFonts w:asciiTheme="minorBidi" w:hAnsiTheme="minorBidi" w:cstheme="minorBidi"/>
          <w:lang w:val="en-US"/>
        </w:rPr>
        <w:t xml:space="preserve"> the timing and occurrence of the first episode of pre-engraftment bacteremia </w:t>
      </w:r>
      <w:r w:rsidRPr="007D5D76">
        <w:rPr>
          <w:rFonts w:asciiTheme="minorBidi" w:hAnsiTheme="minorBidi" w:cstheme="minorBidi"/>
          <w:highlight w:val="yellow"/>
          <w:lang w:val="en-US"/>
        </w:rPr>
        <w:t>between recipients who received FQ prophylaxis and</w:t>
      </w:r>
      <w:r w:rsidRPr="007D5D76">
        <w:rPr>
          <w:rFonts w:asciiTheme="minorBidi" w:hAnsiTheme="minorBidi" w:cstheme="minorBidi"/>
          <w:highlight w:val="yellow"/>
        </w:rPr>
        <w:t xml:space="preserve"> those who did not</w:t>
      </w:r>
      <w:r w:rsidRPr="007D5D76">
        <w:rPr>
          <w:rFonts w:asciiTheme="minorBidi" w:hAnsiTheme="minorBidi" w:cstheme="minorBidi"/>
          <w:highlight w:val="yellow"/>
          <w:lang w:val="en-US"/>
        </w:rPr>
        <w:t xml:space="preserve">. HCT recipients were stratified by the baseline perianal surveillance cultures for FQRE, </w:t>
      </w:r>
      <w:r w:rsidRPr="007D5D76">
        <w:rPr>
          <w:rFonts w:asciiTheme="minorBidi" w:hAnsiTheme="minorBidi" w:cstheme="minorBidi"/>
          <w:highlight w:val="yellow"/>
        </w:rPr>
        <w:t>categorized as</w:t>
      </w:r>
      <w:r w:rsidRPr="007D5D76">
        <w:rPr>
          <w:rFonts w:asciiTheme="minorBidi" w:hAnsiTheme="minorBidi" w:cstheme="minorBidi"/>
          <w:highlight w:val="yellow"/>
          <w:lang w:val="en-US"/>
        </w:rPr>
        <w:t xml:space="preserve"> positive or negative. </w:t>
      </w:r>
      <w:r w:rsidRPr="007D5D76">
        <w:rPr>
          <w:rFonts w:asciiTheme="minorBidi" w:hAnsiTheme="minorBidi" w:cstheme="minorBidi"/>
          <w:highlight w:val="yellow"/>
        </w:rPr>
        <w:t xml:space="preserve">The time to febrile neutropenia was defined as the duration from Day 0 </w:t>
      </w:r>
      <w:r w:rsidRPr="007D5D76">
        <w:rPr>
          <w:rFonts w:asciiTheme="minorBidi" w:hAnsiTheme="minorBidi" w:cstheme="minorBidi"/>
          <w:highlight w:val="yellow"/>
          <w:lang w:val="en-US"/>
        </w:rPr>
        <w:t>to the date of the first episode of pre-engraftment bacteremia.</w:t>
      </w:r>
      <w:r w:rsidRPr="007D5D76">
        <w:rPr>
          <w:rFonts w:asciiTheme="minorBidi" w:hAnsiTheme="minorBidi" w:cstheme="minorBidi"/>
          <w:lang w:val="en-US"/>
        </w:rPr>
        <w:t xml:space="preserve"> Patients who developed bacteremia after receiving BSA, or who received BSA within the first 7 days post-HCT without developing bacteremia, were excluded from the bacteremia analysis only. Separate analyses were performed for Gram-negative pre-engraftment bacteremia. </w:t>
      </w:r>
      <w:r w:rsidRPr="007D5D76">
        <w:rPr>
          <w:rFonts w:asciiTheme="minorBidi" w:hAnsiTheme="minorBidi" w:cstheme="minorBidi"/>
          <w:highlight w:val="yellow"/>
          <w:lang w:val="en-US"/>
        </w:rPr>
        <w:t xml:space="preserve">Subgroup analyses were conducted for auto-HCT and </w:t>
      </w:r>
      <w:proofErr w:type="spellStart"/>
      <w:r w:rsidRPr="007D5D76">
        <w:rPr>
          <w:rFonts w:asciiTheme="minorBidi" w:hAnsiTheme="minorBidi" w:cstheme="minorBidi"/>
          <w:highlight w:val="yellow"/>
          <w:lang w:val="en-US"/>
        </w:rPr>
        <w:t>allo</w:t>
      </w:r>
      <w:proofErr w:type="spellEnd"/>
      <w:r w:rsidRPr="007D5D76">
        <w:rPr>
          <w:rFonts w:asciiTheme="minorBidi" w:hAnsiTheme="minorBidi" w:cstheme="minorBidi"/>
          <w:highlight w:val="yellow"/>
          <w:lang w:val="en-US"/>
        </w:rPr>
        <w:t>-HCT recipients.</w:t>
      </w:r>
    </w:p>
    <w:p w14:paraId="707BFC87" w14:textId="77777777" w:rsidR="00DF6599" w:rsidRPr="007D5D76" w:rsidRDefault="00DF6599" w:rsidP="007D5D76">
      <w:pPr>
        <w:pStyle w:val="NormalWeb"/>
        <w:numPr>
          <w:ilvl w:val="0"/>
          <w:numId w:val="2"/>
        </w:numPr>
        <w:rPr>
          <w:rFonts w:asciiTheme="minorBidi" w:hAnsiTheme="minorBidi" w:cstheme="minorBidi"/>
          <w:b/>
          <w:bCs/>
          <w:i/>
          <w:iCs/>
          <w:lang w:val="en-US"/>
        </w:rPr>
      </w:pPr>
      <w:r w:rsidRPr="007D5D76">
        <w:rPr>
          <w:rStyle w:val="Strong"/>
          <w:rFonts w:asciiTheme="minorBidi" w:hAnsiTheme="minorBidi" w:cstheme="minorBidi"/>
          <w:i/>
          <w:iCs/>
          <w:lang w:val="en-US"/>
        </w:rPr>
        <w:t>Secondary:</w:t>
      </w:r>
    </w:p>
    <w:p w14:paraId="5F93B4E3" w14:textId="77777777" w:rsidR="00DF6599" w:rsidRPr="007D5D76" w:rsidRDefault="00DF6599" w:rsidP="007D5D76">
      <w:pPr>
        <w:pStyle w:val="NormalWeb"/>
        <w:numPr>
          <w:ilvl w:val="1"/>
          <w:numId w:val="6"/>
        </w:numPr>
        <w:rPr>
          <w:rFonts w:asciiTheme="minorBidi" w:hAnsiTheme="minorBidi" w:cstheme="minorBidi"/>
          <w:lang w:val="en-US"/>
        </w:rPr>
      </w:pPr>
      <w:r w:rsidRPr="007D5D76">
        <w:rPr>
          <w:rStyle w:val="Strong"/>
          <w:rFonts w:asciiTheme="minorBidi" w:hAnsiTheme="minorBidi" w:cstheme="minorBidi"/>
          <w:lang w:val="en-US"/>
        </w:rPr>
        <w:lastRenderedPageBreak/>
        <w:t>Other Post-HCT Complications:</w:t>
      </w:r>
      <w:r w:rsidRPr="007D5D76">
        <w:rPr>
          <w:rFonts w:asciiTheme="minorBidi" w:hAnsiTheme="minorBidi" w:cstheme="minorBidi"/>
          <w:lang w:val="en-US"/>
        </w:rPr>
        <w:t xml:space="preserve"> We evaluated the timing and occurrence of pre-engraftment pneumonia, </w:t>
      </w:r>
      <w:r w:rsidRPr="007D5D76">
        <w:rPr>
          <w:rStyle w:val="Emphasis"/>
          <w:rFonts w:asciiTheme="minorBidi" w:hAnsiTheme="minorBidi" w:cstheme="minorBidi"/>
          <w:highlight w:val="yellow"/>
          <w:lang w:val="en-US"/>
        </w:rPr>
        <w:t>C. difficile</w:t>
      </w:r>
      <w:r w:rsidRPr="007D5D76">
        <w:rPr>
          <w:rFonts w:asciiTheme="minorBidi" w:hAnsiTheme="minorBidi" w:cstheme="minorBidi"/>
          <w:lang w:val="en-US"/>
        </w:rPr>
        <w:t xml:space="preserve"> infection (CDI), and all-cause in-hospital mortality in HCT recipients with and without </w:t>
      </w:r>
      <w:r w:rsidRPr="007D5D76">
        <w:rPr>
          <w:rFonts w:asciiTheme="minorBidi" w:hAnsiTheme="minorBidi" w:cstheme="minorBidi"/>
          <w:highlight w:val="yellow"/>
          <w:lang w:val="en-US"/>
        </w:rPr>
        <w:t>FQ</w:t>
      </w:r>
      <w:r w:rsidRPr="007D5D76">
        <w:rPr>
          <w:rFonts w:asciiTheme="minorBidi" w:hAnsiTheme="minorBidi" w:cstheme="minorBidi"/>
          <w:lang w:val="en-US"/>
        </w:rPr>
        <w:t xml:space="preserve"> prophylaxis. Time to event was defined </w:t>
      </w:r>
      <w:r w:rsidRPr="007D5D76">
        <w:rPr>
          <w:rFonts w:asciiTheme="minorBidi" w:hAnsiTheme="minorBidi" w:cstheme="minorBidi"/>
          <w:highlight w:val="yellow"/>
        </w:rPr>
        <w:t xml:space="preserve">as the duration from Day 0 </w:t>
      </w:r>
      <w:r w:rsidRPr="007D5D76">
        <w:rPr>
          <w:rFonts w:asciiTheme="minorBidi" w:hAnsiTheme="minorBidi" w:cstheme="minorBidi"/>
          <w:highlight w:val="yellow"/>
          <w:lang w:val="en-US"/>
        </w:rPr>
        <w:t>to the date of the</w:t>
      </w:r>
      <w:r w:rsidRPr="007D5D76" w:rsidDel="0052043C">
        <w:rPr>
          <w:rFonts w:asciiTheme="minorBidi" w:hAnsiTheme="minorBidi" w:cstheme="minorBidi"/>
          <w:lang w:val="en-US"/>
        </w:rPr>
        <w:t xml:space="preserve"> </w:t>
      </w:r>
      <w:r w:rsidRPr="007D5D76">
        <w:rPr>
          <w:rFonts w:asciiTheme="minorBidi" w:hAnsiTheme="minorBidi" w:cstheme="minorBidi"/>
          <w:lang w:val="en-US"/>
        </w:rPr>
        <w:t xml:space="preserve">occurrence of the respective complication. Subgroup analyses were conducted for auto-HCT and </w:t>
      </w:r>
      <w:proofErr w:type="spellStart"/>
      <w:r w:rsidRPr="007D5D76">
        <w:rPr>
          <w:rFonts w:asciiTheme="minorBidi" w:hAnsiTheme="minorBidi" w:cstheme="minorBidi"/>
          <w:lang w:val="en-US"/>
        </w:rPr>
        <w:t>allo</w:t>
      </w:r>
      <w:proofErr w:type="spellEnd"/>
      <w:r w:rsidRPr="007D5D76">
        <w:rPr>
          <w:rFonts w:asciiTheme="minorBidi" w:hAnsiTheme="minorBidi" w:cstheme="minorBidi"/>
          <w:lang w:val="en-US"/>
        </w:rPr>
        <w:t>-HCT recipients.</w:t>
      </w:r>
    </w:p>
    <w:p w14:paraId="408F4D65" w14:textId="77777777" w:rsidR="00DF6599" w:rsidRPr="007D5D76" w:rsidRDefault="00DF6599" w:rsidP="007D5D76">
      <w:pPr>
        <w:pStyle w:val="NormalWeb"/>
        <w:numPr>
          <w:ilvl w:val="1"/>
          <w:numId w:val="6"/>
        </w:numPr>
        <w:rPr>
          <w:rFonts w:asciiTheme="minorBidi" w:hAnsiTheme="minorBidi" w:cstheme="minorBidi"/>
          <w:lang w:val="en-US"/>
        </w:rPr>
      </w:pPr>
      <w:r w:rsidRPr="007D5D76">
        <w:rPr>
          <w:rStyle w:val="Strong"/>
          <w:rFonts w:asciiTheme="minorBidi" w:hAnsiTheme="minorBidi" w:cstheme="minorBidi"/>
          <w:lang w:val="en-US"/>
        </w:rPr>
        <w:t>Conversion from Baseline Negative to Positive FQRE/3GCRE Peri-Anal Cultures:</w:t>
      </w:r>
      <w:r w:rsidRPr="007D5D76">
        <w:rPr>
          <w:rFonts w:asciiTheme="minorBidi" w:hAnsiTheme="minorBidi" w:cstheme="minorBidi"/>
          <w:lang w:val="en-US"/>
        </w:rPr>
        <w:t xml:space="preserve"> Secondary outcomes also included examining the baseline prevalence of positive </w:t>
      </w:r>
      <w:r w:rsidRPr="007D5D76">
        <w:rPr>
          <w:rFonts w:asciiTheme="minorBidi" w:hAnsiTheme="minorBidi" w:cstheme="minorBidi"/>
          <w:highlight w:val="yellow"/>
          <w:lang w:val="en-US"/>
        </w:rPr>
        <w:t>perianal</w:t>
      </w:r>
      <w:r w:rsidRPr="007D5D76">
        <w:rPr>
          <w:rFonts w:asciiTheme="minorBidi" w:hAnsiTheme="minorBidi" w:cstheme="minorBidi"/>
          <w:lang w:val="en-US"/>
        </w:rPr>
        <w:t xml:space="preserve"> surveillance cultures for FQRE and 3GCRE, and the rate of conversion from negative to positive cultures during the transplant admission. Analyses encompassed all HCT recipients, with subgroup evaluations for auto-HCT and </w:t>
      </w:r>
      <w:proofErr w:type="spellStart"/>
      <w:r w:rsidRPr="007D5D76">
        <w:rPr>
          <w:rFonts w:asciiTheme="minorBidi" w:hAnsiTheme="minorBidi" w:cstheme="minorBidi"/>
          <w:lang w:val="en-US"/>
        </w:rPr>
        <w:t>allo</w:t>
      </w:r>
      <w:proofErr w:type="spellEnd"/>
      <w:r w:rsidRPr="007D5D76">
        <w:rPr>
          <w:rFonts w:asciiTheme="minorBidi" w:hAnsiTheme="minorBidi" w:cstheme="minorBidi"/>
          <w:lang w:val="en-US"/>
        </w:rPr>
        <w:t>-HCT patients.</w:t>
      </w:r>
    </w:p>
    <w:p w14:paraId="5498E8DE" w14:textId="77777777" w:rsidR="00DF6599" w:rsidRPr="007D5D76" w:rsidRDefault="00DF6599" w:rsidP="007D5D76">
      <w:pPr>
        <w:pStyle w:val="NormalWeb"/>
        <w:numPr>
          <w:ilvl w:val="0"/>
          <w:numId w:val="3"/>
        </w:numPr>
        <w:rPr>
          <w:rFonts w:asciiTheme="minorBidi" w:hAnsiTheme="minorBidi" w:cstheme="minorBidi"/>
          <w:b/>
          <w:bCs/>
          <w:lang w:val="en-US"/>
        </w:rPr>
      </w:pPr>
      <w:r w:rsidRPr="007D5D76">
        <w:rPr>
          <w:rFonts w:asciiTheme="minorBidi" w:hAnsiTheme="minorBidi" w:cstheme="minorBidi"/>
          <w:b/>
          <w:bCs/>
          <w:lang w:val="en-US"/>
        </w:rPr>
        <w:t>Statistical Analysis</w:t>
      </w:r>
    </w:p>
    <w:p w14:paraId="092A69F0" w14:textId="77777777" w:rsidR="00DF6599" w:rsidRPr="007D5D76" w:rsidRDefault="00DF6599" w:rsidP="007D5D76">
      <w:pPr>
        <w:pStyle w:val="NormalWeb"/>
        <w:spacing w:before="0" w:beforeAutospacing="0" w:after="0" w:afterAutospacing="0"/>
        <w:rPr>
          <w:rFonts w:asciiTheme="minorBidi" w:hAnsiTheme="minorBidi" w:cstheme="minorBidi"/>
          <w:lang w:val="en-US"/>
        </w:rPr>
      </w:pPr>
      <w:r w:rsidRPr="007D5D76">
        <w:rPr>
          <w:rFonts w:asciiTheme="minorBidi" w:hAnsiTheme="minorBidi" w:cstheme="minorBidi"/>
          <w:lang w:val="en-US"/>
        </w:rPr>
        <w:t xml:space="preserve">Data were analyzed using </w:t>
      </w:r>
      <w:r w:rsidRPr="007D5D76">
        <w:rPr>
          <w:rStyle w:val="Strong"/>
          <w:rFonts w:asciiTheme="minorBidi" w:hAnsiTheme="minorBidi" w:cstheme="minorBidi"/>
          <w:b w:val="0"/>
          <w:bCs w:val="0"/>
          <w:lang w:val="en-US"/>
        </w:rPr>
        <w:t>The Statistical Package for Social Sciences</w:t>
      </w:r>
      <w:r w:rsidRPr="007D5D76">
        <w:rPr>
          <w:rFonts w:asciiTheme="minorBidi" w:hAnsiTheme="minorBidi" w:cstheme="minorBidi"/>
          <w:lang w:val="en-US"/>
        </w:rPr>
        <w:t xml:space="preserve"> (SPSS Statistics for Windows, Version 23.0, IBM Corp., Armonk, NY, USA) and </w:t>
      </w:r>
      <w:r w:rsidRPr="007D5D76">
        <w:rPr>
          <w:rStyle w:val="Strong"/>
          <w:rFonts w:asciiTheme="minorBidi" w:hAnsiTheme="minorBidi" w:cstheme="minorBidi"/>
          <w:b w:val="0"/>
          <w:bCs w:val="0"/>
          <w:lang w:val="en-US"/>
        </w:rPr>
        <w:t>GraphPad Prism 10.2.1</w:t>
      </w:r>
      <w:r w:rsidRPr="007D5D76">
        <w:rPr>
          <w:rFonts w:asciiTheme="minorBidi" w:hAnsiTheme="minorBidi" w:cstheme="minorBidi"/>
          <w:lang w:val="en-US"/>
        </w:rPr>
        <w:t xml:space="preserve"> (GraphPad Software, San Diego, CA, USA). Descriptive statistics were utilized to summarize baseline characteristics and study outcomes. Continuous variables were reported as medians with interquartile ranges (IQR), while categorical variables were presented as frequencies and percentages.</w:t>
      </w:r>
    </w:p>
    <w:p w14:paraId="3B2ED522" w14:textId="77777777" w:rsidR="00DF6599" w:rsidRPr="007D5D76" w:rsidRDefault="00DF6599" w:rsidP="007D5D76">
      <w:pPr>
        <w:pStyle w:val="NormalWeb"/>
        <w:spacing w:before="0" w:beforeAutospacing="0" w:after="0" w:afterAutospacing="0"/>
        <w:rPr>
          <w:rFonts w:asciiTheme="minorBidi" w:hAnsiTheme="minorBidi" w:cstheme="minorBidi"/>
          <w:lang w:val="en-US"/>
        </w:rPr>
      </w:pPr>
    </w:p>
    <w:p w14:paraId="0EB354FE" w14:textId="77777777" w:rsidR="00DF6599" w:rsidRPr="007D5D76" w:rsidRDefault="00DF6599" w:rsidP="007D5D76">
      <w:pPr>
        <w:pStyle w:val="NormalWeb"/>
        <w:spacing w:before="0" w:beforeAutospacing="0" w:after="0" w:afterAutospacing="0"/>
        <w:rPr>
          <w:rFonts w:asciiTheme="minorBidi" w:hAnsiTheme="minorBidi" w:cstheme="minorBidi"/>
          <w:lang w:val="en-US"/>
        </w:rPr>
      </w:pPr>
      <w:r w:rsidRPr="007D5D76">
        <w:rPr>
          <w:rFonts w:asciiTheme="minorBidi" w:hAnsiTheme="minorBidi" w:cstheme="minorBidi"/>
          <w:lang w:val="en-US"/>
        </w:rPr>
        <w:t xml:space="preserve">Bivariate comparisons between HCT recipients who received FQ prophylaxis and those who did not were conducted using Pearson’s Chi-square test or Fisher’s exact test for categorical variables, and the Mann–Whitney U test for continuous variables, as appropriate. </w:t>
      </w:r>
      <w:r w:rsidRPr="007D5D76">
        <w:rPr>
          <w:rFonts w:asciiTheme="minorBidi" w:hAnsiTheme="minorBidi" w:cstheme="minorBidi"/>
          <w:highlight w:val="yellow"/>
          <w:lang w:val="en-US"/>
        </w:rPr>
        <w:t>Unadjusted odds ratios (OR) and 95% confidence intervals (CI) were reported to assess the impact of each variable at the bivariate level.</w:t>
      </w:r>
      <w:r w:rsidRPr="007D5D76">
        <w:rPr>
          <w:rFonts w:asciiTheme="minorBidi" w:hAnsiTheme="minorBidi" w:cstheme="minorBidi"/>
          <w:lang w:val="en-US"/>
        </w:rPr>
        <w:t xml:space="preserve"> Statistical significance was defined as a p-value &lt; 0.05 for all tests.</w:t>
      </w:r>
    </w:p>
    <w:p w14:paraId="10D04D5F" w14:textId="77777777" w:rsidR="00DF6599" w:rsidRPr="007D5D76" w:rsidRDefault="00DF6599" w:rsidP="007D5D76">
      <w:pPr>
        <w:pStyle w:val="NormalWeb"/>
        <w:spacing w:before="0" w:beforeAutospacing="0" w:after="0" w:afterAutospacing="0"/>
        <w:rPr>
          <w:rFonts w:asciiTheme="minorBidi" w:hAnsiTheme="minorBidi" w:cstheme="minorBidi"/>
          <w:lang w:val="en-US"/>
        </w:rPr>
      </w:pPr>
    </w:p>
    <w:p w14:paraId="2234F8B9" w14:textId="77777777" w:rsidR="00DF6599" w:rsidRPr="007D5D76" w:rsidRDefault="00DF6599" w:rsidP="007D5D76">
      <w:pPr>
        <w:pStyle w:val="NormalWeb"/>
        <w:spacing w:before="0" w:beforeAutospacing="0" w:after="0" w:afterAutospacing="0"/>
        <w:rPr>
          <w:rFonts w:asciiTheme="minorBidi" w:hAnsiTheme="minorBidi" w:cstheme="minorBidi"/>
          <w:lang w:val="en-US"/>
        </w:rPr>
      </w:pPr>
      <w:r w:rsidRPr="007D5D76">
        <w:rPr>
          <w:rFonts w:asciiTheme="minorBidi" w:hAnsiTheme="minorBidi" w:cstheme="minorBidi"/>
          <w:lang w:val="en-US"/>
        </w:rPr>
        <w:t xml:space="preserve">Kaplan-Meier curves were generated for each group (all HCT, auto-HCT, and </w:t>
      </w:r>
      <w:proofErr w:type="spellStart"/>
      <w:r w:rsidRPr="007D5D76">
        <w:rPr>
          <w:rFonts w:asciiTheme="minorBidi" w:hAnsiTheme="minorBidi" w:cstheme="minorBidi"/>
          <w:lang w:val="en-US"/>
        </w:rPr>
        <w:t>allo</w:t>
      </w:r>
      <w:proofErr w:type="spellEnd"/>
      <w:r w:rsidRPr="007D5D76">
        <w:rPr>
          <w:rFonts w:asciiTheme="minorBidi" w:hAnsiTheme="minorBidi" w:cstheme="minorBidi"/>
          <w:lang w:val="en-US"/>
        </w:rPr>
        <w:t>-HCT recipients) to estimate time-to-event data for the first febrile episode post-HCT and for pre-engraftment bacteremia. The log-rank test was applied to compare differences between groups. Censoring was applied at the date of the event occurrence, the date of BSA initiation, engraftment, or death, whichever occurred first, for the analyses of fever and bacteremia.</w:t>
      </w:r>
    </w:p>
    <w:p w14:paraId="6536A86C" w14:textId="77777777" w:rsidR="00DF6599" w:rsidRPr="007D5D76" w:rsidRDefault="00DF6599" w:rsidP="007D5D76">
      <w:pPr>
        <w:pStyle w:val="NormalWeb"/>
        <w:spacing w:before="0" w:beforeAutospacing="0" w:after="0" w:afterAutospacing="0"/>
        <w:rPr>
          <w:rFonts w:asciiTheme="minorBidi" w:hAnsiTheme="minorBidi" w:cstheme="minorBidi"/>
          <w:lang w:val="en-US"/>
        </w:rPr>
      </w:pPr>
    </w:p>
    <w:p w14:paraId="7CE8218E" w14:textId="77777777" w:rsidR="00DF6599" w:rsidRPr="007D5D76" w:rsidRDefault="00DF6599" w:rsidP="007D5D76">
      <w:pPr>
        <w:pStyle w:val="NormalWeb"/>
        <w:spacing w:before="0" w:beforeAutospacing="0" w:after="0" w:afterAutospacing="0"/>
        <w:rPr>
          <w:rFonts w:asciiTheme="minorBidi" w:hAnsiTheme="minorBidi" w:cstheme="minorBidi"/>
          <w:lang w:val="en-US"/>
        </w:rPr>
      </w:pPr>
      <w:r w:rsidRPr="007D5D76">
        <w:rPr>
          <w:rFonts w:asciiTheme="minorBidi" w:hAnsiTheme="minorBidi" w:cstheme="minorBidi"/>
          <w:lang w:val="en-US"/>
        </w:rPr>
        <w:t>The unadjusted hazard ratio (HR) and 95% confidence interval (CI) were calculated using the univariate Cox regression method available in GraphPad Prism to quantify the relative risk of each event between the groups. A p-value &lt; 0.05 was considered statistically significant. Due to the small sample size and/or number of events in certain subgroups, reliable Kaplan-Meier curves could not be generated for some outcomes.</w:t>
      </w:r>
    </w:p>
    <w:p w14:paraId="0BAB0889" w14:textId="77777777" w:rsidR="000A365E" w:rsidRPr="007D5D76" w:rsidRDefault="000A365E" w:rsidP="007D5D76">
      <w:pPr>
        <w:pStyle w:val="NormalWeb"/>
        <w:spacing w:before="0" w:beforeAutospacing="0" w:after="0" w:afterAutospacing="0"/>
        <w:rPr>
          <w:rFonts w:asciiTheme="minorBidi" w:hAnsiTheme="minorBidi" w:cstheme="minorBidi"/>
          <w:lang w:val="en-US"/>
        </w:rPr>
      </w:pPr>
    </w:p>
    <w:p w14:paraId="4D779E66" w14:textId="77777777" w:rsidR="000A365E" w:rsidRPr="007D5D76" w:rsidRDefault="000A365E" w:rsidP="007D5D76">
      <w:pPr>
        <w:pStyle w:val="NormalWeb"/>
        <w:spacing w:before="0" w:beforeAutospacing="0" w:after="0" w:afterAutospacing="0"/>
        <w:rPr>
          <w:rFonts w:asciiTheme="minorBidi" w:hAnsiTheme="minorBidi" w:cstheme="minorBidi"/>
          <w:lang w:val="en-US"/>
        </w:rPr>
      </w:pPr>
    </w:p>
    <w:p w14:paraId="287CEE6A" w14:textId="77777777" w:rsidR="000A365E" w:rsidRPr="007D5D76" w:rsidRDefault="000A365E" w:rsidP="007D5D76">
      <w:pPr>
        <w:pStyle w:val="NormalWeb"/>
        <w:spacing w:before="0" w:beforeAutospacing="0" w:after="0" w:afterAutospacing="0"/>
        <w:rPr>
          <w:rFonts w:asciiTheme="minorBidi" w:hAnsiTheme="minorBidi" w:cstheme="minorBidi"/>
          <w:lang w:val="en-US"/>
        </w:rPr>
      </w:pPr>
    </w:p>
    <w:p w14:paraId="4C8AC82F" w14:textId="77777777" w:rsidR="000A365E" w:rsidRPr="007D5D76" w:rsidRDefault="000A365E" w:rsidP="007D5D76">
      <w:pPr>
        <w:pStyle w:val="NormalWeb"/>
        <w:spacing w:before="0" w:beforeAutospacing="0" w:after="0" w:afterAutospacing="0"/>
        <w:rPr>
          <w:rFonts w:asciiTheme="minorBidi" w:hAnsiTheme="minorBidi" w:cstheme="minorBidi"/>
          <w:lang w:val="en-US"/>
        </w:rPr>
      </w:pPr>
    </w:p>
    <w:p w14:paraId="2AD56AB5" w14:textId="77777777" w:rsidR="000A365E" w:rsidRPr="007D5D76" w:rsidRDefault="000A365E" w:rsidP="007D5D76">
      <w:pPr>
        <w:pStyle w:val="NormalWeb"/>
        <w:spacing w:before="0" w:beforeAutospacing="0" w:after="0" w:afterAutospacing="0"/>
        <w:rPr>
          <w:rFonts w:asciiTheme="minorBidi" w:hAnsiTheme="minorBidi" w:cstheme="minorBidi"/>
          <w:lang w:val="en-US"/>
        </w:rPr>
      </w:pPr>
    </w:p>
    <w:p w14:paraId="2E51C051" w14:textId="77777777" w:rsidR="000A365E" w:rsidRPr="007D5D76" w:rsidRDefault="000A365E" w:rsidP="007D5D76">
      <w:pPr>
        <w:pStyle w:val="NormalWeb"/>
        <w:spacing w:before="0" w:beforeAutospacing="0" w:after="0" w:afterAutospacing="0"/>
        <w:rPr>
          <w:rFonts w:asciiTheme="minorBidi" w:hAnsiTheme="minorBidi" w:cstheme="minorBidi"/>
          <w:lang w:val="en-US"/>
        </w:rPr>
      </w:pPr>
    </w:p>
    <w:p w14:paraId="2146EFC6" w14:textId="77777777" w:rsidR="000A365E" w:rsidRPr="007D5D76" w:rsidRDefault="000A365E" w:rsidP="007D5D76">
      <w:pPr>
        <w:pStyle w:val="NormalWeb"/>
        <w:spacing w:before="0" w:beforeAutospacing="0" w:after="0" w:afterAutospacing="0"/>
        <w:rPr>
          <w:rFonts w:asciiTheme="minorBidi" w:hAnsiTheme="minorBidi" w:cstheme="minorBidi"/>
          <w:lang w:val="en-US"/>
        </w:rPr>
      </w:pPr>
    </w:p>
    <w:p w14:paraId="176E6709" w14:textId="0EDF5C15" w:rsidR="000A365E" w:rsidRPr="007D5D76" w:rsidRDefault="000A365E" w:rsidP="007D5D76">
      <w:pPr>
        <w:pStyle w:val="NormalWeb"/>
        <w:spacing w:before="0" w:beforeAutospacing="0" w:after="0" w:afterAutospacing="0"/>
        <w:rPr>
          <w:rFonts w:asciiTheme="minorBidi" w:hAnsiTheme="minorBidi" w:cstheme="minorBidi"/>
          <w:b/>
          <w:bCs/>
          <w:lang w:val="en-US"/>
        </w:rPr>
      </w:pPr>
      <w:r w:rsidRPr="007D5D76">
        <w:rPr>
          <w:rFonts w:asciiTheme="minorBidi" w:hAnsiTheme="minorBidi" w:cstheme="minorBidi"/>
          <w:b/>
          <w:bCs/>
          <w:lang w:val="en-US"/>
        </w:rPr>
        <w:lastRenderedPageBreak/>
        <w:t>References</w:t>
      </w:r>
    </w:p>
    <w:p w14:paraId="1BCB39E8" w14:textId="77777777" w:rsidR="007C02B9" w:rsidRPr="007D5D76" w:rsidRDefault="007C02B9" w:rsidP="007D5D76">
      <w:pPr>
        <w:pStyle w:val="NormalWeb"/>
        <w:numPr>
          <w:ilvl w:val="0"/>
          <w:numId w:val="7"/>
        </w:numPr>
        <w:rPr>
          <w:rFonts w:asciiTheme="minorBidi" w:hAnsiTheme="minorBidi" w:cstheme="minorBidi"/>
          <w:lang w:val="en-US"/>
        </w:rPr>
      </w:pPr>
      <w:proofErr w:type="spellStart"/>
      <w:r w:rsidRPr="007D5D76">
        <w:rPr>
          <w:rFonts w:asciiTheme="minorBidi" w:hAnsiTheme="minorBidi" w:cstheme="minorBidi"/>
          <w:shd w:val="clear" w:color="auto" w:fill="FFFFFF"/>
          <w:lang w:val="en-US"/>
        </w:rPr>
        <w:t>Freifeld</w:t>
      </w:r>
      <w:proofErr w:type="spellEnd"/>
      <w:r w:rsidRPr="007D5D76">
        <w:rPr>
          <w:rFonts w:asciiTheme="minorBidi" w:hAnsiTheme="minorBidi" w:cstheme="minorBidi"/>
          <w:shd w:val="clear" w:color="auto" w:fill="FFFFFF"/>
          <w:lang w:val="en-US"/>
        </w:rPr>
        <w:t xml:space="preserve"> AG, Bow EJ, </w:t>
      </w:r>
      <w:proofErr w:type="spellStart"/>
      <w:r w:rsidRPr="007D5D76">
        <w:rPr>
          <w:rFonts w:asciiTheme="minorBidi" w:hAnsiTheme="minorBidi" w:cstheme="minorBidi"/>
          <w:shd w:val="clear" w:color="auto" w:fill="FFFFFF"/>
          <w:lang w:val="en-US"/>
        </w:rPr>
        <w:t>Sepkowitz</w:t>
      </w:r>
      <w:proofErr w:type="spellEnd"/>
      <w:r w:rsidRPr="007D5D76">
        <w:rPr>
          <w:rFonts w:asciiTheme="minorBidi" w:hAnsiTheme="minorBidi" w:cstheme="minorBidi"/>
          <w:shd w:val="clear" w:color="auto" w:fill="FFFFFF"/>
          <w:lang w:val="en-US"/>
        </w:rPr>
        <w:t xml:space="preserve"> KA, et al. Clinical practice guideline for the use of antimicrobial agents in neutropenic patients with cancer: 2010 update by the infectious diseases society of </w:t>
      </w:r>
      <w:proofErr w:type="spellStart"/>
      <w:r w:rsidRPr="007D5D76">
        <w:rPr>
          <w:rFonts w:asciiTheme="minorBidi" w:hAnsiTheme="minorBidi" w:cstheme="minorBidi"/>
          <w:shd w:val="clear" w:color="auto" w:fill="FFFFFF"/>
          <w:lang w:val="en-US"/>
        </w:rPr>
        <w:t>america</w:t>
      </w:r>
      <w:proofErr w:type="spellEnd"/>
      <w:r w:rsidRPr="007D5D76">
        <w:rPr>
          <w:rFonts w:asciiTheme="minorBidi" w:hAnsiTheme="minorBidi" w:cstheme="minorBidi"/>
          <w:shd w:val="clear" w:color="auto" w:fill="FFFFFF"/>
          <w:lang w:val="en-US"/>
        </w:rPr>
        <w:t>. Clin Infect Dis. 2011 Feb 15;52(4):e56-93.</w:t>
      </w:r>
    </w:p>
    <w:p w14:paraId="5E792F9A" w14:textId="77777777" w:rsidR="007C02B9" w:rsidRPr="007D5D76" w:rsidRDefault="007C02B9" w:rsidP="007D5D76">
      <w:pPr>
        <w:pStyle w:val="NormalWeb"/>
        <w:numPr>
          <w:ilvl w:val="0"/>
          <w:numId w:val="7"/>
        </w:numPr>
        <w:rPr>
          <w:rFonts w:asciiTheme="minorBidi" w:hAnsiTheme="minorBidi" w:cstheme="minorBidi"/>
          <w:lang w:val="en-US"/>
        </w:rPr>
      </w:pPr>
      <w:r w:rsidRPr="007D5D76">
        <w:rPr>
          <w:rFonts w:asciiTheme="minorBidi" w:hAnsiTheme="minorBidi" w:cstheme="minorBidi"/>
          <w:lang w:val="en-US"/>
        </w:rPr>
        <w:t xml:space="preserve">National Comprehensive Cancer Network. NCCN Clinical Practice Guidelines in Oncology (NCCN Guidelines): Prevention and Treatment of Cancer-Related Infections. Version 1.2022. Fort Washington, PA: National Comprehensive Cancer Network, 2022. </w:t>
      </w:r>
      <w:hyperlink r:id="rId7" w:history="1">
        <w:r w:rsidRPr="007D5D76">
          <w:rPr>
            <w:rStyle w:val="Hyperlink"/>
            <w:rFonts w:asciiTheme="minorBidi" w:hAnsiTheme="minorBidi" w:cstheme="minorBidi"/>
            <w:color w:val="auto"/>
            <w:lang w:val="en-US"/>
          </w:rPr>
          <w:t>https://www.nccn.org</w:t>
        </w:r>
      </w:hyperlink>
      <w:r w:rsidRPr="007D5D76">
        <w:rPr>
          <w:rFonts w:asciiTheme="minorBidi" w:hAnsiTheme="minorBidi" w:cstheme="minorBidi"/>
          <w:lang w:val="en-US"/>
        </w:rPr>
        <w:t>.</w:t>
      </w:r>
    </w:p>
    <w:p w14:paraId="6A241B3B" w14:textId="77777777" w:rsidR="007C02B9" w:rsidRPr="007D5D76" w:rsidRDefault="007C02B9" w:rsidP="007D5D76">
      <w:pPr>
        <w:pStyle w:val="NormalWeb"/>
        <w:numPr>
          <w:ilvl w:val="0"/>
          <w:numId w:val="7"/>
        </w:numPr>
        <w:rPr>
          <w:rFonts w:asciiTheme="minorBidi" w:hAnsiTheme="minorBidi" w:cstheme="minorBidi"/>
          <w:lang w:val="en-US"/>
        </w:rPr>
      </w:pPr>
      <w:proofErr w:type="spellStart"/>
      <w:r w:rsidRPr="007D5D76">
        <w:rPr>
          <w:rFonts w:asciiTheme="minorBidi" w:hAnsiTheme="minorBidi" w:cstheme="minorBidi"/>
          <w:shd w:val="clear" w:color="auto" w:fill="FFFFFF"/>
          <w:lang w:val="en-US"/>
        </w:rPr>
        <w:t>Satlin</w:t>
      </w:r>
      <w:proofErr w:type="spellEnd"/>
      <w:r w:rsidRPr="007D5D76">
        <w:rPr>
          <w:rFonts w:asciiTheme="minorBidi" w:hAnsiTheme="minorBidi" w:cstheme="minorBidi"/>
          <w:shd w:val="clear" w:color="auto" w:fill="FFFFFF"/>
          <w:lang w:val="en-US"/>
        </w:rPr>
        <w:t xml:space="preserve"> MJ, Chen L, Douglass C, et al. Colonization With Fluoroquinolone-Resistant </w:t>
      </w:r>
      <w:proofErr w:type="spellStart"/>
      <w:r w:rsidRPr="007D5D76">
        <w:rPr>
          <w:rFonts w:asciiTheme="minorBidi" w:hAnsiTheme="minorBidi" w:cstheme="minorBidi"/>
          <w:shd w:val="clear" w:color="auto" w:fill="FFFFFF"/>
          <w:lang w:val="en-US"/>
        </w:rPr>
        <w:t>Enterobacterales</w:t>
      </w:r>
      <w:proofErr w:type="spellEnd"/>
      <w:r w:rsidRPr="007D5D76">
        <w:rPr>
          <w:rFonts w:asciiTheme="minorBidi" w:hAnsiTheme="minorBidi" w:cstheme="minorBidi"/>
          <w:shd w:val="clear" w:color="auto" w:fill="FFFFFF"/>
          <w:lang w:val="en-US"/>
        </w:rPr>
        <w:t xml:space="preserve"> Decreases the Effectiveness of Fluoroquinolone Prophylaxis in Hematopoietic Cell Transplant Recipients. Clin Infect Dis. 2021 Oct 5;73(7):1257-1265. </w:t>
      </w:r>
    </w:p>
    <w:p w14:paraId="0635A30B" w14:textId="77777777" w:rsidR="007C02B9" w:rsidRPr="007D5D76" w:rsidRDefault="007C02B9" w:rsidP="007D5D76">
      <w:pPr>
        <w:pStyle w:val="NormalWeb"/>
        <w:numPr>
          <w:ilvl w:val="0"/>
          <w:numId w:val="7"/>
        </w:numPr>
        <w:rPr>
          <w:rFonts w:asciiTheme="minorBidi" w:hAnsiTheme="minorBidi" w:cstheme="minorBidi"/>
          <w:lang w:val="en-US"/>
        </w:rPr>
      </w:pPr>
      <w:r w:rsidRPr="007D5D76">
        <w:rPr>
          <w:rFonts w:asciiTheme="minorBidi" w:hAnsiTheme="minorBidi" w:cstheme="minorBidi"/>
          <w:lang w:val="en-US"/>
        </w:rPr>
        <w:t xml:space="preserve">Chong Y, </w:t>
      </w:r>
      <w:proofErr w:type="spellStart"/>
      <w:r w:rsidRPr="007D5D76">
        <w:rPr>
          <w:rFonts w:asciiTheme="minorBidi" w:hAnsiTheme="minorBidi" w:cstheme="minorBidi"/>
          <w:lang w:val="en-US"/>
        </w:rPr>
        <w:t>Shimoda</w:t>
      </w:r>
      <w:proofErr w:type="spellEnd"/>
      <w:r w:rsidRPr="007D5D76">
        <w:rPr>
          <w:rFonts w:asciiTheme="minorBidi" w:hAnsiTheme="minorBidi" w:cstheme="minorBidi"/>
          <w:lang w:val="en-US"/>
        </w:rPr>
        <w:t xml:space="preserve"> S, </w:t>
      </w:r>
      <w:proofErr w:type="spellStart"/>
      <w:r w:rsidRPr="007D5D76">
        <w:rPr>
          <w:rFonts w:asciiTheme="minorBidi" w:hAnsiTheme="minorBidi" w:cstheme="minorBidi"/>
          <w:lang w:val="en-US"/>
        </w:rPr>
        <w:t>Yakushiji</w:t>
      </w:r>
      <w:proofErr w:type="spellEnd"/>
      <w:r w:rsidRPr="007D5D76">
        <w:rPr>
          <w:rFonts w:asciiTheme="minorBidi" w:hAnsiTheme="minorBidi" w:cstheme="minorBidi"/>
          <w:lang w:val="en-US"/>
        </w:rPr>
        <w:t xml:space="preserve"> H, et al. Clinical impact of fluoroquinolone- resistant </w:t>
      </w:r>
      <w:r w:rsidRPr="007D5D76">
        <w:rPr>
          <w:rFonts w:asciiTheme="minorBidi" w:hAnsiTheme="minorBidi" w:cstheme="minorBidi"/>
          <w:i/>
          <w:iCs/>
          <w:lang w:val="en-US"/>
        </w:rPr>
        <w:t xml:space="preserve">Escherichia coli </w:t>
      </w:r>
      <w:r w:rsidRPr="007D5D76">
        <w:rPr>
          <w:rFonts w:asciiTheme="minorBidi" w:hAnsiTheme="minorBidi" w:cstheme="minorBidi"/>
          <w:lang w:val="en-US"/>
        </w:rPr>
        <w:t xml:space="preserve">in the fecal flora of hematological patients with neutropenia and levofloxacin prophylaxis. </w:t>
      </w:r>
      <w:proofErr w:type="spellStart"/>
      <w:r w:rsidRPr="007D5D76">
        <w:rPr>
          <w:rFonts w:asciiTheme="minorBidi" w:hAnsiTheme="minorBidi" w:cstheme="minorBidi"/>
          <w:lang w:val="en-US"/>
        </w:rPr>
        <w:t>PLoS</w:t>
      </w:r>
      <w:proofErr w:type="spellEnd"/>
      <w:r w:rsidRPr="007D5D76">
        <w:rPr>
          <w:rFonts w:asciiTheme="minorBidi" w:hAnsiTheme="minorBidi" w:cstheme="minorBidi"/>
          <w:lang w:val="en-US"/>
        </w:rPr>
        <w:t xml:space="preserve"> One 2014; 9:e85210.</w:t>
      </w:r>
    </w:p>
    <w:p w14:paraId="52BC9318" w14:textId="77777777" w:rsidR="007C02B9" w:rsidRPr="007D5D76" w:rsidRDefault="007C02B9" w:rsidP="007D5D76">
      <w:pPr>
        <w:pStyle w:val="NormalWeb"/>
        <w:numPr>
          <w:ilvl w:val="0"/>
          <w:numId w:val="7"/>
        </w:numPr>
        <w:rPr>
          <w:rFonts w:asciiTheme="minorBidi" w:hAnsiTheme="minorBidi" w:cstheme="minorBidi"/>
          <w:lang w:val="en-US"/>
        </w:rPr>
      </w:pPr>
      <w:r w:rsidRPr="007D5D76">
        <w:rPr>
          <w:rFonts w:asciiTheme="minorBidi" w:hAnsiTheme="minorBidi" w:cstheme="minorBidi"/>
          <w:lang w:val="en-US"/>
        </w:rPr>
        <w:t>World Health Organization. Global Antimicrobial Resistance and Use Surveillance System (GLASS) Dashboard, Country, Territory or Area Profiles. World Health Organization, 2023, </w:t>
      </w:r>
      <w:hyperlink r:id="rId8" w:anchor="!/cta-profiles" w:tgtFrame="_blank" w:history="1">
        <w:r w:rsidRPr="007D5D76">
          <w:rPr>
            <w:rFonts w:asciiTheme="minorBidi" w:hAnsiTheme="minorBidi" w:cstheme="minorBidi"/>
            <w:u w:val="single"/>
            <w:lang w:val="en-US"/>
          </w:rPr>
          <w:t>https://worldhealthorg.shinyapps.io/glass-dashboard/_w_da287acd/_w_2724ea81/#!/cta-profiles</w:t>
        </w:r>
      </w:hyperlink>
      <w:r w:rsidRPr="007D5D76">
        <w:rPr>
          <w:rFonts w:asciiTheme="minorBidi" w:hAnsiTheme="minorBidi" w:cstheme="minorBidi"/>
          <w:lang w:val="en-US"/>
        </w:rPr>
        <w:t>.</w:t>
      </w:r>
    </w:p>
    <w:p w14:paraId="2763DF1B" w14:textId="77777777" w:rsidR="007C02B9" w:rsidRPr="007D5D76" w:rsidRDefault="007C02B9" w:rsidP="007D5D76">
      <w:pPr>
        <w:pStyle w:val="ListParagraph"/>
        <w:numPr>
          <w:ilvl w:val="0"/>
          <w:numId w:val="7"/>
        </w:numPr>
        <w:rPr>
          <w:rFonts w:asciiTheme="minorBidi" w:hAnsiTheme="minorBidi" w:cstheme="minorBidi"/>
          <w:shd w:val="clear" w:color="auto" w:fill="FFFFFF"/>
        </w:rPr>
      </w:pPr>
      <w:r w:rsidRPr="007D5D76">
        <w:rPr>
          <w:rFonts w:asciiTheme="minorBidi" w:hAnsiTheme="minorBidi" w:cstheme="minorBidi"/>
          <w:shd w:val="clear" w:color="auto" w:fill="FFFFFF"/>
        </w:rPr>
        <w:t>Gottesdiener LS, Satlin MJ. Global impact of antibacterial resistance in patients with hematologic malignancies and hematopoietic cell transplant recipients. Transpl Infect Dis. 2023 Nov;25 Suppl 1(Suppl 1):e14169. doi: 10.1111/tid.14169. Epub 2023 Oct 20. PMID: 37864309; PMCID: PMC10844985.</w:t>
      </w:r>
    </w:p>
    <w:p w14:paraId="3D72CB0D" w14:textId="77777777" w:rsidR="007C02B9" w:rsidRPr="007D5D76" w:rsidRDefault="007C02B9" w:rsidP="007D5D76">
      <w:pPr>
        <w:pStyle w:val="NormalWeb"/>
        <w:numPr>
          <w:ilvl w:val="0"/>
          <w:numId w:val="7"/>
        </w:numPr>
        <w:rPr>
          <w:rFonts w:asciiTheme="minorBidi" w:hAnsiTheme="minorBidi" w:cstheme="minorBidi"/>
          <w:lang w:val="en-US"/>
        </w:rPr>
      </w:pPr>
      <w:proofErr w:type="spellStart"/>
      <w:r w:rsidRPr="007D5D76">
        <w:rPr>
          <w:rFonts w:asciiTheme="minorBidi" w:hAnsiTheme="minorBidi" w:cstheme="minorBidi"/>
          <w:shd w:val="clear" w:color="auto" w:fill="FFFFFF"/>
          <w:lang w:val="fr-FR"/>
        </w:rPr>
        <w:t>Moghnieh</w:t>
      </w:r>
      <w:proofErr w:type="spellEnd"/>
      <w:r w:rsidRPr="007D5D76">
        <w:rPr>
          <w:rFonts w:asciiTheme="minorBidi" w:hAnsiTheme="minorBidi" w:cstheme="minorBidi"/>
          <w:shd w:val="clear" w:color="auto" w:fill="FFFFFF"/>
          <w:lang w:val="fr-FR"/>
        </w:rPr>
        <w:t xml:space="preserve"> R, </w:t>
      </w:r>
      <w:proofErr w:type="spellStart"/>
      <w:r w:rsidRPr="007D5D76">
        <w:rPr>
          <w:rFonts w:asciiTheme="minorBidi" w:hAnsiTheme="minorBidi" w:cstheme="minorBidi"/>
          <w:shd w:val="clear" w:color="auto" w:fill="FFFFFF"/>
          <w:lang w:val="fr-FR"/>
        </w:rPr>
        <w:t>Estaitieh</w:t>
      </w:r>
      <w:proofErr w:type="spellEnd"/>
      <w:r w:rsidRPr="007D5D76">
        <w:rPr>
          <w:rFonts w:asciiTheme="minorBidi" w:hAnsiTheme="minorBidi" w:cstheme="minorBidi"/>
          <w:shd w:val="clear" w:color="auto" w:fill="FFFFFF"/>
          <w:lang w:val="fr-FR"/>
        </w:rPr>
        <w:t xml:space="preserve"> N, </w:t>
      </w:r>
      <w:proofErr w:type="spellStart"/>
      <w:r w:rsidRPr="007D5D76">
        <w:rPr>
          <w:rFonts w:asciiTheme="minorBidi" w:hAnsiTheme="minorBidi" w:cstheme="minorBidi"/>
          <w:shd w:val="clear" w:color="auto" w:fill="FFFFFF"/>
          <w:lang w:val="fr-FR"/>
        </w:rPr>
        <w:t>Mugharbil</w:t>
      </w:r>
      <w:proofErr w:type="spellEnd"/>
      <w:r w:rsidRPr="007D5D76">
        <w:rPr>
          <w:rFonts w:asciiTheme="minorBidi" w:hAnsiTheme="minorBidi" w:cstheme="minorBidi"/>
          <w:shd w:val="clear" w:color="auto" w:fill="FFFFFF"/>
          <w:lang w:val="fr-FR"/>
        </w:rPr>
        <w:t xml:space="preserve"> A, et al. </w:t>
      </w:r>
      <w:r w:rsidRPr="007D5D76">
        <w:rPr>
          <w:rFonts w:asciiTheme="minorBidi" w:hAnsiTheme="minorBidi" w:cstheme="minorBidi"/>
          <w:shd w:val="clear" w:color="auto" w:fill="FFFFFF"/>
          <w:lang w:val="en-US"/>
        </w:rPr>
        <w:t xml:space="preserve">Third generation cephalosporin resistant Enterobacteriaceae and multidrug resistant gram-negative bacteria causing bacteremia in febrile neutropenia adult cancer patients in Lebanon, broad spectrum antibiotics use as a major risk factor, and correlation with poor prognosis. Front Cell Infect </w:t>
      </w:r>
      <w:proofErr w:type="spellStart"/>
      <w:r w:rsidRPr="007D5D76">
        <w:rPr>
          <w:rFonts w:asciiTheme="minorBidi" w:hAnsiTheme="minorBidi" w:cstheme="minorBidi"/>
          <w:shd w:val="clear" w:color="auto" w:fill="FFFFFF"/>
          <w:lang w:val="en-US"/>
        </w:rPr>
        <w:t>Microbiol</w:t>
      </w:r>
      <w:proofErr w:type="spellEnd"/>
      <w:r w:rsidRPr="007D5D76">
        <w:rPr>
          <w:rFonts w:asciiTheme="minorBidi" w:hAnsiTheme="minorBidi" w:cstheme="minorBidi"/>
          <w:shd w:val="clear" w:color="auto" w:fill="FFFFFF"/>
          <w:lang w:val="en-US"/>
        </w:rPr>
        <w:t xml:space="preserve">. 2015 Feb 12;5:11. </w:t>
      </w:r>
    </w:p>
    <w:p w14:paraId="77E48D0F" w14:textId="77777777" w:rsidR="007C02B9" w:rsidRPr="007D5D76" w:rsidRDefault="007C02B9" w:rsidP="007D5D76">
      <w:pPr>
        <w:pStyle w:val="NormalWeb"/>
        <w:numPr>
          <w:ilvl w:val="0"/>
          <w:numId w:val="7"/>
        </w:numPr>
        <w:rPr>
          <w:rStyle w:val="Hyperlink"/>
          <w:rFonts w:asciiTheme="minorBidi" w:hAnsiTheme="minorBidi" w:cstheme="minorBidi"/>
          <w:color w:val="auto"/>
          <w:lang w:val="en-US"/>
        </w:rPr>
      </w:pPr>
      <w:proofErr w:type="spellStart"/>
      <w:r w:rsidRPr="007D5D76">
        <w:rPr>
          <w:rFonts w:asciiTheme="minorBidi" w:hAnsiTheme="minorBidi" w:cstheme="minorBidi"/>
          <w:shd w:val="clear" w:color="auto" w:fill="FFFFFF"/>
          <w:lang w:val="en-US"/>
        </w:rPr>
        <w:t>Moghnieh</w:t>
      </w:r>
      <w:proofErr w:type="spellEnd"/>
      <w:r w:rsidRPr="007D5D76">
        <w:rPr>
          <w:rFonts w:asciiTheme="minorBidi" w:hAnsiTheme="minorBidi" w:cstheme="minorBidi"/>
          <w:shd w:val="clear" w:color="auto" w:fill="FFFFFF"/>
          <w:lang w:val="en-US"/>
        </w:rPr>
        <w:t>, R, Kanafani ZA, Abi Hanna P, et al. 2016 Lebanese Society of Infectious Diseases and Clinical Microbiology Guidelines on the Management of Febrile Neutropenia in Adult Cancer Patients in the Era of Growing Antimicrobial Resistance. Lebanese Medical Journal 2017, 103, 1-20.</w:t>
      </w:r>
    </w:p>
    <w:p w14:paraId="16046267" w14:textId="77777777" w:rsidR="007C02B9" w:rsidRPr="007D5D76" w:rsidRDefault="007C02B9" w:rsidP="007D5D76">
      <w:pPr>
        <w:pStyle w:val="NormalWeb"/>
        <w:numPr>
          <w:ilvl w:val="0"/>
          <w:numId w:val="7"/>
        </w:numPr>
        <w:rPr>
          <w:rFonts w:asciiTheme="minorBidi" w:hAnsiTheme="minorBidi" w:cstheme="minorBidi"/>
          <w:lang w:val="en-US"/>
        </w:rPr>
      </w:pPr>
      <w:proofErr w:type="spellStart"/>
      <w:r w:rsidRPr="007D5D76">
        <w:rPr>
          <w:rFonts w:asciiTheme="minorBidi" w:hAnsiTheme="minorBidi" w:cstheme="minorBidi"/>
          <w:shd w:val="clear" w:color="auto" w:fill="FFFFFF"/>
          <w:lang w:val="en-US"/>
        </w:rPr>
        <w:t>Christopeit</w:t>
      </w:r>
      <w:proofErr w:type="spellEnd"/>
      <w:r w:rsidRPr="007D5D76">
        <w:rPr>
          <w:rFonts w:asciiTheme="minorBidi" w:hAnsiTheme="minorBidi" w:cstheme="minorBidi"/>
          <w:shd w:val="clear" w:color="auto" w:fill="FFFFFF"/>
          <w:lang w:val="en-US"/>
        </w:rPr>
        <w:t xml:space="preserve"> M, Schmidt-</w:t>
      </w:r>
      <w:proofErr w:type="spellStart"/>
      <w:r w:rsidRPr="007D5D76">
        <w:rPr>
          <w:rFonts w:asciiTheme="minorBidi" w:hAnsiTheme="minorBidi" w:cstheme="minorBidi"/>
          <w:shd w:val="clear" w:color="auto" w:fill="FFFFFF"/>
          <w:lang w:val="en-US"/>
        </w:rPr>
        <w:t>Hieber</w:t>
      </w:r>
      <w:proofErr w:type="spellEnd"/>
      <w:r w:rsidRPr="007D5D76">
        <w:rPr>
          <w:rFonts w:asciiTheme="minorBidi" w:hAnsiTheme="minorBidi" w:cstheme="minorBidi"/>
          <w:shd w:val="clear" w:color="auto" w:fill="FFFFFF"/>
          <w:lang w:val="en-US"/>
        </w:rPr>
        <w:t xml:space="preserve"> M, </w:t>
      </w:r>
      <w:proofErr w:type="spellStart"/>
      <w:r w:rsidRPr="007D5D76">
        <w:rPr>
          <w:rFonts w:asciiTheme="minorBidi" w:hAnsiTheme="minorBidi" w:cstheme="minorBidi"/>
          <w:shd w:val="clear" w:color="auto" w:fill="FFFFFF"/>
          <w:lang w:val="en-US"/>
        </w:rPr>
        <w:t>Sprute</w:t>
      </w:r>
      <w:proofErr w:type="spellEnd"/>
      <w:r w:rsidRPr="007D5D76">
        <w:rPr>
          <w:rFonts w:asciiTheme="minorBidi" w:hAnsiTheme="minorBidi" w:cstheme="minorBidi"/>
          <w:shd w:val="clear" w:color="auto" w:fill="FFFFFF"/>
          <w:lang w:val="en-US"/>
        </w:rPr>
        <w:t xml:space="preserve"> R, et al. Prophylaxis, diagnosis and therapy of infections in patients undergoing high-dose chemotherapy and autologous </w:t>
      </w:r>
      <w:proofErr w:type="spellStart"/>
      <w:r w:rsidRPr="007D5D76">
        <w:rPr>
          <w:rFonts w:asciiTheme="minorBidi" w:hAnsiTheme="minorBidi" w:cstheme="minorBidi"/>
          <w:shd w:val="clear" w:color="auto" w:fill="FFFFFF"/>
          <w:lang w:val="en-US"/>
        </w:rPr>
        <w:t>haematopoietic</w:t>
      </w:r>
      <w:proofErr w:type="spellEnd"/>
      <w:r w:rsidRPr="007D5D76">
        <w:rPr>
          <w:rFonts w:asciiTheme="minorBidi" w:hAnsiTheme="minorBidi" w:cstheme="minorBidi"/>
          <w:shd w:val="clear" w:color="auto" w:fill="FFFFFF"/>
          <w:lang w:val="en-US"/>
        </w:rPr>
        <w:t xml:space="preserve"> stem cell transplantation. 2020 update of the recommendations of the Infectious Diseases Working Party (AGIHO) of the German Society of Hematology and Medical Oncology (DGHO). Ann </w:t>
      </w:r>
      <w:proofErr w:type="spellStart"/>
      <w:r w:rsidRPr="007D5D76">
        <w:rPr>
          <w:rFonts w:asciiTheme="minorBidi" w:hAnsiTheme="minorBidi" w:cstheme="minorBidi"/>
          <w:shd w:val="clear" w:color="auto" w:fill="FFFFFF"/>
          <w:lang w:val="en-US"/>
        </w:rPr>
        <w:t>Hematol</w:t>
      </w:r>
      <w:proofErr w:type="spellEnd"/>
      <w:r w:rsidRPr="007D5D76">
        <w:rPr>
          <w:rFonts w:asciiTheme="minorBidi" w:hAnsiTheme="minorBidi" w:cstheme="minorBidi"/>
          <w:shd w:val="clear" w:color="auto" w:fill="FFFFFF"/>
          <w:lang w:val="en-US"/>
        </w:rPr>
        <w:t xml:space="preserve">. 2021 Feb;100(2):321-336. </w:t>
      </w:r>
    </w:p>
    <w:p w14:paraId="413FB6E6" w14:textId="77777777" w:rsidR="007C02B9" w:rsidRPr="007D5D76" w:rsidRDefault="007C02B9" w:rsidP="007D5D76">
      <w:pPr>
        <w:pStyle w:val="NormalWeb"/>
        <w:numPr>
          <w:ilvl w:val="0"/>
          <w:numId w:val="7"/>
        </w:numPr>
        <w:rPr>
          <w:rFonts w:asciiTheme="minorBidi" w:hAnsiTheme="minorBidi" w:cstheme="minorBidi"/>
          <w:lang w:val="en-US"/>
        </w:rPr>
      </w:pPr>
      <w:proofErr w:type="spellStart"/>
      <w:r w:rsidRPr="007D5D76">
        <w:rPr>
          <w:rFonts w:asciiTheme="minorBidi" w:hAnsiTheme="minorBidi" w:cstheme="minorBidi"/>
          <w:shd w:val="clear" w:color="auto" w:fill="FFFFFF"/>
          <w:lang w:val="en-US"/>
        </w:rPr>
        <w:t>Slavin</w:t>
      </w:r>
      <w:proofErr w:type="spellEnd"/>
      <w:r w:rsidRPr="007D5D76">
        <w:rPr>
          <w:rFonts w:asciiTheme="minorBidi" w:hAnsiTheme="minorBidi" w:cstheme="minorBidi"/>
          <w:shd w:val="clear" w:color="auto" w:fill="FFFFFF"/>
          <w:lang w:val="en-US"/>
        </w:rPr>
        <w:t xml:space="preserve"> MA, </w:t>
      </w:r>
      <w:proofErr w:type="spellStart"/>
      <w:r w:rsidRPr="007D5D76">
        <w:rPr>
          <w:rFonts w:asciiTheme="minorBidi" w:hAnsiTheme="minorBidi" w:cstheme="minorBidi"/>
          <w:shd w:val="clear" w:color="auto" w:fill="FFFFFF"/>
          <w:lang w:val="en-US"/>
        </w:rPr>
        <w:t>Lingaratnam</w:t>
      </w:r>
      <w:proofErr w:type="spellEnd"/>
      <w:r w:rsidRPr="007D5D76">
        <w:rPr>
          <w:rFonts w:asciiTheme="minorBidi" w:hAnsiTheme="minorBidi" w:cstheme="minorBidi"/>
          <w:shd w:val="clear" w:color="auto" w:fill="FFFFFF"/>
          <w:lang w:val="en-US"/>
        </w:rPr>
        <w:t xml:space="preserve"> S, </w:t>
      </w:r>
      <w:proofErr w:type="spellStart"/>
      <w:r w:rsidRPr="007D5D76">
        <w:rPr>
          <w:rFonts w:asciiTheme="minorBidi" w:hAnsiTheme="minorBidi" w:cstheme="minorBidi"/>
          <w:shd w:val="clear" w:color="auto" w:fill="FFFFFF"/>
          <w:lang w:val="en-US"/>
        </w:rPr>
        <w:t>Mileshkin</w:t>
      </w:r>
      <w:proofErr w:type="spellEnd"/>
      <w:r w:rsidRPr="007D5D76">
        <w:rPr>
          <w:rFonts w:asciiTheme="minorBidi" w:hAnsiTheme="minorBidi" w:cstheme="minorBidi"/>
          <w:shd w:val="clear" w:color="auto" w:fill="FFFFFF"/>
          <w:lang w:val="en-US"/>
        </w:rPr>
        <w:t xml:space="preserve"> L, et al. Use of antibacterial prophylaxis for patients with neutropenia. Australian Consensus Guidelines 2011 Steering Committee. Intern Med J. 2011 Jan;41(1b):102-9. </w:t>
      </w:r>
    </w:p>
    <w:p w14:paraId="44587936" w14:textId="77777777" w:rsidR="007C02B9" w:rsidRPr="007D5D76" w:rsidRDefault="007C02B9" w:rsidP="007D5D76">
      <w:pPr>
        <w:pStyle w:val="NormalWeb"/>
        <w:numPr>
          <w:ilvl w:val="0"/>
          <w:numId w:val="7"/>
        </w:numPr>
        <w:rPr>
          <w:rFonts w:asciiTheme="minorBidi" w:hAnsiTheme="minorBidi" w:cstheme="minorBidi"/>
          <w:lang w:val="en-US"/>
        </w:rPr>
      </w:pPr>
      <w:proofErr w:type="spellStart"/>
      <w:r w:rsidRPr="007D5D76">
        <w:rPr>
          <w:rFonts w:asciiTheme="minorBidi" w:hAnsiTheme="minorBidi" w:cstheme="minorBidi"/>
          <w:shd w:val="clear" w:color="auto" w:fill="FFFFFF"/>
          <w:lang w:val="fr-FR"/>
        </w:rPr>
        <w:lastRenderedPageBreak/>
        <w:t>Klastersky</w:t>
      </w:r>
      <w:proofErr w:type="spellEnd"/>
      <w:r w:rsidRPr="007D5D76">
        <w:rPr>
          <w:rFonts w:asciiTheme="minorBidi" w:hAnsiTheme="minorBidi" w:cstheme="minorBidi"/>
          <w:shd w:val="clear" w:color="auto" w:fill="FFFFFF"/>
          <w:lang w:val="fr-FR"/>
        </w:rPr>
        <w:t xml:space="preserve"> J, de </w:t>
      </w:r>
      <w:proofErr w:type="spellStart"/>
      <w:r w:rsidRPr="007D5D76">
        <w:rPr>
          <w:rFonts w:asciiTheme="minorBidi" w:hAnsiTheme="minorBidi" w:cstheme="minorBidi"/>
          <w:shd w:val="clear" w:color="auto" w:fill="FFFFFF"/>
          <w:lang w:val="fr-FR"/>
        </w:rPr>
        <w:t>Naurois</w:t>
      </w:r>
      <w:proofErr w:type="spellEnd"/>
      <w:r w:rsidRPr="007D5D76">
        <w:rPr>
          <w:rFonts w:asciiTheme="minorBidi" w:hAnsiTheme="minorBidi" w:cstheme="minorBidi"/>
          <w:shd w:val="clear" w:color="auto" w:fill="FFFFFF"/>
          <w:lang w:val="fr-FR"/>
        </w:rPr>
        <w:t xml:space="preserve"> J, </w:t>
      </w:r>
      <w:proofErr w:type="spellStart"/>
      <w:r w:rsidRPr="007D5D76">
        <w:rPr>
          <w:rFonts w:asciiTheme="minorBidi" w:hAnsiTheme="minorBidi" w:cstheme="minorBidi"/>
          <w:shd w:val="clear" w:color="auto" w:fill="FFFFFF"/>
          <w:lang w:val="fr-FR"/>
        </w:rPr>
        <w:t>Rolston</w:t>
      </w:r>
      <w:proofErr w:type="spellEnd"/>
      <w:r w:rsidRPr="007D5D76">
        <w:rPr>
          <w:rFonts w:asciiTheme="minorBidi" w:hAnsiTheme="minorBidi" w:cstheme="minorBidi"/>
          <w:shd w:val="clear" w:color="auto" w:fill="FFFFFF"/>
          <w:lang w:val="fr-FR"/>
        </w:rPr>
        <w:t xml:space="preserve"> K, et al. </w:t>
      </w:r>
      <w:r w:rsidRPr="007D5D76">
        <w:rPr>
          <w:rFonts w:asciiTheme="minorBidi" w:hAnsiTheme="minorBidi" w:cstheme="minorBidi"/>
          <w:shd w:val="clear" w:color="auto" w:fill="FFFFFF"/>
          <w:lang w:val="en-US"/>
        </w:rPr>
        <w:t xml:space="preserve">Management of febrile </w:t>
      </w:r>
      <w:proofErr w:type="spellStart"/>
      <w:r w:rsidRPr="007D5D76">
        <w:rPr>
          <w:rFonts w:asciiTheme="minorBidi" w:hAnsiTheme="minorBidi" w:cstheme="minorBidi"/>
          <w:shd w:val="clear" w:color="auto" w:fill="FFFFFF"/>
          <w:lang w:val="en-US"/>
        </w:rPr>
        <w:t>neutropaenia</w:t>
      </w:r>
      <w:proofErr w:type="spellEnd"/>
      <w:r w:rsidRPr="007D5D76">
        <w:rPr>
          <w:rFonts w:asciiTheme="minorBidi" w:hAnsiTheme="minorBidi" w:cstheme="minorBidi"/>
          <w:shd w:val="clear" w:color="auto" w:fill="FFFFFF"/>
          <w:lang w:val="en-US"/>
        </w:rPr>
        <w:t xml:space="preserve">: ESMO Clinical Practice Guidelines. Ann Oncol. 2016 Sep;27(suppl 5):v111-v118. </w:t>
      </w:r>
    </w:p>
    <w:p w14:paraId="112ED66D" w14:textId="77777777" w:rsidR="007C02B9" w:rsidRPr="007D5D76" w:rsidRDefault="007C02B9" w:rsidP="007D5D76">
      <w:pPr>
        <w:pStyle w:val="NormalWeb"/>
        <w:numPr>
          <w:ilvl w:val="0"/>
          <w:numId w:val="7"/>
        </w:numPr>
        <w:rPr>
          <w:rFonts w:asciiTheme="minorBidi" w:hAnsiTheme="minorBidi" w:cstheme="minorBidi"/>
          <w:lang w:val="en-US"/>
        </w:rPr>
      </w:pPr>
      <w:proofErr w:type="spellStart"/>
      <w:r w:rsidRPr="007D5D76">
        <w:rPr>
          <w:rFonts w:asciiTheme="minorBidi" w:hAnsiTheme="minorBidi" w:cstheme="minorBidi"/>
          <w:lang w:val="fr-FR"/>
        </w:rPr>
        <w:t>Drayson</w:t>
      </w:r>
      <w:proofErr w:type="spellEnd"/>
      <w:r w:rsidRPr="007D5D76">
        <w:rPr>
          <w:rFonts w:asciiTheme="minorBidi" w:hAnsiTheme="minorBidi" w:cstheme="minorBidi"/>
          <w:lang w:val="fr-FR"/>
        </w:rPr>
        <w:t xml:space="preserve"> MT, </w:t>
      </w:r>
      <w:proofErr w:type="spellStart"/>
      <w:r w:rsidRPr="007D5D76">
        <w:rPr>
          <w:rFonts w:asciiTheme="minorBidi" w:hAnsiTheme="minorBidi" w:cstheme="minorBidi"/>
          <w:lang w:val="fr-FR"/>
        </w:rPr>
        <w:t>Bowcock</w:t>
      </w:r>
      <w:proofErr w:type="spellEnd"/>
      <w:r w:rsidRPr="007D5D76">
        <w:rPr>
          <w:rFonts w:asciiTheme="minorBidi" w:hAnsiTheme="minorBidi" w:cstheme="minorBidi"/>
          <w:lang w:val="fr-FR"/>
        </w:rPr>
        <w:t xml:space="preserve"> S, Planche T, et al. </w:t>
      </w:r>
      <w:r w:rsidRPr="007D5D76">
        <w:rPr>
          <w:rFonts w:asciiTheme="minorBidi" w:hAnsiTheme="minorBidi" w:cstheme="minorBidi"/>
          <w:lang w:val="en-US"/>
        </w:rPr>
        <w:t xml:space="preserve">Levofloxacin prophylaxis in patients with newly diagnosed myeloma (TEAMM): a </w:t>
      </w:r>
      <w:proofErr w:type="spellStart"/>
      <w:r w:rsidRPr="007D5D76">
        <w:rPr>
          <w:rFonts w:asciiTheme="minorBidi" w:hAnsiTheme="minorBidi" w:cstheme="minorBidi"/>
          <w:lang w:val="en-US"/>
        </w:rPr>
        <w:t>multicentre</w:t>
      </w:r>
      <w:proofErr w:type="spellEnd"/>
      <w:r w:rsidRPr="007D5D76">
        <w:rPr>
          <w:rFonts w:asciiTheme="minorBidi" w:hAnsiTheme="minorBidi" w:cstheme="minorBidi"/>
          <w:lang w:val="en-US"/>
        </w:rPr>
        <w:t xml:space="preserve">, double-blind, placebo-controlled, </w:t>
      </w:r>
      <w:proofErr w:type="spellStart"/>
      <w:r w:rsidRPr="007D5D76">
        <w:rPr>
          <w:rFonts w:asciiTheme="minorBidi" w:hAnsiTheme="minorBidi" w:cstheme="minorBidi"/>
          <w:lang w:val="en-US"/>
        </w:rPr>
        <w:t>randomised</w:t>
      </w:r>
      <w:proofErr w:type="spellEnd"/>
      <w:r w:rsidRPr="007D5D76">
        <w:rPr>
          <w:rFonts w:asciiTheme="minorBidi" w:hAnsiTheme="minorBidi" w:cstheme="minorBidi"/>
          <w:lang w:val="en-US"/>
        </w:rPr>
        <w:t xml:space="preserve">, phase 3 trial. </w:t>
      </w:r>
      <w:r w:rsidRPr="007D5D76">
        <w:rPr>
          <w:rFonts w:asciiTheme="minorBidi" w:hAnsiTheme="minorBidi" w:cstheme="minorBidi"/>
          <w:i/>
          <w:iCs/>
          <w:lang w:val="en-US"/>
        </w:rPr>
        <w:t>Lancet Oncol</w:t>
      </w:r>
      <w:r w:rsidRPr="007D5D76">
        <w:rPr>
          <w:rFonts w:asciiTheme="minorBidi" w:hAnsiTheme="minorBidi" w:cstheme="minorBidi"/>
          <w:lang w:val="en-US"/>
        </w:rPr>
        <w:t xml:space="preserve">. 2019;20(12):1760-1772. </w:t>
      </w:r>
    </w:p>
    <w:p w14:paraId="3620FF15" w14:textId="77777777" w:rsidR="003E6D6F" w:rsidRPr="007D5D76" w:rsidRDefault="003E6D6F" w:rsidP="007D5D76">
      <w:pPr>
        <w:pStyle w:val="NormalWeb"/>
        <w:rPr>
          <w:rFonts w:asciiTheme="minorBidi" w:hAnsiTheme="minorBidi" w:cstheme="minorBidi"/>
        </w:rPr>
      </w:pPr>
    </w:p>
    <w:sectPr w:rsidR="003E6D6F" w:rsidRPr="007D5D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7DE2"/>
    <w:multiLevelType w:val="hybridMultilevel"/>
    <w:tmpl w:val="346ED0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F5043B"/>
    <w:multiLevelType w:val="multilevel"/>
    <w:tmpl w:val="4D5AC5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44A4D"/>
    <w:multiLevelType w:val="multilevel"/>
    <w:tmpl w:val="4D5AC5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F59AE"/>
    <w:multiLevelType w:val="multilevel"/>
    <w:tmpl w:val="5BFADA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423118"/>
    <w:multiLevelType w:val="multilevel"/>
    <w:tmpl w:val="85EC43E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71204"/>
    <w:multiLevelType w:val="hybridMultilevel"/>
    <w:tmpl w:val="ED80D97E"/>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52DB6B67"/>
    <w:multiLevelType w:val="hybridMultilevel"/>
    <w:tmpl w:val="3F1467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1482050">
    <w:abstractNumId w:val="6"/>
  </w:num>
  <w:num w:numId="2" w16cid:durableId="78333496">
    <w:abstractNumId w:val="3"/>
  </w:num>
  <w:num w:numId="3" w16cid:durableId="1106659425">
    <w:abstractNumId w:val="0"/>
  </w:num>
  <w:num w:numId="4" w16cid:durableId="278028899">
    <w:abstractNumId w:val="4"/>
  </w:num>
  <w:num w:numId="5" w16cid:durableId="1995789314">
    <w:abstractNumId w:val="1"/>
  </w:num>
  <w:num w:numId="6" w16cid:durableId="1091662776">
    <w:abstractNumId w:val="2"/>
  </w:num>
  <w:num w:numId="7" w16cid:durableId="1531721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D6F"/>
    <w:rsid w:val="000A365E"/>
    <w:rsid w:val="00236227"/>
    <w:rsid w:val="003E6D6F"/>
    <w:rsid w:val="007C02B9"/>
    <w:rsid w:val="007D5D76"/>
    <w:rsid w:val="00D30820"/>
    <w:rsid w:val="00DF6599"/>
    <w:rsid w:val="00F54039"/>
    <w:rsid w:val="00F7584B"/>
  </w:rsids>
  <m:mathPr>
    <m:mathFont m:val="Cambria Math"/>
    <m:brkBin m:val="before"/>
    <m:brkBinSub m:val="--"/>
    <m:smallFrac m:val="0"/>
    <m:dispDef/>
    <m:lMargin m:val="0"/>
    <m:rMargin m:val="0"/>
    <m:defJc m:val="centerGroup"/>
    <m:wrapIndent m:val="1440"/>
    <m:intLim m:val="subSup"/>
    <m:naryLim m:val="undOvr"/>
  </m:mathPr>
  <w:themeFontLang w:val="en-FR" w:bidi="ar-SA"/>
  <w:clrSchemeMapping w:bg1="light1" w:t1="dark1" w:bg2="light2" w:t2="dark2" w:accent1="accent1" w:accent2="accent2" w:accent3="accent3" w:accent4="accent4" w:accent5="accent5" w:accent6="accent6" w:hyperlink="hyperlink" w:followedHyperlink="followedHyperlink"/>
  <w:decimalSymbol w:val=","/>
  <w:listSeparator w:val=","/>
  <w14:docId w14:val="4213A225"/>
  <w15:chartTrackingRefBased/>
  <w15:docId w15:val="{F0946249-FD54-F144-9AA6-39894FC2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3">
    <w:name w:val="heading 3"/>
    <w:basedOn w:val="Normal"/>
    <w:link w:val="Heading3Char"/>
    <w:uiPriority w:val="9"/>
    <w:qFormat/>
    <w:rsid w:val="003E6D6F"/>
    <w:pPr>
      <w:spacing w:before="100" w:beforeAutospacing="1" w:after="100" w:afterAutospacing="1"/>
      <w:outlineLvl w:val="2"/>
    </w:pPr>
    <w:rPr>
      <w:rFonts w:ascii="Times New Roman" w:eastAsia="Times New Roman" w:hAnsi="Times New Roman" w:cs="Times New Roman"/>
      <w:b/>
      <w:bCs/>
      <w:kern w:val="0"/>
      <w:sz w:val="27"/>
      <w:szCs w:val="27"/>
      <w:lang w:val="en-FR"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6D6F"/>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unhideWhenUsed/>
    <w:rsid w:val="003E6D6F"/>
    <w:pPr>
      <w:spacing w:before="100" w:beforeAutospacing="1" w:after="100" w:afterAutospacing="1"/>
    </w:pPr>
    <w:rPr>
      <w:rFonts w:ascii="Times New Roman" w:eastAsia="Times New Roman" w:hAnsi="Times New Roman" w:cs="Times New Roman"/>
      <w:kern w:val="0"/>
      <w:lang w:val="en-FR" w:eastAsia="en-GB"/>
      <w14:ligatures w14:val="none"/>
    </w:rPr>
  </w:style>
  <w:style w:type="character" w:styleId="Strong">
    <w:name w:val="Strong"/>
    <w:basedOn w:val="DefaultParagraphFont"/>
    <w:uiPriority w:val="22"/>
    <w:qFormat/>
    <w:rsid w:val="003E6D6F"/>
    <w:rPr>
      <w:b/>
      <w:bCs/>
    </w:rPr>
  </w:style>
  <w:style w:type="paragraph" w:styleId="ListParagraph">
    <w:name w:val="List Paragraph"/>
    <w:basedOn w:val="Normal"/>
    <w:uiPriority w:val="34"/>
    <w:qFormat/>
    <w:rsid w:val="003E6D6F"/>
    <w:pPr>
      <w:ind w:left="720"/>
      <w:contextualSpacing/>
    </w:pPr>
    <w:rPr>
      <w:rFonts w:ascii="Times New Roman" w:eastAsia="Times New Roman" w:hAnsi="Times New Roman" w:cs="Times New Roman"/>
      <w:kern w:val="0"/>
      <w:lang w:val="en-FR" w:eastAsia="en-GB"/>
      <w14:ligatures w14:val="none"/>
    </w:rPr>
  </w:style>
  <w:style w:type="character" w:styleId="Emphasis">
    <w:name w:val="Emphasis"/>
    <w:basedOn w:val="DefaultParagraphFont"/>
    <w:uiPriority w:val="20"/>
    <w:qFormat/>
    <w:rsid w:val="003E6D6F"/>
    <w:rPr>
      <w:i/>
      <w:iCs/>
    </w:rPr>
  </w:style>
  <w:style w:type="paragraph" w:styleId="CommentText">
    <w:name w:val="annotation text"/>
    <w:basedOn w:val="Normal"/>
    <w:link w:val="CommentTextChar"/>
    <w:uiPriority w:val="99"/>
    <w:semiHidden/>
    <w:unhideWhenUsed/>
    <w:rsid w:val="003E6D6F"/>
    <w:rPr>
      <w:rFonts w:ascii="Times New Roman" w:eastAsia="Times New Roman" w:hAnsi="Times New Roman" w:cs="Times New Roman"/>
      <w:kern w:val="0"/>
      <w:sz w:val="20"/>
      <w:szCs w:val="20"/>
      <w:lang w:val="en-FR" w:eastAsia="en-GB"/>
      <w14:ligatures w14:val="none"/>
    </w:rPr>
  </w:style>
  <w:style w:type="character" w:customStyle="1" w:styleId="CommentTextChar">
    <w:name w:val="Comment Text Char"/>
    <w:basedOn w:val="DefaultParagraphFont"/>
    <w:link w:val="CommentText"/>
    <w:uiPriority w:val="99"/>
    <w:semiHidden/>
    <w:rsid w:val="003E6D6F"/>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sid w:val="003E6D6F"/>
    <w:rPr>
      <w:sz w:val="16"/>
      <w:szCs w:val="16"/>
    </w:rPr>
  </w:style>
  <w:style w:type="character" w:styleId="Hyperlink">
    <w:name w:val="Hyperlink"/>
    <w:basedOn w:val="DefaultParagraphFont"/>
    <w:uiPriority w:val="99"/>
    <w:unhideWhenUsed/>
    <w:rsid w:val="00DF65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ldhealthorg.shinyapps.io/glass-dashboard/_w_da287acd/_w_2724ea81/" TargetMode="External"/><Relationship Id="rId3" Type="http://schemas.openxmlformats.org/officeDocument/2006/relationships/settings" Target="settings.xml"/><Relationship Id="rId7" Type="http://schemas.openxmlformats.org/officeDocument/2006/relationships/hyperlink" Target="https://www.ncc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ima.moghnieh@laumcrh.com" TargetMode="External"/><Relationship Id="rId5" Type="http://schemas.openxmlformats.org/officeDocument/2006/relationships/hyperlink" Target="mailto:moghniehrima@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3229</Words>
  <Characters>18409</Characters>
  <Application>Microsoft Office Word</Application>
  <DocSecurity>0</DocSecurity>
  <Lines>153</Lines>
  <Paragraphs>43</Paragraphs>
  <ScaleCrop>false</ScaleCrop>
  <Company/>
  <LinksUpToDate>false</LinksUpToDate>
  <CharactersWithSpaces>21595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2025-01-19T18:08:00Z</dcterms:created>
  <dcterms:modified xsi:type="dcterms:W3CDTF">2025-01-23T04:15:00Z</dcterms:modified>
</cp:coreProperties>
</file>