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B5E07">
      <w:pPr>
        <w:spacing w:after="160" w:line="259" w:lineRule="auto"/>
        <w:ind w:left="0"/>
        <w:contextualSpacing/>
        <w:jc w:val="center"/>
        <w:rPr>
          <w:rFonts w:hint="default" w:ascii="Times New Roman" w:hAnsi="Times New Roman" w:eastAsia="Calibri" w:cs="Times New Roman"/>
          <w:b/>
          <w:bCs/>
          <w:color w:val="auto"/>
          <w:sz w:val="21"/>
          <w:szCs w:val="21"/>
          <w:lang w:val="en-US" w:eastAsia="zh-CN" w:bidi="ar-SA"/>
        </w:rPr>
      </w:pPr>
      <w:bookmarkStart w:id="1" w:name="_GoBack"/>
      <w:bookmarkStart w:id="0" w:name="_Ref9067"/>
      <w:r>
        <w:rPr>
          <w:rFonts w:hint="default" w:ascii="Times New Roman" w:hAnsi="Times New Roman" w:eastAsia="Calibri" w:cs="Times New Roman"/>
          <w:b/>
          <w:bCs/>
          <w:color w:val="auto"/>
          <w:sz w:val="21"/>
          <w:szCs w:val="21"/>
          <w:lang w:val="en-US" w:eastAsia="zh-CN" w:bidi="ar-SA"/>
        </w:rPr>
        <w:t>Table 1. Primer sequences for RT-PCR amplification of group A rotavirus VP4 and VP7 genes</w:t>
      </w:r>
      <w:r>
        <w:rPr>
          <w:rFonts w:hint="eastAsia" w:ascii="Times New Roman" w:hAnsi="Times New Roman" w:eastAsia="Calibri" w:cs="Times New Roman"/>
          <w:b/>
          <w:bCs/>
          <w:color w:val="auto"/>
          <w:sz w:val="21"/>
          <w:szCs w:val="21"/>
          <w:lang w:val="en-US" w:eastAsia="zh-CN" w:bidi="ar-SA"/>
        </w:rPr>
        <w:t>.</w:t>
      </w:r>
    </w:p>
    <w:bookmarkEnd w:id="1"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5359"/>
        <w:gridCol w:w="1615"/>
      </w:tblGrid>
      <w:tr w14:paraId="24AE8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661" w:type="dxa"/>
            <w:vAlign w:val="center"/>
          </w:tcPr>
          <w:p w14:paraId="5F3F63CC">
            <w:pPr>
              <w:widowControl w:val="0"/>
              <w:spacing w:after="160" w:line="259" w:lineRule="auto"/>
              <w:ind w:left="0" w:leftChars="0" w:firstLine="0" w:firstLineChars="0"/>
              <w:contextualSpacing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 w:bidi="ar-SA"/>
              </w:rPr>
              <w:t xml:space="preserve">Primer </w:t>
            </w:r>
          </w:p>
        </w:tc>
        <w:tc>
          <w:tcPr>
            <w:tcW w:w="5896" w:type="dxa"/>
            <w:vAlign w:val="center"/>
          </w:tcPr>
          <w:p w14:paraId="6214C4EF">
            <w:pPr>
              <w:widowControl w:val="0"/>
              <w:spacing w:after="160" w:line="259" w:lineRule="auto"/>
              <w:ind w:left="720"/>
              <w:contextualSpacing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 w:bidi="ar-SA"/>
              </w:rPr>
              <w:t xml:space="preserve"> Primer Sequence (5′–3′)</w:t>
            </w:r>
          </w:p>
        </w:tc>
        <w:tc>
          <w:tcPr>
            <w:tcW w:w="1685" w:type="dxa"/>
            <w:vAlign w:val="center"/>
          </w:tcPr>
          <w:p w14:paraId="41293791">
            <w:pPr>
              <w:widowControl w:val="0"/>
              <w:spacing w:after="160" w:line="259" w:lineRule="auto"/>
              <w:ind w:left="0" w:leftChars="0" w:firstLine="0" w:firstLineChars="0"/>
              <w:contextualSpacing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 w:bidi="ar-SA"/>
              </w:rPr>
              <w:t>Nucleotide Position</w:t>
            </w:r>
          </w:p>
        </w:tc>
      </w:tr>
      <w:tr w14:paraId="56556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</w:tcPr>
          <w:p w14:paraId="469BE445">
            <w:pPr>
              <w:keepNext w:val="0"/>
              <w:keepLines w:val="0"/>
              <w:widowControl/>
              <w:suppressLineNumbers w:val="0"/>
              <w:spacing w:after="160" w:line="259" w:lineRule="auto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VP7F</w:t>
            </w:r>
          </w:p>
        </w:tc>
        <w:tc>
          <w:tcPr>
            <w:tcW w:w="5896" w:type="dxa"/>
            <w:vAlign w:val="center"/>
          </w:tcPr>
          <w:p w14:paraId="60D77EBB">
            <w:pPr>
              <w:keepNext w:val="0"/>
              <w:keepLines w:val="0"/>
              <w:widowControl/>
              <w:suppressLineNumbers w:val="0"/>
              <w:spacing w:after="160" w:line="259" w:lineRule="auto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ATG TAT GGT ATT GAA TAT ACC AC</w:t>
            </w:r>
          </w:p>
        </w:tc>
        <w:tc>
          <w:tcPr>
            <w:tcW w:w="1685" w:type="dxa"/>
            <w:vAlign w:val="center"/>
          </w:tcPr>
          <w:p w14:paraId="5FE3624E">
            <w:pPr>
              <w:keepNext w:val="0"/>
              <w:keepLines w:val="0"/>
              <w:widowControl/>
              <w:suppressLineNumbers w:val="0"/>
              <w:spacing w:after="160" w:line="259" w:lineRule="auto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51-71</w:t>
            </w:r>
          </w:p>
        </w:tc>
      </w:tr>
      <w:tr w14:paraId="10D66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</w:tcPr>
          <w:p w14:paraId="75039D45">
            <w:pPr>
              <w:keepNext w:val="0"/>
              <w:keepLines w:val="0"/>
              <w:widowControl/>
              <w:suppressLineNumbers w:val="0"/>
              <w:spacing w:after="160" w:line="259" w:lineRule="auto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VP7R</w:t>
            </w:r>
          </w:p>
        </w:tc>
        <w:tc>
          <w:tcPr>
            <w:tcW w:w="5896" w:type="dxa"/>
            <w:vAlign w:val="center"/>
          </w:tcPr>
          <w:p w14:paraId="40F929C9">
            <w:pPr>
              <w:keepNext w:val="0"/>
              <w:keepLines w:val="0"/>
              <w:widowControl/>
              <w:suppressLineNumbers w:val="0"/>
              <w:spacing w:after="160" w:line="259" w:lineRule="auto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AAC TTG CCA CCA TTT TTT CC</w:t>
            </w:r>
          </w:p>
        </w:tc>
        <w:tc>
          <w:tcPr>
            <w:tcW w:w="1685" w:type="dxa"/>
            <w:vAlign w:val="center"/>
          </w:tcPr>
          <w:p w14:paraId="34AC1000">
            <w:pPr>
              <w:keepNext w:val="0"/>
              <w:keepLines w:val="0"/>
              <w:widowControl/>
              <w:suppressLineNumbers w:val="0"/>
              <w:spacing w:after="160" w:line="259" w:lineRule="auto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932-914</w:t>
            </w:r>
          </w:p>
        </w:tc>
      </w:tr>
      <w:tr w14:paraId="1B540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</w:tcPr>
          <w:p w14:paraId="2978B740">
            <w:pPr>
              <w:keepNext w:val="0"/>
              <w:keepLines w:val="0"/>
              <w:widowControl/>
              <w:suppressLineNumbers w:val="0"/>
              <w:spacing w:after="160" w:line="259" w:lineRule="auto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VP4F</w:t>
            </w:r>
          </w:p>
        </w:tc>
        <w:tc>
          <w:tcPr>
            <w:tcW w:w="5896" w:type="dxa"/>
            <w:vAlign w:val="center"/>
          </w:tcPr>
          <w:p w14:paraId="4756E3F2">
            <w:pPr>
              <w:keepNext w:val="0"/>
              <w:keepLines w:val="0"/>
              <w:widowControl/>
              <w:suppressLineNumbers w:val="0"/>
              <w:spacing w:after="160" w:line="259" w:lineRule="auto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TAT GCT CCA GTN AAT TGG</w:t>
            </w:r>
          </w:p>
        </w:tc>
        <w:tc>
          <w:tcPr>
            <w:tcW w:w="1685" w:type="dxa"/>
            <w:vAlign w:val="center"/>
          </w:tcPr>
          <w:p w14:paraId="1BA53434">
            <w:pPr>
              <w:keepNext w:val="0"/>
              <w:keepLines w:val="0"/>
              <w:widowControl/>
              <w:suppressLineNumbers w:val="0"/>
              <w:spacing w:after="160" w:line="259" w:lineRule="auto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132-149</w:t>
            </w:r>
          </w:p>
        </w:tc>
      </w:tr>
      <w:tr w14:paraId="476AC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1" w:type="dxa"/>
            <w:vAlign w:val="center"/>
          </w:tcPr>
          <w:p w14:paraId="723DECFB">
            <w:pPr>
              <w:keepNext w:val="0"/>
              <w:keepLines w:val="0"/>
              <w:widowControl/>
              <w:suppressLineNumbers w:val="0"/>
              <w:spacing w:after="160" w:line="259" w:lineRule="auto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VP4R</w:t>
            </w:r>
          </w:p>
        </w:tc>
        <w:tc>
          <w:tcPr>
            <w:tcW w:w="5896" w:type="dxa"/>
            <w:vAlign w:val="center"/>
          </w:tcPr>
          <w:p w14:paraId="37FCDAC4">
            <w:pPr>
              <w:keepNext w:val="0"/>
              <w:keepLines w:val="0"/>
              <w:widowControl/>
              <w:suppressLineNumbers w:val="0"/>
              <w:spacing w:after="160" w:line="259" w:lineRule="auto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ATT GCA TTT CTT TCC ATAATG</w:t>
            </w:r>
          </w:p>
        </w:tc>
        <w:tc>
          <w:tcPr>
            <w:tcW w:w="1685" w:type="dxa"/>
            <w:vAlign w:val="center"/>
          </w:tcPr>
          <w:p w14:paraId="7C7D63FF">
            <w:pPr>
              <w:keepNext w:val="0"/>
              <w:keepLines w:val="0"/>
              <w:widowControl/>
              <w:suppressLineNumbers w:val="0"/>
              <w:spacing w:after="160" w:line="259" w:lineRule="auto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775-795</w:t>
            </w:r>
          </w:p>
        </w:tc>
      </w:tr>
    </w:tbl>
    <w:p w14:paraId="439083BF">
      <w:pPr>
        <w:spacing w:after="160" w:line="259" w:lineRule="auto"/>
        <w:ind w:left="0"/>
        <w:contextualSpacing/>
        <w:jc w:val="both"/>
        <w:rPr>
          <w:rFonts w:hint="default" w:ascii="Times New Roman" w:hAnsi="Times New Roman" w:eastAsia="Calibri" w:cs="Times New Roman"/>
          <w:b w:val="0"/>
          <w:bCs w:val="0"/>
          <w:color w:val="auto"/>
          <w:sz w:val="21"/>
          <w:szCs w:val="21"/>
          <w:lang w:val="en-US" w:eastAsia="zh-CN" w:bidi="ar-SA"/>
        </w:rPr>
      </w:pPr>
    </w:p>
    <w:p w14:paraId="02241DA8">
      <w:pPr>
        <w:rPr>
          <w:rFonts w:hint="default" w:ascii="Times New Roman" w:hAnsi="Times New Roman" w:eastAsia="Calibri" w:cs="Times New Roman"/>
          <w:b w:val="0"/>
          <w:bCs w:val="0"/>
          <w:color w:val="auto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Calibri" w:cs="Times New Roman"/>
          <w:b w:val="0"/>
          <w:bCs w:val="0"/>
          <w:color w:val="auto"/>
          <w:sz w:val="21"/>
          <w:szCs w:val="21"/>
          <w:lang w:val="en-US" w:eastAsia="zh-CN" w:bidi="ar-SA"/>
        </w:rPr>
        <w:t xml:space="preserve">1. </w:t>
      </w:r>
      <w:r>
        <w:rPr>
          <w:rFonts w:hint="default" w:ascii="Times New Roman" w:hAnsi="Times New Roman" w:eastAsia="Calibri" w:cs="Times New Roman"/>
          <w:b w:val="0"/>
          <w:bCs w:val="0"/>
          <w:color w:val="auto"/>
          <w:sz w:val="21"/>
          <w:szCs w:val="21"/>
          <w:lang w:val="en-US" w:eastAsia="zh-CN" w:bidi="ar-SA"/>
        </w:rPr>
        <w:t>Gouvea V, Glass RI, Woods P, Taniguchi K, Clark HF, Forrester B, et al. Polymerase chain reaction amplification and typing of rotavirus nucleic acid from stool specimens. J Clin Microbiol. 1990;28(2):276-82.</w:t>
      </w:r>
    </w:p>
    <w:p w14:paraId="16DD79F3">
      <w:pPr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eastAsia="Calibri" w:cs="Times New Roman"/>
          <w:b w:val="0"/>
          <w:bCs w:val="0"/>
          <w:color w:val="auto"/>
          <w:sz w:val="21"/>
          <w:szCs w:val="21"/>
          <w:lang w:val="en-US" w:eastAsia="zh-CN" w:bidi="ar-SA"/>
        </w:rPr>
        <w:t>2</w:t>
      </w:r>
      <w:r>
        <w:rPr>
          <w:rFonts w:hint="default" w:ascii="Times New Roman" w:hAnsi="Times New Roman" w:eastAsia="Calibri" w:cs="Times New Roman"/>
          <w:b w:val="0"/>
          <w:bCs w:val="0"/>
          <w:color w:val="auto"/>
          <w:sz w:val="21"/>
          <w:szCs w:val="21"/>
          <w:lang w:val="en-US" w:eastAsia="zh-CN" w:bidi="ar-SA"/>
        </w:rPr>
        <w:t>.</w:t>
      </w:r>
      <w:r>
        <w:rPr>
          <w:rFonts w:hint="default" w:ascii="Times New Roman" w:hAnsi="Times New Roman" w:eastAsia="Calibri" w:cs="Times New Roman"/>
          <w:b w:val="0"/>
          <w:bCs w:val="0"/>
          <w:color w:val="auto"/>
          <w:sz w:val="21"/>
          <w:szCs w:val="21"/>
          <w:lang w:val="en-US" w:eastAsia="zh-CN" w:bidi="ar-SA"/>
        </w:rPr>
        <w:t xml:space="preserve"> </w:t>
      </w:r>
      <w:r>
        <w:rPr>
          <w:rFonts w:hint="default" w:ascii="Times New Roman" w:hAnsi="Times New Roman" w:eastAsia="Calibri" w:cs="Times New Roman"/>
          <w:b w:val="0"/>
          <w:bCs w:val="0"/>
          <w:color w:val="auto"/>
          <w:sz w:val="21"/>
          <w:szCs w:val="21"/>
          <w:lang w:val="en-US" w:eastAsia="zh-CN" w:bidi="ar-SA"/>
        </w:rPr>
        <w:t>Simmonds MK, Armah G, Asmah R, Banerjee I, Damanka S, Esona M, et al. New oligonucleotide primers for P-typing of rotavirus strains: Strategies for typing previously untypeable strains. J Clin Virol. 2008;42(4):368-73.</w:t>
      </w:r>
    </w:p>
    <w:bookmarkEnd w:id="0"/>
    <w:p w14:paraId="1FD52FCC">
      <w:pPr>
        <w:rPr>
          <w:rFonts w:hint="default" w:ascii="Times New Roman" w:hAnsi="Times New Roman" w:cs="Times New Roman"/>
          <w:color w:val="auto"/>
          <w:sz w:val="21"/>
          <w:szCs w:val="21"/>
        </w:rPr>
      </w:pPr>
    </w:p>
    <w:p w14:paraId="432CBDCB">
      <w:pPr>
        <w:jc w:val="center"/>
        <w:rPr>
          <w:rFonts w:hint="default" w:ascii="Times New Roman" w:hAnsi="Times New Roman" w:cs="Times New Roman" w:eastAsiaTheme="minorEastAsia"/>
          <w:b/>
          <w:bCs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 xml:space="preserve">Table 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 xml:space="preserve"> Regional Distribution of G/P Genotypes in RVA-Associated Diarrhea Among Children Under Five Years of Age in China, 2009–2020</w:t>
      </w:r>
    </w:p>
    <w:tbl>
      <w:tblPr>
        <w:tblStyle w:val="3"/>
        <w:tblW w:w="1044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5"/>
        <w:gridCol w:w="2652"/>
        <w:gridCol w:w="2661"/>
        <w:gridCol w:w="1606"/>
        <w:gridCol w:w="1452"/>
      </w:tblGrid>
      <w:tr w14:paraId="62743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07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E8D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Area</w:t>
            </w:r>
          </w:p>
        </w:tc>
        <w:tc>
          <w:tcPr>
            <w:tcW w:w="2652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5CF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Number of detected cases</w:t>
            </w:r>
          </w:p>
        </w:tc>
        <w:tc>
          <w:tcPr>
            <w:tcW w:w="2661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DF0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Number of positive cases</w:t>
            </w:r>
          </w:p>
        </w:tc>
        <w:tc>
          <w:tcPr>
            <w:tcW w:w="1606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8BF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</w:t>
            </w:r>
          </w:p>
        </w:tc>
        <w:tc>
          <w:tcPr>
            <w:tcW w:w="1452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76B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</w:tr>
      <w:tr w14:paraId="2718B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8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Northeast China (Ⅰ)</w:t>
            </w: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43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1753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00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72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191 (63.7)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C7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172 (57.3)</w:t>
            </w:r>
          </w:p>
        </w:tc>
      </w:tr>
      <w:tr w14:paraId="6AF3F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FF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East China (Ⅱ)</w:t>
            </w: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90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20593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F1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4108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89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712 (17.3)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E0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529 (12.9)</w:t>
            </w:r>
          </w:p>
        </w:tc>
      </w:tr>
      <w:tr w14:paraId="6C98C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BB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Central  China (Ⅲ)</w:t>
            </w: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B2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16217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4D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6740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A2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1421 (21.1)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77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1210 (18.0)</w:t>
            </w:r>
          </w:p>
        </w:tc>
      </w:tr>
      <w:tr w14:paraId="6446A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6B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West China (Ⅳ)</w:t>
            </w:r>
          </w:p>
        </w:tc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75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17074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E3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4797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F7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1516 (31.6)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3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1304 (27.2)</w:t>
            </w:r>
          </w:p>
        </w:tc>
      </w:tr>
      <w:tr w14:paraId="1FF7D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07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B267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Total</w:t>
            </w:r>
          </w:p>
        </w:tc>
        <w:tc>
          <w:tcPr>
            <w:tcW w:w="265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602E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55637</w:t>
            </w:r>
          </w:p>
        </w:tc>
        <w:tc>
          <w:tcPr>
            <w:tcW w:w="266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7043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15945</w:t>
            </w:r>
          </w:p>
        </w:tc>
        <w:tc>
          <w:tcPr>
            <w:tcW w:w="160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2C8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3840 (24.1)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F4F3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3215 (20.2)</w:t>
            </w:r>
          </w:p>
        </w:tc>
      </w:tr>
    </w:tbl>
    <w:p w14:paraId="2C6C1C6D"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Note: The figures outside the brackets represent the number of examples, while those within the brackets denote the composition ratio (%).</w:t>
      </w:r>
    </w:p>
    <w:p w14:paraId="08EB14CD">
      <w:pPr>
        <w:jc w:val="center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35D15294">
      <w:pPr>
        <w:jc w:val="center"/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 xml:space="preserve">Table 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Temporal</w:t>
      </w: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 xml:space="preserve"> Distribution of G/P Genotypes in RVA-Associated Diarrhea Among Children Under Five Years of Age in China, 2009–2020</w:t>
      </w:r>
    </w:p>
    <w:tbl>
      <w:tblPr>
        <w:tblStyle w:val="3"/>
        <w:tblW w:w="983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"/>
        <w:gridCol w:w="2690"/>
        <w:gridCol w:w="2720"/>
        <w:gridCol w:w="1635"/>
        <w:gridCol w:w="1742"/>
      </w:tblGrid>
      <w:tr w14:paraId="6650A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49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E9B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Year</w:t>
            </w:r>
          </w:p>
        </w:tc>
        <w:tc>
          <w:tcPr>
            <w:tcW w:w="269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8D5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Number of detected  cases</w:t>
            </w:r>
          </w:p>
        </w:tc>
        <w:tc>
          <w:tcPr>
            <w:tcW w:w="272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355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Number of positive cases</w:t>
            </w:r>
          </w:p>
        </w:tc>
        <w:tc>
          <w:tcPr>
            <w:tcW w:w="163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1A9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</w:t>
            </w:r>
          </w:p>
        </w:tc>
        <w:tc>
          <w:tcPr>
            <w:tcW w:w="1742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CA9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</w:tr>
      <w:tr w14:paraId="69053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91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2009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1E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3339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26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1665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40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384 (23.1)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B5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260 (15.6)</w:t>
            </w:r>
          </w:p>
        </w:tc>
      </w:tr>
      <w:tr w14:paraId="615E9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4C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2010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6F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9916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3C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3957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15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973 (24.6)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CA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656 (16.6)</w:t>
            </w:r>
          </w:p>
        </w:tc>
      </w:tr>
      <w:tr w14:paraId="57492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DF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2011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0D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4030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63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929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A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221 (23.8)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9E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244 (26.3)</w:t>
            </w:r>
          </w:p>
        </w:tc>
      </w:tr>
      <w:tr w14:paraId="518F7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9C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2012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77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4557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50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1030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37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197 (19.1)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0B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191 (18.5)</w:t>
            </w:r>
          </w:p>
        </w:tc>
      </w:tr>
      <w:tr w14:paraId="3CF19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F1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2013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1F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5601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4B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1399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06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528 (37.7)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A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508 (36.3)</w:t>
            </w:r>
          </w:p>
        </w:tc>
      </w:tr>
      <w:tr w14:paraId="0950C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26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2014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D8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6489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B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1267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D2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370 (29.2)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08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348 (27.5)</w:t>
            </w:r>
          </w:p>
        </w:tc>
      </w:tr>
      <w:tr w14:paraId="72FBB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C3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2015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E0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4458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CA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1434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D0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252 (17.6)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86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208 (14.5)</w:t>
            </w:r>
          </w:p>
        </w:tc>
      </w:tr>
      <w:tr w14:paraId="55969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F4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2016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70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1285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9B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252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B2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 (17.9)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77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 (16.7)</w:t>
            </w:r>
          </w:p>
        </w:tc>
      </w:tr>
      <w:tr w14:paraId="4F989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E8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2017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D4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2009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09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437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F2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 (11.9)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87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 (11.9)</w:t>
            </w:r>
          </w:p>
        </w:tc>
      </w:tr>
      <w:tr w14:paraId="6EE6E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57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2018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E5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5212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98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1598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B2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275 (17.2)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EE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210 (13.1)</w:t>
            </w:r>
          </w:p>
        </w:tc>
      </w:tr>
      <w:tr w14:paraId="47AFD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CE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2019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CA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6975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1A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1669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63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438 (26.2)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2B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400 (24.0)</w:t>
            </w:r>
          </w:p>
        </w:tc>
      </w:tr>
      <w:tr w14:paraId="1D262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0C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2020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58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1766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B7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308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CA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 (34.1)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B7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96 (31.2)</w:t>
            </w:r>
          </w:p>
        </w:tc>
      </w:tr>
      <w:tr w14:paraId="7E2F0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04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7F21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Total</w:t>
            </w:r>
          </w:p>
        </w:tc>
        <w:tc>
          <w:tcPr>
            <w:tcW w:w="269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23D8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55637</w:t>
            </w:r>
          </w:p>
        </w:tc>
        <w:tc>
          <w:tcPr>
            <w:tcW w:w="272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BA45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15945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0F00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3840 (24.1)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182B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3215 (20.2)</w:t>
            </w:r>
          </w:p>
        </w:tc>
      </w:tr>
    </w:tbl>
    <w:p w14:paraId="21632183">
      <w:pP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Note: The figures outside the brackets represent the number of examples, while those within the brackets denote the composition ratio (%).</w:t>
      </w:r>
    </w:p>
    <w:p w14:paraId="00E6F248">
      <w:pPr>
        <w:rPr>
          <w:rFonts w:hint="default" w:ascii="Times New Roman" w:hAnsi="Times New Roman" w:cs="Times New Roman"/>
          <w:color w:val="auto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2F6062"/>
    <w:rsid w:val="1FE1495C"/>
    <w:rsid w:val="4CBA0167"/>
    <w:rsid w:val="53BA0CC5"/>
    <w:rsid w:val="782F6062"/>
    <w:rsid w:val="7EA7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next w:val="1"/>
    <w:unhideWhenUsed/>
    <w:qFormat/>
    <w:uiPriority w:val="0"/>
    <w:pPr>
      <w:widowControl w:val="0"/>
      <w:jc w:val="both"/>
    </w:pPr>
    <w:rPr>
      <w:rFonts w:ascii="Arial" w:hAnsi="Arial" w:eastAsia="黑体" w:cstheme="minorBidi"/>
      <w:kern w:val="2"/>
      <w:sz w:val="20"/>
      <w:szCs w:val="24"/>
      <w:lang w:val="en-US" w:eastAsia="zh-CN" w:bidi="ar-SA"/>
    </w:rPr>
  </w:style>
  <w:style w:type="table" w:styleId="4">
    <w:name w:val="Table Grid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2025-10-14T10:48:00Z</dcterms:created>
  <dc:creator>蔡立</dc:creator>
  <cp:lastModifiedBy>蔡立</cp:lastModifiedBy>
  <dcterms:modified xsi:type="dcterms:W3CDTF">2025-10-14T15:39:25Z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5569960EF1EE4B4FAF3834693D26515D_13</vt:lpwstr>
  </property>
  <property fmtid="{D5CDD505-2E9C-101B-9397-08002B2CF9AE}" pid="4" name="KSOTemplateDocerSaveRecord">
    <vt:lpwstr>eyJoZGlkIjoiZjFmZWIzNDg2MmIzZjExOTIzMmViNTBmYTMwYTk0ZWYiLCJ1c2VySWQiOiI0MDk1NTQwMTcifQ==</vt:lpwstr>
  </property>
</Properties>
</file>