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6AFF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Supplementary material</w:t>
      </w:r>
    </w:p>
    <w:p w14:paraId="1C106B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Supplementary Table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: Baseline characteristics of the Q1-Q3 and Q4 groups.</w:t>
      </w:r>
    </w:p>
    <w:p w14:paraId="512B69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Supplementary Table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2: Cox proportional hazards regression of the factors influencing all-cause death of the study population.</w:t>
      </w:r>
    </w:p>
    <w:p w14:paraId="6F63E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1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: Association between UAR and APACHE II score and SOFA score using Sp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earman’s analys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is</w:t>
      </w:r>
    </w:p>
    <w:p w14:paraId="10287C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Figure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2: Boxplots of the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 xml:space="preserve"> UAR showing the distribution in the Survivor group and Non-survivor group. </w:t>
      </w:r>
    </w:p>
    <w:p w14:paraId="06E59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Supplementary 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Figure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3. ROC curve analysis of the UAR to predict hospital</w:t>
      </w:r>
      <w:r>
        <w:rPr>
          <w:rFonts w:hint="eastAsia" w:ascii="Times New Roman" w:hAnsi="Times New Roman" w:cs="Times New Roman"/>
          <w:color w:val="auto"/>
          <w:sz w:val="24"/>
          <w:szCs w:val="24"/>
          <w:lang w:val="en-US" w:eastAsia="zh-CN"/>
        </w:rPr>
        <w:t>/ICU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 w:eastAsia="zh-CN"/>
        </w:rPr>
        <w:t xml:space="preserve"> mortality and comparison of the AUC between the UAR, uric acid, and Alb.</w:t>
      </w:r>
    </w:p>
    <w:p w14:paraId="3447A4DC">
      <w:pPr>
        <w:ind w:firstLine="1050" w:firstLineChars="50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76755E91">
      <w:pPr>
        <w:ind w:firstLine="1050" w:firstLineChars="50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1D83036B">
      <w:pPr>
        <w:ind w:firstLine="1050" w:firstLineChars="50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3F3A759F">
      <w:pPr>
        <w:ind w:firstLine="1050" w:firstLineChars="500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p w14:paraId="2B714D04">
      <w:pPr>
        <w:ind w:firstLine="1050" w:firstLineChars="500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S1.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 xml:space="preserve"> Baseline characteristic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s of the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Q1-Q3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and </w:t>
      </w:r>
      <w:r>
        <w:rPr>
          <w:rFonts w:hint="eastAsia" w:ascii="Times New Roman" w:hAnsi="Times New Roman" w:cs="Times New Roman"/>
          <w:b w:val="0"/>
          <w:bCs w:val="0"/>
          <w:sz w:val="21"/>
          <w:szCs w:val="21"/>
          <w:lang w:val="en-US" w:eastAsia="zh-CN"/>
        </w:rPr>
        <w:t>Q4</w:t>
      </w:r>
      <w:r>
        <w:rPr>
          <w:rFonts w:hint="default" w:ascii="Times New Roman" w:hAnsi="Times New Roman" w:cs="Times New Roman"/>
          <w:b w:val="0"/>
          <w:bCs w:val="0"/>
          <w:sz w:val="21"/>
          <w:szCs w:val="21"/>
          <w:lang w:val="en-US" w:eastAsia="zh-CN"/>
        </w:rPr>
        <w:t xml:space="preserve"> grou</w:t>
      </w:r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ps</w:t>
      </w:r>
    </w:p>
    <w:tbl>
      <w:tblPr>
        <w:tblStyle w:val="3"/>
        <w:tblW w:w="8632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1"/>
        <w:gridCol w:w="1669"/>
        <w:gridCol w:w="1685"/>
        <w:gridCol w:w="1893"/>
        <w:gridCol w:w="1094"/>
      </w:tblGrid>
      <w:tr w14:paraId="4256BF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bottom w:val="single" w:color="auto" w:sz="4" w:space="0"/>
            </w:tcBorders>
            <w:vAlign w:val="top"/>
          </w:tcPr>
          <w:p w14:paraId="1FE7246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sz w:val="18"/>
                <w:szCs w:val="18"/>
                <w:lang w:val="en-US" w:eastAsia="zh-CN" w:bidi="ar"/>
              </w:rPr>
              <w:t>Variables</w:t>
            </w:r>
          </w:p>
        </w:tc>
        <w:tc>
          <w:tcPr>
            <w:tcW w:w="1669" w:type="dxa"/>
            <w:tcBorders>
              <w:bottom w:val="single" w:color="auto" w:sz="4" w:space="0"/>
            </w:tcBorders>
            <w:vAlign w:val="top"/>
          </w:tcPr>
          <w:p w14:paraId="74639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Overall</w:t>
            </w:r>
          </w:p>
        </w:tc>
        <w:tc>
          <w:tcPr>
            <w:tcW w:w="1685" w:type="dxa"/>
            <w:tcBorders>
              <w:bottom w:val="single" w:color="auto" w:sz="4" w:space="0"/>
            </w:tcBorders>
            <w:vAlign w:val="top"/>
          </w:tcPr>
          <w:p w14:paraId="5AE9FFD0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Q1-Q3 group</w:t>
            </w:r>
          </w:p>
        </w:tc>
        <w:tc>
          <w:tcPr>
            <w:tcW w:w="1893" w:type="dxa"/>
            <w:tcBorders>
              <w:bottom w:val="single" w:color="auto" w:sz="4" w:space="0"/>
            </w:tcBorders>
            <w:vAlign w:val="top"/>
          </w:tcPr>
          <w:p w14:paraId="50C16FD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Q4 group</w:t>
            </w:r>
          </w:p>
        </w:tc>
        <w:tc>
          <w:tcPr>
            <w:tcW w:w="1094" w:type="dxa"/>
            <w:tcBorders>
              <w:bottom w:val="single" w:color="auto" w:sz="4" w:space="0"/>
            </w:tcBorders>
            <w:vAlign w:val="top"/>
          </w:tcPr>
          <w:p w14:paraId="58694E5B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P-value</w:t>
            </w:r>
          </w:p>
        </w:tc>
      </w:tr>
      <w:tr w14:paraId="7E483B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4C18B1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  <w:tc>
          <w:tcPr>
            <w:tcW w:w="166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7C4F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1123</w:t>
            </w:r>
          </w:p>
        </w:tc>
        <w:tc>
          <w:tcPr>
            <w:tcW w:w="1685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32A1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843</w:t>
            </w:r>
          </w:p>
        </w:tc>
        <w:tc>
          <w:tcPr>
            <w:tcW w:w="1893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051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  <w:tc>
          <w:tcPr>
            <w:tcW w:w="1094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5E4FC5AE">
            <w:pPr>
              <w:jc w:val="center"/>
              <w:rPr>
                <w:rFonts w:hint="default" w:ascii="Times New Roman" w:hAnsi="Times New Roman" w:cs="Times New Roman"/>
                <w:b w:val="0"/>
                <w:bCs w:val="0"/>
                <w:sz w:val="18"/>
                <w:szCs w:val="18"/>
                <w:vertAlign w:val="baseline"/>
              </w:rPr>
            </w:pPr>
          </w:p>
        </w:tc>
      </w:tr>
      <w:tr w14:paraId="112C5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5B6A011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Age, years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5E4B8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 (65-84)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420B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 (65-85)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46E40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 (66-84)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12105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0.753</w:t>
            </w:r>
          </w:p>
        </w:tc>
      </w:tr>
      <w:tr w14:paraId="3BEF6B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5601133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4C4F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707 (63.0)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6F3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529 (62.8)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7AEA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178 (63.6)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975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0.806</w:t>
            </w:r>
          </w:p>
        </w:tc>
      </w:tr>
      <w:tr w14:paraId="534819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0098096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BMI, kg/m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C244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22.49 (20.08-25.21)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F52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22.49 (20.09-25.20)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9ACC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22.49 (20.02-25.22)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382DE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0.931</w:t>
            </w:r>
          </w:p>
        </w:tc>
      </w:tr>
      <w:tr w14:paraId="4EC476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5CCD8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77A2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229 (20.4)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EFD3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174 (20.6)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1F966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 (19.7)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4017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0.739</w:t>
            </w:r>
          </w:p>
        </w:tc>
      </w:tr>
      <w:tr w14:paraId="2224E2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2" w:type="dxa"/>
            <w:gridSpan w:val="5"/>
            <w:tcBorders>
              <w:tl2br w:val="nil"/>
              <w:tr2bl w:val="nil"/>
            </w:tcBorders>
            <w:vAlign w:val="top"/>
          </w:tcPr>
          <w:p w14:paraId="328BCF4F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Comorbidities, n (%)</w:t>
            </w:r>
          </w:p>
        </w:tc>
      </w:tr>
      <w:tr w14:paraId="7918372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D99B95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7F6C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579 (51.3)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42EB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427 (50.7)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5FD7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152 (54.3)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133A5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0.292</w:t>
            </w:r>
          </w:p>
        </w:tc>
      </w:tr>
      <w:tr w14:paraId="6BCB14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5EF07B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5393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309 (27.5)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95C2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214 (25.4)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ECAC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 (33.9)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FC63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</w:tr>
      <w:tr w14:paraId="193299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A00905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Coronary artery disease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18D7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 (10.3)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EA5A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 (9.3)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C55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 (13.6)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9D1B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0.038</w:t>
            </w:r>
          </w:p>
        </w:tc>
      </w:tr>
      <w:tr w14:paraId="554B06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1AA58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COPD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77C4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 (7.7)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181C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 (8.3)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BF20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 (6.1)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37BA7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0.226</w:t>
            </w:r>
          </w:p>
        </w:tc>
      </w:tr>
      <w:tr w14:paraId="49F97E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F9A03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Cerebral infarction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506E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161 (14.3)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3DB3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 (15.3)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4F22E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 (11.4)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39FB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0.109</w:t>
            </w:r>
          </w:p>
        </w:tc>
      </w:tr>
      <w:tr w14:paraId="278183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2" w:type="dxa"/>
            <w:gridSpan w:val="5"/>
            <w:tcBorders>
              <w:tl2br w:val="nil"/>
              <w:tr2bl w:val="nil"/>
            </w:tcBorders>
            <w:vAlign w:val="top"/>
          </w:tcPr>
          <w:p w14:paraId="70AD0957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Infection pathogens, n (%)</w:t>
            </w:r>
          </w:p>
        </w:tc>
      </w:tr>
      <w:tr w14:paraId="303C58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C6E29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Gram-positive bacteria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11885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 (12.1)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24538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 (11.3)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5816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 (14.6)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5B06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0.134</w:t>
            </w:r>
          </w:p>
        </w:tc>
      </w:tr>
      <w:tr w14:paraId="2AE21C6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047054F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Gram-negative bacteria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E15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335 (29.8)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7553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 (26.6)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47F85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 (39.6)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7875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A98B4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0139E64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Fungus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969D2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 (6.9)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6546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 (6.4)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48E3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 (8.2)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5E3E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0.299</w:t>
            </w:r>
          </w:p>
        </w:tc>
      </w:tr>
      <w:tr w14:paraId="7DE184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50CEEFD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Virus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21F2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 (5.3)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0CF3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 (6.3)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DB53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 (2.5)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406E1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0.015</w:t>
            </w:r>
          </w:p>
        </w:tc>
      </w:tr>
      <w:tr w14:paraId="2663B6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2" w:type="dxa"/>
            <w:gridSpan w:val="5"/>
            <w:tcBorders>
              <w:tl2br w:val="nil"/>
              <w:tr2bl w:val="nil"/>
            </w:tcBorders>
            <w:vAlign w:val="top"/>
          </w:tcPr>
          <w:p w14:paraId="5C2A663A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Laboratory tests</w:t>
            </w:r>
          </w:p>
        </w:tc>
      </w:tr>
      <w:tr w14:paraId="1C445C4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164500D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WBC *10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9EEF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11.4 (7.4-17.1)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1BE6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10.9 (7.2-16.5)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B035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12.8 (8.2-19.9)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2F6FC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0.001</w:t>
            </w:r>
          </w:p>
        </w:tc>
      </w:tr>
      <w:tr w14:paraId="1F1E4C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23B4B1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Neu *10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70C0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 (6.3-15.5)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2EA7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9.6 (6.2-14.9)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500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 (7.0-17.6)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0A47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2FE4C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A639F1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Lym *10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10B05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 (0.3-0.9)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C050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 (0.3-0.9)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5F927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 (0.3-0.8)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ADA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0.093</w:t>
            </w:r>
          </w:p>
        </w:tc>
      </w:tr>
      <w:tr w14:paraId="3473F3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E8205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Mon *10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F644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 (0.2-0.7)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2447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 (0.2-0.6)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13E6F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 (0.2-0.7)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7CE9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0.357</w:t>
            </w:r>
          </w:p>
        </w:tc>
      </w:tr>
      <w:tr w14:paraId="6B8F111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F6B60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Hb, g/dL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B73A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 (97-130)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B58F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 (99-130)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6751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 (91-130)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38C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0.137</w:t>
            </w:r>
          </w:p>
        </w:tc>
      </w:tr>
      <w:tr w14:paraId="1F4E7D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424F3B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 *10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vertAlign w:val="superscript"/>
                <w:lang w:val="en-US" w:eastAsia="zh-CN" w:bidi="ar"/>
              </w:rPr>
              <w:t xml:space="preserve">9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1B93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 (95-214)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2A89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159 (103-221)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0A740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 (79-191)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01FD2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09F6BA2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F2A74C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CRP, mg/L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A024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104.2 (42.0-163.2)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7497F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92.5 (36.5-154.7)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841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133.4 (78.9-200.4)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2E81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F00E68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4B32F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Tbil, μmol/L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63BA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 (10.9-28.2)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1A2E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 (10.6-27.0)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8842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18.7 (11.9-31.8)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20144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0.018</w:t>
            </w:r>
          </w:p>
        </w:tc>
      </w:tr>
      <w:tr w14:paraId="645E41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382BD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ALT, U/L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707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32.0 (21.0-56.0)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42B1C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 (21.0-53.0)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6AB99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35.8 (22.0-68.7)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7E33D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0.012</w:t>
            </w:r>
          </w:p>
        </w:tc>
      </w:tr>
      <w:tr w14:paraId="6263F80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AB3C4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AST, U/L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90FB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38.1 (23.9-73.0)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1F1AB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 (23.0-67.0)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6A8C3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48.5 (26.0-113.0)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1B0EC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45D09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54F020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Alb, g/L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F80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28.2 (24.2-33.2)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41E4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29.5 (25.3-34.0)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B474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24.9 (21.0-30.2)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79517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0C480A7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42E97E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Glucose, mmol/L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139A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8.2 (6.6-11.8)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0660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8.0 (6.5-11.0)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4A67F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9.2 (6.9-14.1)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7FFC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F28DD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A8921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Creatinine, μmol/L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8370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92.6 (63.7-153.1)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54B8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78.2 (57.5-118.0)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6926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185.0 (130.2-295.7)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1264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5AADE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16B5CF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BUN, mmol/L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C1A0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8.89 (6.04-13.95)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B3EB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7.55 (5.48-10.60)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077D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17.85 (11.60-24.23)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4B9E3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0E9E005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760FC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Uric acid, μmol/L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85C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286.9 (192.3-411.7)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A13E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245.2 (172.1-317.5)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0B629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508.3 (414.5-620.7)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692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56AD1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12E9779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D-dimer, mg/L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29D1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4.2 (2.1-8.4)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7ECB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 (2.0-7.7)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15DDD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6.6 (2.9-11.5)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01F76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564BA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65867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Potassium, mmol/L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20400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 (3.3-4.2)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BD74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3.7 (3.3-4.1)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5B264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3.9 (3.4-4.6)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0E76F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9D1B2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B77EC3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Lactate, mmol/L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9E0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 (1.4-3.6)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7B41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2.1 (1.4-3.2)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C287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2.5 (1.7-5.2)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218F1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5F419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0530A12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UAR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DDE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10.23 (6.60-14.85)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01C0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8.32 (5.83-11.23)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6E544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18.93 (16.48-23.47)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B601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48166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47E703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Severity scoring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top"/>
          </w:tcPr>
          <w:p w14:paraId="1DD3CFF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685" w:type="dxa"/>
            <w:tcBorders>
              <w:tl2br w:val="nil"/>
              <w:tr2bl w:val="nil"/>
            </w:tcBorders>
            <w:vAlign w:val="top"/>
          </w:tcPr>
          <w:p w14:paraId="5396294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893" w:type="dxa"/>
            <w:tcBorders>
              <w:tl2br w:val="nil"/>
              <w:tr2bl w:val="nil"/>
            </w:tcBorders>
            <w:vAlign w:val="top"/>
          </w:tcPr>
          <w:p w14:paraId="0D062E5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1094" w:type="dxa"/>
            <w:tcBorders>
              <w:tl2br w:val="nil"/>
              <w:tr2bl w:val="nil"/>
            </w:tcBorders>
            <w:vAlign w:val="top"/>
          </w:tcPr>
          <w:p w14:paraId="1D3AAE7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</w:tr>
      <w:tr w14:paraId="4EFA8D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B62EC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APACHE II score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2477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(19-30)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33753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 (19-29)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F699D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 (21-33)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781BC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A85C6C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635A42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SOFA score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723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 (10-14)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26050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 (9-14)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3065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 (11-15)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2E09A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70D2E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2" w:type="dxa"/>
            <w:gridSpan w:val="5"/>
            <w:tcBorders>
              <w:tl2br w:val="nil"/>
              <w:tr2bl w:val="nil"/>
            </w:tcBorders>
            <w:vAlign w:val="top"/>
          </w:tcPr>
          <w:p w14:paraId="04017352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Treatments</w:t>
            </w:r>
          </w:p>
        </w:tc>
      </w:tr>
      <w:tr w14:paraId="23DC780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4570C0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CRRT,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007E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 (6.9)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0C5D3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 (3.6)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6E759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 (17.1)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45760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9E76E6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84BB3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Vasoactive drug,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B8E5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748 (66.6)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48903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526 (62.4)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7B09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222 (79.3)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3398B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6C4C9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31CBA8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Invasive ventilation,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2CBA8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752 (67.0)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406F7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 (65.5)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36D5F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 (71.4)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5E645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0.067</w:t>
            </w:r>
          </w:p>
        </w:tc>
      </w:tr>
      <w:tr w14:paraId="407F83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32" w:type="dxa"/>
            <w:gridSpan w:val="5"/>
            <w:tcBorders>
              <w:tl2br w:val="nil"/>
              <w:tr2bl w:val="nil"/>
            </w:tcBorders>
            <w:vAlign w:val="top"/>
          </w:tcPr>
          <w:p w14:paraId="0E21E98D">
            <w:pPr>
              <w:jc w:val="both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AdvOT34fe1490 . B" w:cs="Times New Roman"/>
                <w:b/>
                <w:bCs/>
                <w:color w:val="231F20"/>
                <w:kern w:val="0"/>
                <w:sz w:val="18"/>
                <w:szCs w:val="18"/>
                <w:lang w:val="en-US" w:eastAsia="zh-CN" w:bidi="ar"/>
              </w:rPr>
              <w:t>Endpoints</w:t>
            </w:r>
          </w:p>
        </w:tc>
      </w:tr>
      <w:tr w14:paraId="1759D96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7E196B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30-day mortality,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542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316 (28.1)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2EF7B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189 (22.4)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4D59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127 (45.4)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BA0B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243F95A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C95AF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60-day mortality,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099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375 (33.4)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EDE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235 (27.9)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56C61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 (50.0)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6A76E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0374304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2D3FB8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AKI,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4775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512 (45.6)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2291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270 (32.0)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74EBAE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242 (86.4)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05875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A4553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424AE4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Length of ICU stay, days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4DA4E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 (3-12)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382673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 (3-11)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45AEE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 (4-13)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0CF3A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E1C9D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7502E0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Length of hospital stay, days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78337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 (11-25)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5CAA6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 (11-25)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2B070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 (8-25)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3D2C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0.053</w:t>
            </w:r>
          </w:p>
        </w:tc>
      </w:tr>
      <w:tr w14:paraId="3230F46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43EA48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ICU mortality,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00BFF6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358 (31.9)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7B440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224 (26.6)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1D84C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134 (47.9)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2B24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72A91B7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l2br w:val="nil"/>
              <w:tr2bl w:val="nil"/>
            </w:tcBorders>
            <w:vAlign w:val="top"/>
          </w:tcPr>
          <w:p w14:paraId="6FC3F6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Hospital mortality, n (%)</w:t>
            </w:r>
          </w:p>
        </w:tc>
        <w:tc>
          <w:tcPr>
            <w:tcW w:w="1669" w:type="dxa"/>
            <w:tcBorders>
              <w:tl2br w:val="nil"/>
              <w:tr2bl w:val="nil"/>
            </w:tcBorders>
            <w:vAlign w:val="center"/>
          </w:tcPr>
          <w:p w14:paraId="6001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379 (33.7)</w:t>
            </w:r>
          </w:p>
        </w:tc>
        <w:tc>
          <w:tcPr>
            <w:tcW w:w="1685" w:type="dxa"/>
            <w:tcBorders>
              <w:tl2br w:val="nil"/>
              <w:tr2bl w:val="nil"/>
            </w:tcBorders>
            <w:vAlign w:val="center"/>
          </w:tcPr>
          <w:p w14:paraId="682A7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239 (28.4)</w:t>
            </w:r>
          </w:p>
        </w:tc>
        <w:tc>
          <w:tcPr>
            <w:tcW w:w="1893" w:type="dxa"/>
            <w:tcBorders>
              <w:tl2br w:val="nil"/>
              <w:tr2bl w:val="nil"/>
            </w:tcBorders>
            <w:vAlign w:val="center"/>
          </w:tcPr>
          <w:p w14:paraId="5315F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140 (50.0)</w:t>
            </w:r>
          </w:p>
        </w:tc>
        <w:tc>
          <w:tcPr>
            <w:tcW w:w="1094" w:type="dxa"/>
            <w:tcBorders>
              <w:tl2br w:val="nil"/>
              <w:tr2bl w:val="nil"/>
            </w:tcBorders>
            <w:vAlign w:val="center"/>
          </w:tcPr>
          <w:p w14:paraId="0DBE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</w:tbl>
    <w:p w14:paraId="3AE51B93">
      <w:pP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Abbreviations: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UAR, Uric acid to albumin ratio;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BMI, body mass index;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COPD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, chronic obstructive pulmonary disease;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WBC, white blood cell count;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Neu, neutrophil; Lym, lymphocyte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Mon, monocyte; Hb, hemoglobin;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PLT, platelet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CRP, C-reactive protein; Tbil, total bilirubin; ALT, alanine transaminase; AST, aspartate aminotransferase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; Alb, a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lbumin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;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BUN, blood urea nitroge;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APACHE II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Acute Physiology and Chronic Health Evaluation II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SOFA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Sequential Organ Failure Assessment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CRRT, continuous renal replacement therapy;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AKI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, Acute kidney injury; ICU, Intensive Care Unit.</w:t>
      </w:r>
    </w:p>
    <w:p w14:paraId="41B0D098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09D7D947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555F04B7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  </w:t>
      </w:r>
    </w:p>
    <w:p w14:paraId="464AC626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1D083FC5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0BF6BD0E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607FE826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</w:p>
    <w:p w14:paraId="0CC1A8E5">
      <w:r>
        <w:rPr>
          <w:rFonts w:hint="default" w:ascii="Times New Roman" w:hAnsi="Times New Roman" w:cs="Times New Roman"/>
          <w:lang w:val="en-US" w:eastAsia="zh-CN"/>
        </w:rPr>
        <w:t>Table S</w:t>
      </w:r>
      <w:r>
        <w:rPr>
          <w:rFonts w:hint="eastAsia" w:ascii="Times New Roman" w:hAnsi="Times New Roman" w:cs="Times New Roman"/>
          <w:lang w:val="en-US" w:eastAsia="zh-CN"/>
        </w:rPr>
        <w:t>2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lang w:val="en-US" w:eastAsia="zh-CN"/>
        </w:rPr>
        <w:t>U</w:t>
      </w:r>
      <w:r>
        <w:rPr>
          <w:rFonts w:hint="default" w:ascii="Times New Roman" w:hAnsi="Times New Roman" w:cs="Times New Roman"/>
          <w:color w:val="auto"/>
          <w:lang w:val="en-US" w:eastAsia="zh-CN"/>
        </w:rPr>
        <w:t>nivariate Cox regression analysis of th</w:t>
      </w:r>
      <w:r>
        <w:rPr>
          <w:rFonts w:hint="default" w:ascii="Times New Roman" w:hAnsi="Times New Roman" w:cs="Times New Roman"/>
          <w:lang w:val="en-US" w:eastAsia="zh-CN"/>
        </w:rPr>
        <w:t xml:space="preserve">e factors influencing </w:t>
      </w:r>
      <w:r>
        <w:rPr>
          <w:rFonts w:hint="eastAsia" w:ascii="Times New Roman" w:hAnsi="Times New Roman" w:cs="Times New Roman"/>
          <w:lang w:val="en-US" w:eastAsia="zh-CN"/>
        </w:rPr>
        <w:t>all cause mortality</w:t>
      </w:r>
      <w:r>
        <w:rPr>
          <w:rFonts w:hint="default" w:ascii="Times New Roman" w:hAnsi="Times New Roman" w:cs="Times New Roman"/>
          <w:lang w:val="en-US" w:eastAsia="zh-CN"/>
        </w:rPr>
        <w:t xml:space="preserve"> of the study population.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DFBDD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bottom w:val="single" w:color="auto" w:sz="4" w:space="0"/>
            </w:tcBorders>
          </w:tcPr>
          <w:p w14:paraId="50BD32A5">
            <w:pP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Variables</w:t>
            </w:r>
          </w:p>
        </w:tc>
        <w:tc>
          <w:tcPr>
            <w:tcW w:w="2130" w:type="dxa"/>
            <w:tcBorders>
              <w:bottom w:val="single" w:color="auto" w:sz="4" w:space="0"/>
            </w:tcBorders>
          </w:tcPr>
          <w:p w14:paraId="22A7486A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HR</w:t>
            </w:r>
          </w:p>
        </w:tc>
        <w:tc>
          <w:tcPr>
            <w:tcW w:w="2131" w:type="dxa"/>
            <w:tcBorders>
              <w:bottom w:val="single" w:color="auto" w:sz="4" w:space="0"/>
            </w:tcBorders>
          </w:tcPr>
          <w:p w14:paraId="39BDA222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95% CI</w:t>
            </w:r>
          </w:p>
        </w:tc>
        <w:tc>
          <w:tcPr>
            <w:tcW w:w="2131" w:type="dxa"/>
            <w:tcBorders>
              <w:bottom w:val="single" w:color="auto" w:sz="4" w:space="0"/>
            </w:tcBorders>
          </w:tcPr>
          <w:p w14:paraId="0E8AB95D"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vertAlign w:val="baseline"/>
                <w:lang w:val="en-US" w:eastAsia="zh-CN"/>
              </w:rPr>
              <w:t>P-value</w:t>
            </w:r>
          </w:p>
        </w:tc>
      </w:tr>
      <w:tr w14:paraId="558ED15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vAlign w:val="top"/>
          </w:tcPr>
          <w:p w14:paraId="73B6403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UAR</w:t>
            </w:r>
          </w:p>
        </w:tc>
        <w:tc>
          <w:tcPr>
            <w:tcW w:w="213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22A055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1.042</w:t>
            </w: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417D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1.030-1.054</w:t>
            </w: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7EE632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BD60A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4E140CA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Age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D996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A365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1.011-1.027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6A24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35A6A9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28EDDF35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Male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CFB4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497B0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0.770-1.180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DCA4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</w:tr>
      <w:tr w14:paraId="377877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4EA20A89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  <w:t>BMI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CC543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04F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0.953-1.000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CA5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0.048</w:t>
            </w:r>
          </w:p>
        </w:tc>
      </w:tr>
      <w:tr w14:paraId="3C4FE8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0BCFDD5C">
            <w:pPr>
              <w:rPr>
                <w:rFonts w:hint="default" w:ascii="Times New Roman" w:hAnsi="Times New Roman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Smoking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9DC5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1.145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93A5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0.901-1.456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68ED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0.269</w:t>
            </w:r>
          </w:p>
        </w:tc>
      </w:tr>
      <w:tr w14:paraId="792DFD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6F5A899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Hypertension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B3F0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650E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0.948-1.423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C5E1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0.149</w:t>
            </w:r>
          </w:p>
        </w:tc>
      </w:tr>
      <w:tr w14:paraId="4AB9266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59E48DE1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Diabetes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FA58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64EE1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0.924-1.439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5A1E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0.206</w:t>
            </w:r>
          </w:p>
        </w:tc>
      </w:tr>
      <w:tr w14:paraId="2F9CBB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44873EB6">
            <w:pPr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WBC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C196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1.014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1177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1.001-1.026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463D2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0.028</w:t>
            </w:r>
          </w:p>
        </w:tc>
      </w:tr>
      <w:tr w14:paraId="280CF77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02A9C1B5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Neu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9F3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5E28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1.005-1.032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3D52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</w:tr>
      <w:tr w14:paraId="561750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3F5D3D5A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Lym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629B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0.489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0A61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0.378-0.631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3E289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A967C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15D49FA7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PLT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BE3D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553E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0.996-0.998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35B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A5EBE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1A92829C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CRP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76746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4C7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1.000-1.003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06356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0.006</w:t>
            </w:r>
          </w:p>
        </w:tc>
      </w:tr>
      <w:tr w14:paraId="3FCDB3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6E3A2B21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Creatinine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391F0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E9B8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1.001-1.002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74D58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12F6CA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5B080EB0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D-dimer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53042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814D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1.011-1.019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4C089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404331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213C83DF"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Lactate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29791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00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61F82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1.073-1.128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EFB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58DA2F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128515A8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APACHE II score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05794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1.044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646664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1.032-1.057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14CC8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 w14:paraId="6C18DB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tcBorders>
              <w:tl2br w:val="nil"/>
              <w:tr2bl w:val="nil"/>
            </w:tcBorders>
            <w:vAlign w:val="top"/>
          </w:tcPr>
          <w:p w14:paraId="50A085B4">
            <w:pP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SOFA score</w:t>
            </w:r>
          </w:p>
        </w:tc>
        <w:tc>
          <w:tcPr>
            <w:tcW w:w="2130" w:type="dxa"/>
            <w:tcBorders>
              <w:tl2br w:val="nil"/>
              <w:tr2bl w:val="nil"/>
            </w:tcBorders>
            <w:vAlign w:val="center"/>
          </w:tcPr>
          <w:p w14:paraId="4497A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1.078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6E9F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1.052-1.105</w:t>
            </w:r>
          </w:p>
        </w:tc>
        <w:tc>
          <w:tcPr>
            <w:tcW w:w="2131" w:type="dxa"/>
            <w:tcBorders>
              <w:tl2br w:val="nil"/>
              <w:tr2bl w:val="nil"/>
            </w:tcBorders>
            <w:vAlign w:val="center"/>
          </w:tcPr>
          <w:p w14:paraId="2CA7A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</w:tbl>
    <w:p w14:paraId="0A724407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Abbreviations: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UAR, Uric acid to albumin ratio;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BMI, body mass index;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 xml:space="preserve">WBC, white blood cell;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Neu, neutrophil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Lym, lymphocyte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; P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LT, platelet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CRP, C-reactive protein;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APACHE II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, </w:t>
      </w:r>
      <w:r>
        <w:rPr>
          <w:rFonts w:hint="eastAsia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Acute Physiology and Chronic Health Evaluation II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; </w:t>
      </w:r>
      <w:r>
        <w:rPr>
          <w:rFonts w:hint="default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SOFA</w:t>
      </w:r>
      <w:r>
        <w:rPr>
          <w:rFonts w:hint="eastAsia" w:ascii="Times New Roman" w:hAnsi="Times New Roman" w:eastAsia="宋体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 xml:space="preserve">, </w:t>
      </w:r>
      <w:r>
        <w:rPr>
          <w:rFonts w:hint="default" w:ascii="Times New Roman" w:hAnsi="Times New Roman" w:eastAsia="宋体" w:cs="Times New Roman"/>
          <w:b w:val="0"/>
          <w:bCs w:val="0"/>
          <w:sz w:val="18"/>
          <w:szCs w:val="18"/>
          <w:lang w:val="en-US" w:eastAsia="zh-CN"/>
        </w:rPr>
        <w:t>Sequential Organ Failure Assessment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.</w:t>
      </w:r>
    </w:p>
    <w:p w14:paraId="08F93E0F"/>
    <w:p w14:paraId="6971CD58"/>
    <w:p w14:paraId="5C15A32A"/>
    <w:p w14:paraId="3654E744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6A7CD1DE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07932BBE">
      <w:pPr>
        <w:rPr>
          <w:rFonts w:hint="eastAsia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drawing>
          <wp:inline distT="0" distB="0" distL="114300" distR="114300">
            <wp:extent cx="2712720" cy="2284730"/>
            <wp:effectExtent l="0" t="0" r="0" b="0"/>
            <wp:docPr id="3" name="图片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12720" cy="228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drawing>
          <wp:inline distT="0" distB="0" distL="114300" distR="114300">
            <wp:extent cx="2475230" cy="2089150"/>
            <wp:effectExtent l="0" t="0" r="0" b="0"/>
            <wp:docPr id="4" name="图片 4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5230" cy="208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C331D">
      <w:pPr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S1.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  <w:t xml:space="preserve">Association between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UA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R</w:t>
      </w:r>
      <w: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  <w:t xml:space="preserve"> and APACHE II score (A) and SOFA score (B) using Spearman’s analysis.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Abbreviations: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 xml:space="preserve"> UAR, Uric acid to albumin ratio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; </w:t>
      </w:r>
      <w: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  <w:t>APACHE II, acute physiology and chronic health evaluation II; SOFA, sequential organ failure assessment.</w:t>
      </w:r>
    </w:p>
    <w:p w14:paraId="3A003AAD">
      <w:pPr>
        <w:rPr>
          <w:rFonts w:hint="eastAsia" w:eastAsiaTheme="minorEastAsia"/>
          <w:lang w:eastAsia="zh-CN"/>
        </w:rPr>
      </w:pPr>
    </w:p>
    <w:p w14:paraId="2B0E4984">
      <w:pPr>
        <w:rPr>
          <w:rFonts w:hint="eastAsia" w:eastAsiaTheme="minorEastAsia"/>
          <w:lang w:eastAsia="zh-CN"/>
        </w:rPr>
      </w:pPr>
    </w:p>
    <w:p w14:paraId="3BB655A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4760" cy="2511425"/>
            <wp:effectExtent l="0" t="0" r="0" b="0"/>
            <wp:docPr id="1" name="图片 1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251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29840" cy="2517140"/>
            <wp:effectExtent l="0" t="0" r="0" b="0"/>
            <wp:docPr id="2" name="图片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2984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BE25A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S2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. A. Boxplots of the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UAR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showing the distribution in the Survivor group and Non-survivor group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during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hospital stay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. B. Boxplots of the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UAR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showing the distribution in the Survivor group and Non-survivor group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during ICU stay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. </w:t>
      </w:r>
      <w:r>
        <w:rPr>
          <w:rFonts w:hint="default" w:ascii="Times New Roman" w:hAnsi="Times New Roman" w:cs="Times New Roman" w:eastAsiaTheme="minorEastAsia"/>
          <w:sz w:val="18"/>
          <w:szCs w:val="18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18"/>
          <w:szCs w:val="18"/>
          <w:lang w:val="en-US" w:eastAsia="zh-CN"/>
        </w:rPr>
        <w:t>UAR, Uric acid to albumin ratio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; ICU, Intensive Care Unit.</w:t>
      </w:r>
    </w:p>
    <w:p w14:paraId="6BF50D4D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288DE333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068C800F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7276E76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90800" cy="2437765"/>
            <wp:effectExtent l="0" t="0" r="0" b="0"/>
            <wp:docPr id="5" name="图片 5" descr="受试者工作特征曲线_ ROC of hosp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受试者工作特征曲线_ ROC of hospital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43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2540635" cy="2392045"/>
            <wp:effectExtent l="0" t="0" r="0" b="0"/>
            <wp:docPr id="6" name="图片 6" descr="受试者工作特征曲线_ ROC of IC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受试者工作特征曲线_ ROC of ICU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0635" cy="239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E9F187A">
      <w:pP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Figure 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S3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>. A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 xml:space="preserve">. 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>ROC curve analysis of the UAR to predict hospital mortality and comparison of the AUC between the UAR, uric acid, and Alb. P value is 0.01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7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(UAR v.s. uric acid)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, and &lt;0.001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(UAR v.s. Alb); B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.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ROC curve analysis of the UAR to predict ICU mortality and comparison of the AUC between the UAR, uric acid, and Alb. P value is 0.024 (UAR v.s. 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u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>ric acid)</w:t>
      </w:r>
      <w:r>
        <w:rPr>
          <w:rFonts w:hint="eastAsia" w:ascii="Times New Roman" w:hAnsi="Times New Roman" w:cs="Times New Roman"/>
          <w:color w:val="auto"/>
          <w:sz w:val="18"/>
          <w:szCs w:val="18"/>
          <w:lang w:val="en-US" w:eastAsia="zh-CN"/>
        </w:rPr>
        <w:t>, and &lt;0.001</w:t>
      </w:r>
      <w:r>
        <w:rPr>
          <w:rFonts w:hint="default" w:ascii="Times New Roman" w:hAnsi="Times New Roman" w:cs="Times New Roman"/>
          <w:color w:val="auto"/>
          <w:sz w:val="18"/>
          <w:szCs w:val="18"/>
          <w:lang w:val="en-US" w:eastAsia="zh-CN"/>
        </w:rPr>
        <w:t xml:space="preserve"> (UAR v.s. Alb). Abbreviations: UAR, Uric acid to albumin ratio; Alb, albumin; ICU, Intensive Care Unit.</w:t>
      </w:r>
    </w:p>
    <w:p w14:paraId="25792C51">
      <w:pP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color w:val="FF0000"/>
          <w:sz w:val="18"/>
          <w:szCs w:val="18"/>
          <w:lang w:val="en-US" w:eastAsia="zh-CN"/>
        </w:rPr>
        <w:t>.</w:t>
      </w:r>
    </w:p>
    <w:p w14:paraId="28D39AD9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</w:p>
    <w:p w14:paraId="477AE0C7">
      <w:pPr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vOT34fe1490 . 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NmYmFiYjMwZjA2NTdhNjAwMTJiMDBmOTNhZWQxZjUifQ=="/>
  </w:docVars>
  <w:rsids>
    <w:rsidRoot w:val="482A3C5F"/>
    <w:rsid w:val="08CD7563"/>
    <w:rsid w:val="18426BA6"/>
    <w:rsid w:val="24973D75"/>
    <w:rsid w:val="25201BAA"/>
    <w:rsid w:val="25AA3850"/>
    <w:rsid w:val="26C37D3C"/>
    <w:rsid w:val="3388452B"/>
    <w:rsid w:val="41313092"/>
    <w:rsid w:val="457C2119"/>
    <w:rsid w:val="482A3C5F"/>
    <w:rsid w:val="4F7A31F5"/>
    <w:rsid w:val="512B10E8"/>
    <w:rsid w:val="66552255"/>
    <w:rsid w:val="666155D3"/>
    <w:rsid w:val="6899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01"/>
    <w:basedOn w:val="4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924</Words>
  <Characters>5161</Characters>
  <Lines>0</Lines>
  <Paragraphs>0</Paragraphs>
  <TotalTime>4</TotalTime>
  <ScaleCrop>false</ScaleCrop>
  <LinksUpToDate>false</LinksUpToDate>
  <CharactersWithSpaces>5768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2024-03-29T06:59:00Z</dcterms:created>
  <dc:creator>章晋辉</dc:creator>
  <cp:lastModifiedBy>章晋辉</cp:lastModifiedBy>
  <dcterms:modified xsi:type="dcterms:W3CDTF">2024-09-28T07:30:10Z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ACABF4CD872C4A85BFFAAF9BAFFC0200_11</vt:lpwstr>
  </property>
</Properties>
</file>