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b/>
          <w:bCs/>
          <w:sz w:val="20"/>
          <w:szCs w:val="20"/>
        </w:rPr>
        <w:t>Supplementary</w:t>
      </w:r>
      <w:r>
        <w:rPr>
          <w:rFonts w:hint="eastAsia" w:eastAsia="宋体" w:cs="Arial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0"/>
          <w:szCs w:val="20"/>
        </w:rPr>
        <w:t>Table S</w:t>
      </w:r>
      <w:r>
        <w:rPr>
          <w:rFonts w:hint="eastAsia" w:eastAsia="宋体" w:cs="Arial"/>
          <w:b/>
          <w:bCs/>
          <w:sz w:val="20"/>
          <w:szCs w:val="20"/>
          <w:lang w:val="en-US" w:eastAsia="zh-CN"/>
        </w:rPr>
        <w:t>1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8"/>
        </w:rPr>
        <w:t xml:space="preserve"> </w:t>
      </w:r>
      <w:r>
        <w:rPr>
          <w:rFonts w:hint="default" w:ascii="Arial" w:hAnsi="Arial" w:cs="Arial"/>
          <w:sz w:val="20"/>
          <w:szCs w:val="20"/>
        </w:rPr>
        <w:t>Hospital activity metrics and specimen culture density</w:t>
      </w:r>
    </w:p>
    <w:tbl>
      <w:tblPr>
        <w:tblStyle w:val="2"/>
        <w:tblW w:w="908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5"/>
        <w:gridCol w:w="1542"/>
        <w:gridCol w:w="1811"/>
        <w:gridCol w:w="1538"/>
        <w:gridCol w:w="1559"/>
        <w:gridCol w:w="16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4" w:hRule="atLeast"/>
          <w:jc w:val="center"/>
        </w:trPr>
        <w:tc>
          <w:tcPr>
            <w:tcW w:w="9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Year</w:t>
            </w:r>
          </w:p>
        </w:tc>
        <w:tc>
          <w:tcPr>
            <w:tcW w:w="154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Annual Hospital Admissions</w:t>
            </w:r>
          </w:p>
        </w:tc>
        <w:tc>
          <w:tcPr>
            <w:tcW w:w="181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Total Inpatient-Days</w:t>
            </w:r>
          </w:p>
        </w:tc>
        <w:tc>
          <w:tcPr>
            <w:tcW w:w="153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Total ICU Bed-Days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Total Specimens Cultured</w:t>
            </w:r>
          </w:p>
        </w:tc>
        <w:tc>
          <w:tcPr>
            <w:tcW w:w="166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-h" w:cs="Arial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Specimen Culture per 1000 Patient-Days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75" w:type="dxa"/>
            <w:tcBorders>
              <w:top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2018</w:t>
            </w:r>
          </w:p>
        </w:tc>
        <w:tc>
          <w:tcPr>
            <w:tcW w:w="1542" w:type="dxa"/>
            <w:tcBorders>
              <w:top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24,518</w:t>
            </w:r>
          </w:p>
        </w:tc>
        <w:tc>
          <w:tcPr>
            <w:tcW w:w="1811" w:type="dxa"/>
            <w:tcBorders>
              <w:top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185,422</w:t>
            </w:r>
          </w:p>
        </w:tc>
        <w:tc>
          <w:tcPr>
            <w:tcW w:w="1538" w:type="dxa"/>
            <w:tcBorders>
              <w:top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28,155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10,451</w:t>
            </w:r>
          </w:p>
        </w:tc>
        <w:tc>
          <w:tcPr>
            <w:tcW w:w="1662" w:type="dxa"/>
            <w:tcBorders>
              <w:top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7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2019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27,341</w:t>
            </w:r>
          </w:p>
        </w:tc>
        <w:tc>
          <w:tcPr>
            <w:tcW w:w="18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212,805</w:t>
            </w:r>
          </w:p>
        </w:tc>
        <w:tc>
          <w:tcPr>
            <w:tcW w:w="153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33,648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14,639</w:t>
            </w:r>
          </w:p>
        </w:tc>
        <w:tc>
          <w:tcPr>
            <w:tcW w:w="166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68.8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7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2020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29,115</w:t>
            </w:r>
          </w:p>
        </w:tc>
        <w:tc>
          <w:tcPr>
            <w:tcW w:w="18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228,991</w:t>
            </w:r>
          </w:p>
        </w:tc>
        <w:tc>
          <w:tcPr>
            <w:tcW w:w="153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38,928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16,030</w:t>
            </w:r>
          </w:p>
        </w:tc>
        <w:tc>
          <w:tcPr>
            <w:tcW w:w="166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70.0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7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2021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30,844</w:t>
            </w:r>
          </w:p>
        </w:tc>
        <w:tc>
          <w:tcPr>
            <w:tcW w:w="18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246,752</w:t>
            </w:r>
          </w:p>
        </w:tc>
        <w:tc>
          <w:tcPr>
            <w:tcW w:w="153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42,116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15,780</w:t>
            </w:r>
          </w:p>
        </w:tc>
        <w:tc>
          <w:tcPr>
            <w:tcW w:w="166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64.0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7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2022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28,997</w:t>
            </w:r>
          </w:p>
        </w:tc>
        <w:tc>
          <w:tcPr>
            <w:tcW w:w="18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231,976</w:t>
            </w:r>
          </w:p>
        </w:tc>
        <w:tc>
          <w:tcPr>
            <w:tcW w:w="153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39,436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14,552</w:t>
            </w:r>
          </w:p>
        </w:tc>
        <w:tc>
          <w:tcPr>
            <w:tcW w:w="166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62.7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7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2023</w:t>
            </w:r>
          </w:p>
        </w:tc>
        <w:tc>
          <w:tcPr>
            <w:tcW w:w="15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35,261</w:t>
            </w:r>
          </w:p>
        </w:tc>
        <w:tc>
          <w:tcPr>
            <w:tcW w:w="18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299,717</w:t>
            </w:r>
          </w:p>
        </w:tc>
        <w:tc>
          <w:tcPr>
            <w:tcW w:w="153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52,951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22,335</w:t>
            </w:r>
          </w:p>
        </w:tc>
        <w:tc>
          <w:tcPr>
            <w:tcW w:w="166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74.5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75" w:type="dxa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2024</w:t>
            </w:r>
          </w:p>
        </w:tc>
        <w:tc>
          <w:tcPr>
            <w:tcW w:w="1542" w:type="dxa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36,588</w:t>
            </w:r>
          </w:p>
        </w:tc>
        <w:tc>
          <w:tcPr>
            <w:tcW w:w="1811" w:type="dxa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310,495</w:t>
            </w:r>
          </w:p>
        </w:tc>
        <w:tc>
          <w:tcPr>
            <w:tcW w:w="1538" w:type="dxa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56,309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21,529</w:t>
            </w:r>
          </w:p>
        </w:tc>
        <w:tc>
          <w:tcPr>
            <w:tcW w:w="1662" w:type="dxa"/>
            <w:tcBorders>
              <w:bottom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ar(--dsw-font-markdown-table)" w:cs="Arial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69.3</w:t>
            </w:r>
          </w:p>
        </w:tc>
      </w:tr>
    </w:tbl>
    <w:p>
      <w:pPr>
        <w:bidi w:val="0"/>
        <w:rPr>
          <w:rFonts w:hint="default" w:ascii="Arial" w:hAnsi="Arial" w:cs="Arial"/>
          <w:b/>
          <w:bCs/>
          <w:sz w:val="20"/>
          <w:szCs w:val="20"/>
        </w:rPr>
      </w:pPr>
      <w:bookmarkStart w:id="0" w:name="_GoBack"/>
      <w:bookmarkEnd w:id="0"/>
    </w:p>
    <w:p>
      <w:pPr>
        <w:bidi w:val="0"/>
        <w:rPr>
          <w:rFonts w:hint="default" w:ascii="Arial" w:hAnsi="Arial" w:cs="Arial"/>
          <w:b w:val="0"/>
          <w:bCs w:val="0"/>
          <w:sz w:val="20"/>
          <w:szCs w:val="20"/>
        </w:rPr>
      </w:pPr>
      <w:r>
        <w:rPr>
          <w:rFonts w:hint="default" w:ascii="Arial" w:hAnsi="Arial" w:cs="Arial"/>
          <w:b/>
          <w:bCs/>
          <w:sz w:val="20"/>
          <w:szCs w:val="20"/>
        </w:rPr>
        <w:t>Supplementary</w:t>
      </w:r>
      <w:r>
        <w:rPr>
          <w:rFonts w:hint="eastAsia" w:eastAsia="宋体" w:cs="Arial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0"/>
          <w:szCs w:val="20"/>
        </w:rPr>
        <w:t>Table S</w:t>
      </w:r>
      <w:r>
        <w:rPr>
          <w:rFonts w:hint="eastAsia" w:eastAsia="宋体" w:cs="Arial"/>
          <w:b/>
          <w:bCs/>
          <w:sz w:val="20"/>
          <w:szCs w:val="20"/>
          <w:lang w:val="en-US" w:eastAsia="zh-CN"/>
        </w:rPr>
        <w:t>2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0"/>
          <w:szCs w:val="20"/>
        </w:rPr>
        <w:t xml:space="preserve"> </w:t>
      </w:r>
      <w:r>
        <w:rPr>
          <w:rFonts w:hint="default" w:ascii="Arial" w:hAnsi="Arial" w:cs="Arial"/>
          <w:b w:val="0"/>
          <w:bCs w:val="0"/>
          <w:sz w:val="20"/>
          <w:szCs w:val="20"/>
        </w:rPr>
        <w:t xml:space="preserve">Unique </w:t>
      </w:r>
      <w:r>
        <w:rPr>
          <w:rFonts w:hint="eastAsia" w:eastAsia="宋体" w:cs="Arial"/>
          <w:b w:val="0"/>
          <w:bCs w:val="0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b w:val="0"/>
          <w:bCs w:val="0"/>
          <w:sz w:val="20"/>
          <w:szCs w:val="20"/>
        </w:rPr>
        <w:t xml:space="preserve">atients and </w:t>
      </w:r>
      <w:r>
        <w:rPr>
          <w:rFonts w:hint="eastAsia" w:eastAsia="宋体" w:cs="Arial"/>
          <w:b w:val="0"/>
          <w:bCs w:val="0"/>
          <w:sz w:val="20"/>
          <w:szCs w:val="20"/>
          <w:lang w:val="en-US" w:eastAsia="zh-CN"/>
        </w:rPr>
        <w:t>i</w:t>
      </w:r>
      <w:r>
        <w:rPr>
          <w:rFonts w:hint="default" w:ascii="Arial" w:hAnsi="Arial" w:cs="Arial"/>
          <w:b w:val="0"/>
          <w:bCs w:val="0"/>
          <w:sz w:val="20"/>
          <w:szCs w:val="20"/>
        </w:rPr>
        <w:t xml:space="preserve">solate </w:t>
      </w:r>
      <w:r>
        <w:rPr>
          <w:rFonts w:hint="eastAsia" w:eastAsia="宋体" w:cs="Arial"/>
          <w:b w:val="0"/>
          <w:bCs w:val="0"/>
          <w:sz w:val="20"/>
          <w:szCs w:val="20"/>
          <w:lang w:val="en-US" w:eastAsia="zh-CN"/>
        </w:rPr>
        <w:t>d</w:t>
      </w:r>
      <w:r>
        <w:rPr>
          <w:rFonts w:hint="default" w:ascii="Arial" w:hAnsi="Arial" w:cs="Arial"/>
          <w:b w:val="0"/>
          <w:bCs w:val="0"/>
          <w:sz w:val="20"/>
          <w:szCs w:val="20"/>
        </w:rPr>
        <w:t>istribution</w:t>
      </w:r>
    </w:p>
    <w:tbl>
      <w:tblPr>
        <w:tblStyle w:val="2"/>
        <w:tblW w:w="0" w:type="auto"/>
        <w:jc w:val="center"/>
        <w:tblBorders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3"/>
        <w:gridCol w:w="2230"/>
      </w:tblGrid>
      <w:tr>
        <w:tblPrEx>
          <w:tblBorders>
            <w:top w:val="single" w:color="auto" w:sz="6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Number of isolates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Number of patients</w:t>
            </w:r>
          </w:p>
        </w:tc>
      </w:tr>
      <w:tr>
        <w:tblPrEx>
          <w:tblBorders>
            <w:top w:val="single" w:color="auto" w:sz="6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1 isolate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6355</w:t>
            </w:r>
          </w:p>
        </w:tc>
      </w:tr>
      <w:tr>
        <w:tblPrEx>
          <w:tblBorders>
            <w:top w:val="single" w:color="auto" w:sz="6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2 isolates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1125</w:t>
            </w:r>
          </w:p>
        </w:tc>
      </w:tr>
      <w:tr>
        <w:tblPrEx>
          <w:tblBorders>
            <w:top w:val="single" w:color="auto" w:sz="6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3 isolates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105</w:t>
            </w:r>
          </w:p>
        </w:tc>
      </w:tr>
      <w:tr>
        <w:tblPrEx>
          <w:tblBorders>
            <w:top w:val="single" w:color="auto" w:sz="6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 xml:space="preserve"> isolates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32</w:t>
            </w:r>
          </w:p>
        </w:tc>
      </w:tr>
      <w:tr>
        <w:tblPrEx>
          <w:tblBorders>
            <w:top w:val="single" w:color="auto" w:sz="6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5 isolates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6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 xml:space="preserve"> isolates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6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7</w:t>
            </w: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 xml:space="preserve"> isolates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6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Total number of unique patients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hint="default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宋体"/>
                <w:color w:val="auto"/>
                <w:kern w:val="0"/>
                <w:szCs w:val="21"/>
                <w:lang w:val="en-US" w:eastAsia="zh-CN" w:bidi="ar"/>
              </w:rPr>
              <w:t>7640</w:t>
            </w:r>
          </w:p>
        </w:tc>
      </w:tr>
    </w:tbl>
    <w:p>
      <w:pPr>
        <w:rPr>
          <w:rFonts w:hint="eastAsia" w:eastAsia="宋体"/>
          <w:color w:val="auto"/>
          <w:lang w:val="en-US" w:eastAsia="zh-CN"/>
        </w:rPr>
      </w:pPr>
    </w:p>
    <w:p>
      <w:pPr>
        <w:rPr>
          <w:rFonts w:hint="eastAsia" w:eastAsia="宋体"/>
          <w:color w:val="auto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</w:rPr>
        <w:t>Supplementary</w:t>
      </w:r>
      <w:r>
        <w:rPr>
          <w:rFonts w:hint="eastAsia" w:eastAsia="宋体" w:cs="Arial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0"/>
          <w:szCs w:val="20"/>
        </w:rPr>
        <w:t>Table S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>3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20"/>
          <w:szCs w:val="20"/>
        </w:rPr>
        <w:t xml:space="preserve"> Resistance rates by specimen source and patient location</w:t>
      </w:r>
    </w:p>
    <w:tbl>
      <w:tblPr>
        <w:tblStyle w:val="2"/>
        <w:tblW w:w="110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940"/>
        <w:gridCol w:w="1215"/>
        <w:gridCol w:w="1170"/>
        <w:gridCol w:w="1080"/>
        <w:gridCol w:w="1185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2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Pathogen</w:t>
            </w:r>
          </w:p>
        </w:tc>
        <w:tc>
          <w:tcPr>
            <w:tcW w:w="29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Antimicrobial Agent</w:t>
            </w: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Blood (n=1,055)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Sputum (n=4,615)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Urine (n=915)</w:t>
            </w:r>
          </w:p>
        </w:tc>
        <w:tc>
          <w:tcPr>
            <w:tcW w:w="11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ICU (n=6,004)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Non-ICU (n=3,176)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K. pneumoniae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Meropenem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Ceftazidime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Piperacillin-tazobactam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Amikacin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A. baumannii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Meropenem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Ampicillin-sulbactam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Amikacin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Ciprofloxacin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P. aeruginosa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Meropenem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Ceftazidime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Piperacillin-tazobactam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Amikacin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E. coli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Ceftazidime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Ciprofloxacin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Piperacillin-tazobactam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Meropenem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S. aureus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Oxacillin (MRSA)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Clindamycin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Levofloxacin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Vancomycin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</w:p>
        </w:tc>
      </w:tr>
    </w:tbl>
    <w:p>
      <w:pPr>
        <w:rPr>
          <w:rFonts w:hint="eastAsia" w:eastAsia="宋体"/>
          <w:color w:val="auto"/>
          <w:lang w:val="en-US" w:eastAsia="zh-CN"/>
        </w:rPr>
      </w:pPr>
    </w:p>
    <w:p>
      <w:pPr>
        <w:rPr>
          <w:rFonts w:hint="default" w:ascii="Arial" w:hAnsi="Arial" w:cs="Arial"/>
          <w:b w:val="0"/>
          <w:bCs w:val="0"/>
          <w:sz w:val="20"/>
          <w:szCs w:val="20"/>
        </w:rPr>
      </w:pPr>
      <w:r>
        <w:rPr>
          <w:rFonts w:hint="default" w:ascii="Arial" w:hAnsi="Arial" w:cs="Arial"/>
          <w:b/>
          <w:bCs/>
          <w:sz w:val="20"/>
          <w:szCs w:val="20"/>
        </w:rPr>
        <w:t>Supplementary</w:t>
      </w:r>
      <w:r>
        <w:rPr>
          <w:rFonts w:hint="eastAsia" w:eastAsia="宋体" w:cs="Arial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0"/>
          <w:szCs w:val="20"/>
        </w:rPr>
        <w:t>Table S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>4</w:t>
      </w:r>
      <w:r>
        <w:rPr>
          <w:rFonts w:hint="default" w:ascii="Arial" w:hAnsi="Arial" w:cs="Arial"/>
          <w:b w:val="0"/>
          <w:bCs w:val="0"/>
          <w:sz w:val="20"/>
          <w:szCs w:val="20"/>
        </w:rPr>
        <w:t xml:space="preserve"> 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20"/>
          <w:szCs w:val="20"/>
        </w:rPr>
        <w:t xml:space="preserve">Patient </w:t>
      </w:r>
      <w:r>
        <w:rPr>
          <w:rFonts w:hint="eastAsia" w:eastAsia="宋体" w:cs="Arial"/>
          <w:b w:val="0"/>
          <w:bCs w:val="0"/>
          <w:sz w:val="20"/>
          <w:szCs w:val="20"/>
          <w:lang w:val="en-US" w:eastAsia="zh-CN"/>
        </w:rPr>
        <w:t>o</w:t>
      </w:r>
      <w:r>
        <w:rPr>
          <w:rFonts w:hint="default" w:ascii="Arial" w:hAnsi="Arial" w:cs="Arial"/>
          <w:b w:val="0"/>
          <w:bCs w:val="0"/>
          <w:sz w:val="20"/>
          <w:szCs w:val="20"/>
        </w:rPr>
        <w:t xml:space="preserve">utcomes </w:t>
      </w:r>
      <w:r>
        <w:rPr>
          <w:rFonts w:hint="eastAsia" w:eastAsia="宋体" w:cs="Arial"/>
          <w:b w:val="0"/>
          <w:bCs w:val="0"/>
          <w:sz w:val="20"/>
          <w:szCs w:val="20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20"/>
          <w:szCs w:val="20"/>
        </w:rPr>
        <w:t xml:space="preserve">tratified by </w:t>
      </w:r>
      <w:r>
        <w:rPr>
          <w:rFonts w:hint="eastAsia" w:eastAsia="宋体" w:cs="Arial"/>
          <w:b w:val="0"/>
          <w:bCs w:val="0"/>
          <w:sz w:val="20"/>
          <w:szCs w:val="20"/>
          <w:lang w:val="en-US" w:eastAsia="zh-CN"/>
        </w:rPr>
        <w:t>r</w:t>
      </w:r>
      <w:r>
        <w:rPr>
          <w:rFonts w:hint="default" w:ascii="Arial" w:hAnsi="Arial" w:cs="Arial"/>
          <w:b w:val="0"/>
          <w:bCs w:val="0"/>
          <w:sz w:val="20"/>
          <w:szCs w:val="20"/>
        </w:rPr>
        <w:t xml:space="preserve">esistance </w:t>
      </w:r>
      <w:r>
        <w:rPr>
          <w:rFonts w:hint="eastAsia" w:eastAsia="宋体" w:cs="Arial"/>
          <w:b w:val="0"/>
          <w:bCs w:val="0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b w:val="0"/>
          <w:bCs w:val="0"/>
          <w:sz w:val="20"/>
          <w:szCs w:val="20"/>
        </w:rPr>
        <w:t>henotype</w:t>
      </w:r>
    </w:p>
    <w:p>
      <w:pP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</w:pPr>
    </w:p>
    <w:tbl>
      <w:tblPr>
        <w:tblStyle w:val="2"/>
        <w:tblpPr w:leftFromText="180" w:rightFromText="180" w:vertAnchor="text" w:horzAnchor="page" w:tblpX="100" w:tblpY="-378"/>
        <w:tblOverlap w:val="never"/>
        <w:tblW w:w="122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086"/>
        <w:gridCol w:w="1539"/>
        <w:gridCol w:w="1620"/>
        <w:gridCol w:w="1812"/>
        <w:gridCol w:w="2208"/>
        <w:gridCol w:w="20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9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Resistance Phenotype</w:t>
            </w:r>
          </w:p>
        </w:tc>
        <w:tc>
          <w:tcPr>
            <w:tcW w:w="108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No. of Patients</w:t>
            </w:r>
          </w:p>
        </w:tc>
        <w:tc>
          <w:tcPr>
            <w:tcW w:w="153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30-Day All-Cause Mortality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In-Hospital Mortality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Adjusted HR for Mortality (95% CI)</w:t>
            </w:r>
          </w:p>
        </w:tc>
        <w:tc>
          <w:tcPr>
            <w:tcW w:w="220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Total Hospital LOS (days)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ICU LOS (days)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CRAB</w:t>
            </w:r>
            <w:r>
              <w:rPr>
                <w:rFonts w:hint="eastAsia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98 (40.0%)*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111 (45.3%)*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2.51 (1.89-3.33)*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38.5 [25.0-55.0]*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25.3 [14.0-40.5]*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/>
                <w:iCs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Susceptible</w:t>
            </w:r>
            <w:r>
              <w:rPr>
                <w:rFonts w:hint="default" w:ascii="Arial" w:hAnsi="Arial" w:eastAsia="宋体" w:cs="Arial"/>
                <w:i/>
                <w:iCs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A. baumannii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21 (20.6%)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25 (24.5%)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25.0 [16.0-35.0]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12.1 [6.0-20.0]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CRKP</w:t>
            </w:r>
            <w:r>
              <w:rPr>
                <w:rFonts w:hint="eastAsia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65 (32.8%)*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75 (37.9%)*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1.95 (1.45-2.62)*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35.0 [22.0-49.0]*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20.8 [11.0-32.0]*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/>
                <w:iCs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Susceptible</w:t>
            </w:r>
            <w:r>
              <w:rPr>
                <w:rFonts w:hint="default" w:ascii="Arial" w:hAnsi="Arial" w:eastAsia="宋体" w:cs="Arial"/>
                <w:i/>
                <w:iCs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K. pneumoniae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25 (18.5%)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30 (22.2%)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24.5 [15.0-33.0]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11.5 [5.0-18.0]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MRSA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40 (26.7%)*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48 (32.0%)*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1.72 (1.25-2.36)*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32.0 [20.0-45.0]*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18.5 [9.0-28.0]*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/>
                <w:iCs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MSSA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18 (15.0%)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22 (18.3%)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22.0 [14.0-30.0]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10.0 [4.0-15.0]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MRCNS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35 (19.4%)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42 (23.3%)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1.31 (0.95-1.81)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28.0 [18.0-40.0]*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15.2 [7.0-22.0]*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/>
                <w:iCs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MSCNS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5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12 (12.6%)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15 (15.8%)</w:t>
            </w:r>
          </w:p>
        </w:tc>
        <w:tc>
          <w:tcPr>
            <w:tcW w:w="181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0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21.0 [13.0-29.0]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F1115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F1115"/>
                <w:kern w:val="0"/>
                <w:sz w:val="20"/>
                <w:szCs w:val="20"/>
                <w:u w:val="none"/>
                <w:lang w:val="en-US" w:eastAsia="zh-CN" w:bidi="ar"/>
              </w:rPr>
              <w:t>9.5 [3.0-14.0]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cs="Arial" w:eastAsiaTheme="minorEastAsia"/>
          <w:kern w:val="2"/>
          <w:sz w:val="20"/>
          <w:szCs w:val="22"/>
          <w:lang w:val="en-US" w:eastAsia="zh-CN" w:bidi="ar-SA"/>
        </w:rPr>
      </w:pPr>
      <w:r>
        <w:rPr>
          <w:rFonts w:hint="default" w:ascii="Arial" w:hAnsi="Arial" w:cs="Arial" w:eastAsiaTheme="minorEastAsia"/>
          <w:kern w:val="2"/>
          <w:sz w:val="20"/>
          <w:szCs w:val="22"/>
          <w:lang w:val="en-US" w:eastAsia="zh-CN" w:bidi="ar-SA"/>
        </w:rPr>
        <w:t>Abbreviations:</w:t>
      </w:r>
      <w:r>
        <w:rPr>
          <w:rFonts w:hint="eastAsia" w:cs="Arial" w:eastAsiaTheme="minorEastAsia"/>
          <w:kern w:val="2"/>
          <w:sz w:val="20"/>
          <w:szCs w:val="22"/>
          <w:lang w:val="en-US" w:eastAsia="zh-CN" w:bidi="ar-SA"/>
        </w:rPr>
        <w:t xml:space="preserve"> </w:t>
      </w:r>
      <w:r>
        <w:rPr>
          <w:rFonts w:hint="default" w:ascii="Arial" w:hAnsi="Arial" w:cs="Arial" w:eastAsiaTheme="minorEastAsia"/>
          <w:kern w:val="2"/>
          <w:sz w:val="20"/>
          <w:szCs w:val="22"/>
          <w:lang w:val="en-US" w:eastAsia="zh-CN" w:bidi="ar-SA"/>
        </w:rPr>
        <w:t>HR, Hazard Ratio; CI, Confidence Interval; LOS, Length of Stay; ICU, Intensive Care Unit.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cs="Arial" w:eastAsiaTheme="minorEastAsia"/>
          <w:kern w:val="2"/>
          <w:sz w:val="20"/>
          <w:szCs w:val="22"/>
          <w:lang w:val="en-US" w:eastAsia="zh-CN" w:bidi="ar-SA"/>
        </w:rPr>
      </w:pPr>
      <w:r>
        <w:rPr>
          <w:rFonts w:hint="default" w:ascii="Arial" w:hAnsi="Arial" w:cs="Arial" w:eastAsiaTheme="minorEastAsia"/>
          <w:kern w:val="2"/>
          <w:sz w:val="20"/>
          <w:szCs w:val="22"/>
          <w:lang w:val="en-US" w:eastAsia="zh-CN" w:bidi="ar-SA"/>
        </w:rPr>
        <w:t>p &lt; 0.05 compared to the susceptible reference group.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 w:ascii="Arial" w:hAnsi="Arial" w:cs="Arial" w:eastAsiaTheme="minorEastAsia"/>
          <w:kern w:val="2"/>
          <w:sz w:val="20"/>
          <w:szCs w:val="22"/>
          <w:lang w:val="en-US" w:eastAsia="zh-CN" w:bidi="ar-SA"/>
        </w:rPr>
        <w:t>Statistical Note: HRs were adjusted for age, gender, ICU admission at culture, and Charlson Comorbidity Index</w:t>
      </w:r>
      <w:r>
        <w:rPr>
          <w:rFonts w:hint="default" w:ascii="Arial" w:hAnsi="Arial" w:cs="Arial"/>
          <w:kern w:val="2"/>
          <w:sz w:val="20"/>
          <w:szCs w:val="22"/>
          <w:lang w:val="en-US" w:eastAsia="zh-CN" w:bidi="ar-SA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1NjBiOGFmY2E4N2IyZDNjYzMyOTQwNmFhMTMwYmIifQ=="/>
  </w:docVars>
  <w:rsids>
    <w:rsidRoot w:val="03AC3CCE"/>
    <w:rsid w:val="03AC3CCE"/>
    <w:rsid w:val="0AE84FF2"/>
    <w:rsid w:val="1768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480" w:lineRule="auto"/>
      <w:pPrChange w:id="0" w:author="Kate O'Leary" w:date="2025-06-11T22:09:00Z">
        <w:pPr>
          <w:spacing w:line="480" w:lineRule="auto"/>
        </w:pPr>
      </w:pPrChange>
    </w:pPr>
    <w:rPr>
      <w:rFonts w:ascii="Arial" w:hAnsi="Arial" w:eastAsia="Times New Roman" w:cs="Times New Roman"/>
      <w:szCs w:val="24"/>
      <w:lang w:val="en-US" w:eastAsia="en-US" w:bidi="ar-SA"/>
      <w:rPrChange w:id="1" w:author="Kate O'Leary" w:date="2025-06-11T22:09:00Z">
        <w:rPr>
          <w:rFonts w:ascii="Arial" w:hAnsi="Arial"/>
          <w:szCs w:val="24"/>
          <w:lang w:val="en-US" w:eastAsia="en-US" w:bidi="ar-SA"/>
        </w:rPr>
      </w:rPrChange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2025-10-27T08:22:00Z</dcterms:created>
  <dc:creator>王倩</dc:creator>
  <cp:lastModifiedBy>王倩</cp:lastModifiedBy>
  <dcterms:modified xsi:type="dcterms:W3CDTF">2025-12-03T03:20:49Z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F59018FB679B4F27A1FD63CA92E89743_11</vt:lpwstr>
  </property>
</Properties>
</file>