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2256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4625" cy="5949950"/>
            <wp:effectExtent l="0" t="0" r="3175" b="3175"/>
            <wp:docPr id="1" name="图片 1" descr="不同血型住院日差异散点箱线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不同血型住院日差异散点箱线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594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7AF6">
      <w:pPr>
        <w:numPr>
          <w:ilvl w:val="0"/>
          <w:numId w:val="0"/>
        </w:numPr>
        <w:suppressLineNumbers/>
        <w:spacing w:line="360" w:lineRule="auto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FingureS1. Length of Hospital Stay by Blood Type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</w:p>
    <w:p w14:paraId="287508A3">
      <w:pPr>
        <w:numPr>
          <w:ilvl w:val="0"/>
          <w:numId w:val="0"/>
        </w:numPr>
        <w:suppressLineNumbers/>
        <w:spacing w:line="360" w:lineRule="auto"/>
        <w:jc w:val="left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Box plots with overlaid scatter points show the distribution of hospitalization days for COVID-19 patients. No statistically significant differences were observed between blood types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p w14:paraId="4171F828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33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2025-10-23T13:48:22Z</dcterms:created>
  <dc:creator>Xu-YJ。</dc:creator>
  <cp:lastModifiedBy>勇</cp:lastModifiedBy>
  <dcterms:modified xsi:type="dcterms:W3CDTF">2025-10-23T13:49:18Z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eyJoZGlkIjoiOGI3NDczZGY2ZDVhM2YzMTZjZDg3MjIxM2U5ODZlODciLCJ1c2VySWQiOiI0NTkyMTY1MjAifQ==</vt:lpwstr>
  </property>
  <property fmtid="{D5CDD505-2E9C-101B-9397-08002B2CF9AE}" pid="4" name="ICV">
    <vt:lpwstr>D7715C4B915243A49A6812691F9ADB1D_12</vt:lpwstr>
  </property>
</Properties>
</file>