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5B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Supplementary Table 1.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Univariable Cox regression analyses of covariates for 28- and 90-day transplant-free mortality in HBV-ACLF.</w:t>
      </w:r>
    </w:p>
    <w:tbl>
      <w:tblPr>
        <w:tblStyle w:val="2"/>
        <w:tblW w:w="7650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622"/>
        <w:gridCol w:w="1386"/>
        <w:gridCol w:w="745"/>
        <w:gridCol w:w="623"/>
        <w:gridCol w:w="1389"/>
        <w:gridCol w:w="748"/>
      </w:tblGrid>
      <w:tr w14:paraId="60CB6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0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61C7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3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5A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28-day</w:t>
            </w:r>
          </w:p>
        </w:tc>
        <w:tc>
          <w:tcPr>
            <w:tcW w:w="2830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4E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90-day</w:t>
            </w:r>
          </w:p>
        </w:tc>
      </w:tr>
      <w:tr w14:paraId="210ED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6F7AF9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54A3B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00AD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6A929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0219E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4768A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65BBD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33AD5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7AE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EA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E4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(1.01 ~ 1.03)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65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59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09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(1.01 ~ 1.03)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4E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48FD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940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30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F5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(0.45 ~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14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36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0D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(0.48 ~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D7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0.047</w:t>
            </w:r>
          </w:p>
        </w:tc>
      </w:tr>
      <w:tr w14:paraId="0224B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719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Liver cirrhosis, n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F6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2C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(0.87 ~ 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0B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1E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12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(0.94 ~ 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79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0.109</w:t>
            </w:r>
          </w:p>
        </w:tc>
      </w:tr>
      <w:tr w14:paraId="242C2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8B4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HBV DNA, (log10 IU/ml)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0D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BE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(0.92 ~ 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21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B7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E7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(0.94 ~ 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54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0.567</w:t>
            </w:r>
          </w:p>
        </w:tc>
      </w:tr>
      <w:tr w14:paraId="6E829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4DA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HBeAg positive,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6D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91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(0.72 ~ 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26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91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CF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(0.81 ~ 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68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0.431</w:t>
            </w:r>
          </w:p>
        </w:tc>
      </w:tr>
      <w:tr w14:paraId="7A51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11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Causes of disease,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6664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45BE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7B87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373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F069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BCC7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A72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B9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HBV with other etiologies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B9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9D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C2F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03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A7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AD0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EC7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C24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HBV infection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21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50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(0.61 ~ 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3B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1D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E6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(0.74 ~ 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B2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0.581</w:t>
            </w:r>
          </w:p>
        </w:tc>
      </w:tr>
      <w:tr w14:paraId="58BE4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A21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Complications,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99C0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483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799A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7E7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612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7E77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8CC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88A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Ascites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87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1D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(0.51 ~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2C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44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37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(0.70 ~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0E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0.778</w:t>
            </w:r>
          </w:p>
        </w:tc>
      </w:tr>
      <w:tr w14:paraId="28233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A72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Gastrointestinal bleeding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C7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27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(1.35 ~ 6.25)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2A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A3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AD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(0.96 ~ 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27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0.065</w:t>
            </w:r>
          </w:p>
        </w:tc>
      </w:tr>
      <w:tr w14:paraId="098A1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48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Bacterial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E2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F6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(1.01 ~ 2.16)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95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A6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9D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(1.10 ~ 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DB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</w:t>
            </w:r>
          </w:p>
        </w:tc>
      </w:tr>
      <w:tr w14:paraId="4FD6C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A6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Hepatic encephalopathy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59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B9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(1.80 ~ 4.20)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DC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CE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05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(1.96 ~ 4.01)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C9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118D7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F9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Hepatorenal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BD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25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(1.03 ~ 3.76)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62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9B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2A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(1.12 ~ 3.35)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14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0.018</w:t>
            </w:r>
          </w:p>
        </w:tc>
      </w:tr>
      <w:tr w14:paraId="3D424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EC1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Common chronic diseases,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DD6C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8EF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480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925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87D4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02F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10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3E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BA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B4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(0.67 ~ 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A4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90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14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(0.70 ~ 2.02)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4A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0.526</w:t>
            </w:r>
          </w:p>
        </w:tc>
      </w:tr>
      <w:tr w14:paraId="7300C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93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78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56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(0.86 ~ 2.48)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AB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B6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56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(0.98 ~ 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54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0.061</w:t>
            </w:r>
          </w:p>
        </w:tc>
      </w:tr>
      <w:tr w14:paraId="64029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E0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Coronary 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16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4F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(0.37 ~ 2.69)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7E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82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42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(0.67 ~ 2.77)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5F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0.393</w:t>
            </w:r>
          </w:p>
        </w:tc>
      </w:tr>
      <w:tr w14:paraId="02AA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311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ALSS therapy,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D9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76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(1.24 ~ 3.94)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2E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82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C6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(1.29 ~ 3.23)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21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 w14:paraId="1BF66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5C2FF3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MELD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C8C3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6CF93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(1.10 ~ 1.15)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8C2A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5BBF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5611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(1.10 ~ 1.14)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1D894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</w:tbl>
    <w:p w14:paraId="785DCB75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6B474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Supplementary Table 2.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Results of the Variance Inflation Factor.</w:t>
      </w:r>
    </w:p>
    <w:tbl>
      <w:tblPr>
        <w:tblStyle w:val="2"/>
        <w:tblW w:w="438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6"/>
        <w:gridCol w:w="1179"/>
      </w:tblGrid>
      <w:tr w14:paraId="6B6E1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0A609A0F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17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28EA4ECC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VIF</w:t>
            </w:r>
          </w:p>
        </w:tc>
      </w:tr>
      <w:tr w14:paraId="41AEB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EA3DE3C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NHHR</w:t>
            </w:r>
          </w:p>
        </w:tc>
        <w:tc>
          <w:tcPr>
            <w:tcW w:w="117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C2C1B40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144</w:t>
            </w:r>
          </w:p>
        </w:tc>
      </w:tr>
      <w:tr w14:paraId="46A90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7BBF5B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5984C5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341</w:t>
            </w:r>
          </w:p>
        </w:tc>
      </w:tr>
      <w:tr w14:paraId="3886F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1B02BF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Gender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181113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158</w:t>
            </w:r>
          </w:p>
        </w:tc>
      </w:tr>
      <w:tr w14:paraId="0D3B4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7443B1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6CB78DE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1.251</w:t>
            </w:r>
          </w:p>
        </w:tc>
      </w:tr>
      <w:tr w14:paraId="36E1C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DFD772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HBV DNA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F29A92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1.291</w:t>
            </w:r>
          </w:p>
        </w:tc>
      </w:tr>
      <w:tr w14:paraId="74A27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5D9648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HBeAg positive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8E3B76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1.291</w:t>
            </w:r>
          </w:p>
        </w:tc>
      </w:tr>
      <w:tr w14:paraId="7D3C7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C97530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Causes of disease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A860B71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1.019</w:t>
            </w:r>
          </w:p>
        </w:tc>
      </w:tr>
      <w:tr w14:paraId="06FA0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6901E17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Ascites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BAABF21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1.047</w:t>
            </w:r>
          </w:p>
        </w:tc>
      </w:tr>
      <w:tr w14:paraId="1A771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95694F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Gastrointestinal bleeding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527D5B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1.092</w:t>
            </w:r>
          </w:p>
        </w:tc>
      </w:tr>
      <w:tr w14:paraId="147D4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F3DF4B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Bacterial infection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09FA1B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1.064</w:t>
            </w:r>
          </w:p>
        </w:tc>
      </w:tr>
      <w:tr w14:paraId="1B9C0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7F6318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Hepatic encephalopathy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FA0547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1.076</w:t>
            </w:r>
          </w:p>
        </w:tc>
      </w:tr>
      <w:tr w14:paraId="277D9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0B2CBF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Hepatorenal syndrome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FA81261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1.125</w:t>
            </w:r>
          </w:p>
        </w:tc>
      </w:tr>
      <w:tr w14:paraId="51772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F74722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0FFA68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46</w:t>
            </w:r>
          </w:p>
        </w:tc>
      </w:tr>
      <w:tr w14:paraId="4BD4E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BFDEBA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Diabetes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8E2809A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</w:tr>
      <w:tr w14:paraId="06337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B0B4D1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Coronary heart disease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4E98EF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73</w:t>
            </w:r>
          </w:p>
        </w:tc>
      </w:tr>
      <w:tr w14:paraId="59054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A547C2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ALSS therapy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E150B4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126</w:t>
            </w:r>
          </w:p>
        </w:tc>
      </w:tr>
      <w:tr w14:paraId="49FDF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noWrap w:val="0"/>
            <w:vAlign w:val="center"/>
          </w:tcPr>
          <w:p w14:paraId="7FDBD638">
            <w:pPr>
              <w:widowControl/>
              <w:jc w:val="center"/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</w:rPr>
              <w:t>MELD score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noWrap w:val="0"/>
            <w:vAlign w:val="center"/>
          </w:tcPr>
          <w:p w14:paraId="2D33861F">
            <w:pPr>
              <w:widowControl/>
              <w:jc w:val="center"/>
              <w:rPr>
                <w:rFonts w:hint="default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微软雅黑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</w:tr>
    </w:tbl>
    <w:p w14:paraId="0FAB4553"/>
    <w:p w14:paraId="493D6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Supplementary Table 3.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Proportional hazards (PH) assumption test for NHHR and 28- and 90-day transplant-free mortality in HBV-ACLF.</w:t>
      </w:r>
    </w:p>
    <w:tbl>
      <w:tblPr>
        <w:tblStyle w:val="2"/>
        <w:tblW w:w="8363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6"/>
        <w:gridCol w:w="1036"/>
        <w:gridCol w:w="556"/>
        <w:gridCol w:w="1144"/>
        <w:gridCol w:w="1036"/>
        <w:gridCol w:w="556"/>
        <w:gridCol w:w="1144"/>
      </w:tblGrid>
      <w:tr w14:paraId="02B3D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DE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FC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28-day</w:t>
            </w:r>
          </w:p>
        </w:tc>
        <w:tc>
          <w:tcPr>
            <w:tcW w:w="2736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4D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90-day</w:t>
            </w:r>
          </w:p>
        </w:tc>
      </w:tr>
      <w:tr w14:paraId="2981D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D077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9881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χ²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54DC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7347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0373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χ²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CF0D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0AB3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3FF2A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99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NHHR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C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1.353 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1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0.245 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E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2.346 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1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A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0.126 </w:t>
            </w:r>
          </w:p>
        </w:tc>
      </w:tr>
      <w:tr w14:paraId="41E08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C5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B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F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B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1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0.983 </w:t>
            </w:r>
          </w:p>
        </w:tc>
      </w:tr>
      <w:tr w14:paraId="0318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AE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E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A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B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E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0.141 </w:t>
            </w:r>
          </w:p>
        </w:tc>
      </w:tr>
      <w:tr w14:paraId="31545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44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Causes of liver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2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C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7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D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7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2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0.249 </w:t>
            </w:r>
          </w:p>
        </w:tc>
      </w:tr>
      <w:tr w14:paraId="25E80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58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Liver cirrhosis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B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E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C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C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B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0.666 </w:t>
            </w:r>
          </w:p>
        </w:tc>
      </w:tr>
      <w:tr w14:paraId="4CD2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96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HBV DNA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2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B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F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B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D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0.282 </w:t>
            </w:r>
          </w:p>
        </w:tc>
      </w:tr>
      <w:tr w14:paraId="7F4D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FC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HBeAg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9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5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4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0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5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8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0.916 </w:t>
            </w:r>
          </w:p>
        </w:tc>
      </w:tr>
      <w:tr w14:paraId="752D0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C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Ascites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8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AE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C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3.122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3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C5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0.077 </w:t>
            </w:r>
          </w:p>
        </w:tc>
      </w:tr>
      <w:tr w14:paraId="6785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D8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Gastrointestinal bleeding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9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4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5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2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8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0.397 </w:t>
            </w:r>
          </w:p>
        </w:tc>
      </w:tr>
      <w:tr w14:paraId="6447E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E9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0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B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B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B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7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0.513 </w:t>
            </w:r>
          </w:p>
        </w:tc>
      </w:tr>
      <w:tr w14:paraId="79D9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7F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Hepatic encephalopathy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9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3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6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8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7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0.485 </w:t>
            </w:r>
          </w:p>
        </w:tc>
      </w:tr>
      <w:tr w14:paraId="4A739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1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Hepatorenal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D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C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3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3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6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0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0.610 </w:t>
            </w:r>
          </w:p>
        </w:tc>
      </w:tr>
      <w:tr w14:paraId="20926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36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5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F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5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7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0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0.736 </w:t>
            </w:r>
          </w:p>
        </w:tc>
      </w:tr>
      <w:tr w14:paraId="783DC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0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0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3.290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5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B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1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A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0.333 </w:t>
            </w:r>
          </w:p>
        </w:tc>
      </w:tr>
      <w:tr w14:paraId="18611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64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oronary 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B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A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4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D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58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D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0.624 </w:t>
            </w:r>
          </w:p>
        </w:tc>
      </w:tr>
      <w:tr w14:paraId="47CC0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34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ALSS 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6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B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D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0.825 </w:t>
            </w:r>
          </w:p>
        </w:tc>
      </w:tr>
      <w:tr w14:paraId="56CF1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30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MELD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6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8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7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3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3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5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0.649 </w:t>
            </w:r>
          </w:p>
        </w:tc>
      </w:tr>
      <w:tr w14:paraId="4BEE1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582D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lobal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846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14.837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CDC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D41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70F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14.153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B01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27C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0.656 </w:t>
            </w:r>
          </w:p>
        </w:tc>
      </w:tr>
    </w:tbl>
    <w:p w14:paraId="7D9007FF"/>
    <w:p w14:paraId="0610DB00"/>
    <w:p w14:paraId="44B9E47A">
      <w:pPr>
        <w:rPr>
          <w:rFonts w:hint="eastAsia"/>
        </w:rPr>
      </w:pPr>
      <w:bookmarkStart w:id="0" w:name="_GoBack"/>
      <w:bookmarkEnd w:id="0"/>
    </w:p>
    <w:p w14:paraId="1565990C">
      <w:pPr>
        <w:rPr>
          <w:rFonts w:hint="eastAsia"/>
        </w:rPr>
      </w:pPr>
    </w:p>
    <w:p w14:paraId="011DF6A0">
      <w:pPr>
        <w:rPr>
          <w:rFonts w:hint="eastAsia"/>
        </w:rPr>
      </w:pPr>
    </w:p>
    <w:p w14:paraId="249C6A30">
      <w:pPr>
        <w:rPr>
          <w:rFonts w:hint="eastAsia"/>
        </w:rPr>
      </w:pPr>
    </w:p>
    <w:p w14:paraId="5254F965">
      <w:pPr>
        <w:rPr>
          <w:rFonts w:hint="eastAsia"/>
        </w:rPr>
      </w:pPr>
    </w:p>
    <w:p w14:paraId="6E7E8C45">
      <w:pPr>
        <w:rPr>
          <w:rFonts w:hint="eastAsia"/>
        </w:rPr>
      </w:pPr>
    </w:p>
    <w:p w14:paraId="3820735D">
      <w:pPr>
        <w:rPr>
          <w:rFonts w:hint="eastAsia"/>
        </w:rPr>
      </w:pPr>
    </w:p>
    <w:p w14:paraId="12BA3BF2">
      <w:pPr>
        <w:rPr>
          <w:rFonts w:hint="eastAsia"/>
        </w:rPr>
      </w:pPr>
    </w:p>
    <w:p w14:paraId="7403D401">
      <w:pPr>
        <w:rPr>
          <w:rFonts w:hint="eastAsia"/>
        </w:rPr>
      </w:pPr>
    </w:p>
    <w:p w14:paraId="4353B5BC">
      <w:pPr>
        <w:rPr>
          <w:rFonts w:hint="eastAsia"/>
        </w:rPr>
      </w:pPr>
    </w:p>
    <w:p w14:paraId="5CB74C35">
      <w:pPr>
        <w:rPr>
          <w:rFonts w:hint="eastAsia"/>
        </w:rPr>
      </w:pPr>
    </w:p>
    <w:p w14:paraId="7ED77ADC">
      <w:pPr>
        <w:rPr>
          <w:rFonts w:hint="eastAsia"/>
        </w:rPr>
      </w:pPr>
    </w:p>
    <w:p w14:paraId="31BD8852">
      <w:pPr>
        <w:rPr>
          <w:rFonts w:hint="eastAsia"/>
        </w:rPr>
      </w:pPr>
    </w:p>
    <w:p w14:paraId="203A1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Supplementary Figure 1.</w:t>
      </w:r>
    </w:p>
    <w:p w14:paraId="38DCE0F5">
      <w:r>
        <w:drawing>
          <wp:inline distT="0" distB="0" distL="114300" distR="114300">
            <wp:extent cx="4674235" cy="61144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4235" cy="611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C1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Schoenfeld residual plots for assessing the proportional hazards (PH) assumption of NHHR (A: 28-day; B: 90-day).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814B1"/>
    <w:rsid w:val="08E80AA9"/>
    <w:rsid w:val="17A95695"/>
    <w:rsid w:val="1E472722"/>
    <w:rsid w:val="272A498F"/>
    <w:rsid w:val="32471EB4"/>
    <w:rsid w:val="412F10C8"/>
    <w:rsid w:val="430E3083"/>
    <w:rsid w:val="43374264"/>
    <w:rsid w:val="44C22253"/>
    <w:rsid w:val="4513485D"/>
    <w:rsid w:val="4D457A48"/>
    <w:rsid w:val="58490869"/>
    <w:rsid w:val="5C5978E2"/>
    <w:rsid w:val="650B6ABF"/>
    <w:rsid w:val="663F32AC"/>
    <w:rsid w:val="6951198E"/>
    <w:rsid w:val="69C75A92"/>
    <w:rsid w:val="6F1928EC"/>
    <w:rsid w:val="70E17439"/>
    <w:rsid w:val="755A5A0C"/>
    <w:rsid w:val="75705230"/>
    <w:rsid w:val="76E23F0B"/>
    <w:rsid w:val="7AE2097E"/>
    <w:rsid w:val="7BA55A48"/>
    <w:rsid w:val="7E4B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493</Words>
  <Characters>2409</Characters>
  <Lines>0</Lines>
  <Paragraphs>0</Paragraphs>
  <TotalTime>21</TotalTime>
  <ScaleCrop>false</ScaleCrop>
  <LinksUpToDate>false</LinksUpToDate>
  <CharactersWithSpaces>2689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2025-12-17T07:18:00Z</dcterms:created>
  <dc:creator>17398</dc:creator>
  <cp:lastModifiedBy>@对酒✔当歌</cp:lastModifiedBy>
  <dcterms:modified xsi:type="dcterms:W3CDTF">2025-12-27T07:33:59Z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eyJoZGlkIjoiOTc3M2Y5NzIzMDFlZjAyY2Q4Njk5ODkyYjFjNzBiNTQiLCJ1c2VySWQiOiIyNTE1Nzc1MzQifQ==</vt:lpwstr>
  </property>
  <property fmtid="{D5CDD505-2E9C-101B-9397-08002B2CF9AE}" pid="4" name="ICV">
    <vt:lpwstr>02AEC0DC21524853AFD8934F5356882F_12</vt:lpwstr>
  </property>
</Properties>
</file>