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EE32F">
      <w:pPr>
        <w:kinsoku w:val="0"/>
        <w:overflowPunct w:val="0"/>
        <w:autoSpaceDE w:val="0"/>
        <w:autoSpaceDN w:val="0"/>
        <w:spacing w:line="480" w:lineRule="auto"/>
        <w:rPr>
          <w:rFonts w:ascii="Times New Roman" w:hAnsi="Times New Roman" w:eastAsia="宋体" w:cs="Times New Roman"/>
          <w:sz w:val="20"/>
          <w:szCs w:val="20"/>
        </w:rPr>
      </w:pPr>
      <w:r>
        <w:rPr>
          <w:rFonts w:ascii="Times New Roman" w:hAnsi="Times New Roman" w:eastAsia="宋体" w:cs="Times New Roman"/>
          <w:sz w:val="20"/>
          <w:szCs w:val="20"/>
        </w:rPr>
        <w:drawing>
          <wp:inline distT="0" distB="0" distL="0" distR="0">
            <wp:extent cx="5274310" cy="3368040"/>
            <wp:effectExtent l="0" t="0" r="0" b="3810"/>
            <wp:docPr id="11248390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839014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92D97">
      <w:pPr>
        <w:kinsoku w:val="0"/>
        <w:overflowPunct w:val="0"/>
        <w:autoSpaceDE w:val="0"/>
        <w:autoSpaceDN w:val="0"/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Figure S9 Begg’s funnel plot in </w:t>
      </w:r>
      <w:r>
        <w:rPr>
          <w:rFonts w:ascii="Times New Roman" w:hAnsi="Times New Roman" w:cs="Times New Roman"/>
          <w:sz w:val="20"/>
          <w:szCs w:val="20"/>
        </w:rPr>
        <w:t>the incidence of recurrent AOM</w:t>
      </w:r>
    </w:p>
    <w:p w14:paraId="6DF7453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F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2026-03-25T09:08:57Z</dcterms:created>
  <dc:creator>韩丽媛</dc:creator>
  <cp:lastModifiedBy>ABC</cp:lastModifiedBy>
  <dcterms:modified xsi:type="dcterms:W3CDTF">2026-03-25T09:11:48Z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eyJoZGlkIjoiMzEwNTM5NzYwMDRjMzkwZTVkZjY2ODkwMGIxNGU0OTUiLCJ1c2VySWQiOiIyMTc1NzgwOTgifQ==</vt:lpwstr>
  </property>
  <property fmtid="{D5CDD505-2E9C-101B-9397-08002B2CF9AE}" pid="4" name="ICV">
    <vt:lpwstr>FF3B971E5781460290A273BC6E7BCDCA_12</vt:lpwstr>
  </property>
</Properties>
</file>