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D2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Data Extraction Sheet for Systematic Review of PICC-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related bloodstream infection</w:t>
      </w:r>
      <w:r>
        <w:rPr>
          <w:rFonts w:hint="default" w:ascii="Times New Roman" w:hAnsi="Times New Roman" w:cs="Times New Roman"/>
          <w:sz w:val="24"/>
          <w:szCs w:val="24"/>
        </w:rPr>
        <w:t xml:space="preserve"> Risk Prediction Models</w:t>
      </w:r>
    </w:p>
    <w:tbl>
      <w:tblPr>
        <w:tblStyle w:val="4"/>
        <w:tblW w:w="5025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664"/>
        <w:gridCol w:w="708"/>
        <w:gridCol w:w="1071"/>
        <w:gridCol w:w="1554"/>
        <w:gridCol w:w="1703"/>
        <w:gridCol w:w="954"/>
        <w:gridCol w:w="979"/>
        <w:gridCol w:w="2918"/>
        <w:gridCol w:w="911"/>
        <w:gridCol w:w="1371"/>
        <w:gridCol w:w="954"/>
        <w:gridCol w:w="653"/>
        <w:gridCol w:w="1372"/>
        <w:gridCol w:w="685"/>
        <w:gridCol w:w="911"/>
        <w:gridCol w:w="1504"/>
        <w:gridCol w:w="1246"/>
      </w:tblGrid>
      <w:tr w14:paraId="353387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258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insideH w:val="single" w:sz="4" w:space="0"/>
              <w:tl2br w:val="nil"/>
            </w:tcBorders>
            <w:shd w:val="clear" w:color="auto" w:fill="FFFFFF"/>
          </w:tcPr>
          <w:p w14:paraId="4A942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Study</w:t>
            </w:r>
          </w:p>
        </w:tc>
        <w:tc>
          <w:tcPr>
            <w:tcW w:w="15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</w:tcPr>
          <w:p w14:paraId="148E25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Year</w:t>
            </w:r>
          </w:p>
        </w:tc>
        <w:tc>
          <w:tcPr>
            <w:tcW w:w="166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</w:tcPr>
          <w:p w14:paraId="3C18EC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Country</w:t>
            </w:r>
          </w:p>
        </w:tc>
        <w:tc>
          <w:tcPr>
            <w:tcW w:w="251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</w:tcPr>
          <w:p w14:paraId="74DEA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T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ype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 xml:space="preserve"> of r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esearch</w:t>
            </w:r>
          </w:p>
        </w:tc>
        <w:tc>
          <w:tcPr>
            <w:tcW w:w="365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</w:tcPr>
          <w:p w14:paraId="26C10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Population</w:t>
            </w:r>
          </w:p>
        </w:tc>
        <w:tc>
          <w:tcPr>
            <w:tcW w:w="400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</w:tcPr>
          <w:p w14:paraId="2DBEB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 xml:space="preserve">Purpose of PICC 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i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nsertion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(cases)</w:t>
            </w:r>
          </w:p>
        </w:tc>
        <w:tc>
          <w:tcPr>
            <w:tcW w:w="22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</w:tcPr>
          <w:p w14:paraId="35655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Number of participants/ number of events</w:t>
            </w:r>
          </w:p>
        </w:tc>
        <w:tc>
          <w:tcPr>
            <w:tcW w:w="1453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  <w:vAlign w:val="top"/>
          </w:tcPr>
          <w:p w14:paraId="3F1B3F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Predictors</w:t>
            </w:r>
          </w:p>
        </w:tc>
        <w:tc>
          <w:tcPr>
            <w:tcW w:w="224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  <w:vAlign w:val="top"/>
          </w:tcPr>
          <w:p w14:paraId="6A1945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</w:p>
          <w:p w14:paraId="204D42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Missing value handling methods</w:t>
            </w:r>
          </w:p>
        </w:tc>
        <w:tc>
          <w:tcPr>
            <w:tcW w:w="15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  <w:vAlign w:val="top"/>
          </w:tcPr>
          <w:p w14:paraId="291D85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</w:p>
          <w:p w14:paraId="00AC8B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</w:p>
          <w:p w14:paraId="3B97A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</w:p>
          <w:p w14:paraId="7CF5A6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Build</w:t>
            </w:r>
          </w:p>
          <w:p w14:paraId="19D6E3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</w:p>
          <w:p w14:paraId="7F16FC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32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  <w:vAlign w:val="top"/>
          </w:tcPr>
          <w:p w14:paraId="68700C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</w:p>
          <w:p w14:paraId="4F4778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</w:p>
          <w:p w14:paraId="16B521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</w:p>
          <w:p w14:paraId="470892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Validation</w:t>
            </w:r>
          </w:p>
          <w:p w14:paraId="461AF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72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  <w:vAlign w:val="top"/>
          </w:tcPr>
          <w:p w14:paraId="59909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15"/>
                <w:szCs w:val="15"/>
                <w:lang w:val="en-US" w:eastAsia="zh-CN"/>
              </w:rPr>
              <w:t xml:space="preserve">Model 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performance</w:t>
            </w:r>
          </w:p>
        </w:tc>
        <w:tc>
          <w:tcPr>
            <w:tcW w:w="293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  <w:vAlign w:val="top"/>
          </w:tcPr>
          <w:p w14:paraId="3B8FE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15"/>
                <w:szCs w:val="15"/>
                <w:lang w:val="en-US" w:eastAsia="zh-CN"/>
              </w:rPr>
              <w:t>Model Presentation</w:t>
            </w:r>
          </w:p>
        </w:tc>
      </w:tr>
      <w:tr w14:paraId="5B56A8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</w:trPr>
        <w:tc>
          <w:tcPr>
            <w:tcW w:w="258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  <w:tl2br w:val="nil"/>
            </w:tcBorders>
            <w:shd w:val="clear" w:color="auto" w:fill="FFFFFF"/>
          </w:tcPr>
          <w:p w14:paraId="55D3C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</w:p>
        </w:tc>
        <w:tc>
          <w:tcPr>
            <w:tcW w:w="15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</w:tcPr>
          <w:p w14:paraId="30A41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</w:p>
        </w:tc>
        <w:tc>
          <w:tcPr>
            <w:tcW w:w="166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</w:tcPr>
          <w:p w14:paraId="4107E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</w:p>
        </w:tc>
        <w:tc>
          <w:tcPr>
            <w:tcW w:w="251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</w:tcPr>
          <w:p w14:paraId="38B7E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365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</w:tcPr>
          <w:p w14:paraId="4EE87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400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</w:tcPr>
          <w:p w14:paraId="09FCC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224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</w:tcPr>
          <w:p w14:paraId="0E727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  <w:vAlign w:val="top"/>
          </w:tcPr>
          <w:p w14:paraId="6A2815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Collection method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  <w:vAlign w:val="top"/>
          </w:tcPr>
          <w:p w14:paraId="674785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 xml:space="preserve">Predictor 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  <w:vAlign w:val="top"/>
          </w:tcPr>
          <w:p w14:paraId="6235C2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 xml:space="preserve">Predictor </w:t>
            </w:r>
          </w:p>
          <w:p w14:paraId="155AA1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selection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  <w:vAlign w:val="top"/>
          </w:tcPr>
          <w:p w14:paraId="1014E2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Continuous variable handling methods</w:t>
            </w:r>
          </w:p>
        </w:tc>
        <w:tc>
          <w:tcPr>
            <w:tcW w:w="224" w:type="pct"/>
            <w:vMerge w:val="continue"/>
            <w:tcBorders>
              <w:left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  <w:vAlign w:val="top"/>
          </w:tcPr>
          <w:p w14:paraId="4881BC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53" w:type="pct"/>
            <w:vMerge w:val="continue"/>
            <w:tcBorders>
              <w:left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  <w:vAlign w:val="top"/>
          </w:tcPr>
          <w:p w14:paraId="2B1263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32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  <w:vAlign w:val="top"/>
          </w:tcPr>
          <w:p w14:paraId="2A8AE1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  <w:vAlign w:val="top"/>
          </w:tcPr>
          <w:p w14:paraId="4581A7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</w:pPr>
          </w:p>
          <w:p w14:paraId="191230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AUC</w:t>
            </w:r>
          </w:p>
          <w:p w14:paraId="24DC9C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  <w:vAlign w:val="top"/>
          </w:tcPr>
          <w:p w14:paraId="6F7082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</w:p>
          <w:p w14:paraId="41E9A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alibration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  <w:vAlign w:val="top"/>
          </w:tcPr>
          <w:p w14:paraId="44C7F5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</w:p>
          <w:p w14:paraId="688FE4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Other indicators</w:t>
            </w:r>
          </w:p>
        </w:tc>
        <w:tc>
          <w:tcPr>
            <w:tcW w:w="293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  <w:insideH w:val="single" w:sz="4" w:space="0"/>
            </w:tcBorders>
            <w:shd w:val="clear" w:color="auto" w:fill="FFFFFF"/>
            <w:vAlign w:val="top"/>
          </w:tcPr>
          <w:p w14:paraId="1D784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</w:p>
        </w:tc>
      </w:tr>
      <w:tr w14:paraId="7B5B15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400D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Jiang et al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instrText xml:space="preserve"> ADDIN NE.Ref.{7DC536AD-74F7-43DC-B4DD-050068A7EC52}</w:instrTex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</w:rPr>
              <w:t>[1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</w:rPr>
              <w:t>]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end"/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52AE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2022</w:t>
            </w:r>
          </w:p>
        </w:tc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198E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China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F298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etrospective cohort study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E6D7B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aediatric patients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1E62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>intravenous infusion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9946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300/54</w:t>
            </w: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470C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e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lectronic medical record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08311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catheter movement、number of punctures ≥3 times、glucocorticoid、malnutrition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28246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15"/>
                <w:szCs w:val="15"/>
                <w:lang w:val="en-US" w:eastAsia="zh-CN"/>
              </w:rPr>
              <w:t>u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nivariate analysis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F184B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t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ransformation into categorical variables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B1ED4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-</w:t>
            </w:r>
          </w:p>
        </w:tc>
        <w:tc>
          <w:tcPr>
            <w:tcW w:w="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06237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LR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9923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external</w:t>
            </w: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B1BD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0.731/-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4B5FF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-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E8A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ensitivity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=0.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875</w:t>
            </w:r>
          </w:p>
          <w:p w14:paraId="197235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pecificity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=0.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96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1</w:t>
            </w:r>
          </w:p>
          <w:p w14:paraId="3A15CC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Accuracy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=0.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 xml:space="preserve"> 940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1A556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equation</w:t>
            </w:r>
          </w:p>
        </w:tc>
      </w:tr>
      <w:tr w14:paraId="74D2F50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9E85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Tang et al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instrText xml:space="preserve"> ADDIN NE.Ref.{24BF0996-63D8-44E4-9F40-1D5BB6A72832}</w:instrTex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</w:rPr>
              <w:t>[1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</w:rPr>
              <w:t>]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end"/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5EA5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2020</w:t>
            </w:r>
          </w:p>
        </w:tc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9F134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China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993C5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Retrospective cohort study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3C83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atients with PICCs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D743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>intravenous infusion</w:t>
            </w:r>
            <w:r>
              <w:rPr>
                <w:rFonts w:hint="eastAsia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 xml:space="preserve"> /</w:t>
            </w: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>parenteral nutrition</w:t>
            </w:r>
            <w:r>
              <w:rPr>
                <w:rFonts w:hint="eastAsia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 xml:space="preserve"> /</w:t>
            </w: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>chemotherapy</w:t>
            </w:r>
          </w:p>
          <w:p w14:paraId="04CEB1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(557/151/223)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189D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931/63</w:t>
            </w: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082D5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e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lectronic medical record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F580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</w:p>
          <w:p w14:paraId="6B8A8074"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lang w:val="en-US" w:eastAsia="zh-CN" w:bidi="ar-SA"/>
              </w:rPr>
              <w:t>d</w:t>
            </w:r>
            <w:r>
              <w:rPr>
                <w:rFonts w:hint="default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  <w:t>iabetes</w:t>
            </w:r>
            <w:r>
              <w:rPr>
                <w:rFonts w:hint="default" w:ascii="Times New Roman" w:hAnsi="Times New Roman" w:cs="Times New Roman"/>
                <w:kern w:val="2"/>
                <w:sz w:val="15"/>
                <w:szCs w:val="15"/>
                <w:lang w:val="en-US" w:eastAsia="zh-CN" w:bidi="ar-SA"/>
              </w:rPr>
              <w:t>、malignant tumor</w:t>
            </w: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lang w:val="en-US" w:eastAsia="zh-CN" w:bidi="ar-SA"/>
              </w:rPr>
              <w:t>、hematopathy、parenteral nutrition、dual lumen、intensive care、catheter retention time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75981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15"/>
                <w:szCs w:val="15"/>
                <w:lang w:val="en-US" w:eastAsia="zh-CN"/>
              </w:rPr>
              <w:t>u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nivariate analysis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215B1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continuous variable without any transformation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EA7AB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-</w:t>
            </w:r>
          </w:p>
        </w:tc>
        <w:tc>
          <w:tcPr>
            <w:tcW w:w="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50AEE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LR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095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Internal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 xml:space="preserve"> (random splitting method)</w:t>
            </w: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438F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0.929/-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B60AA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alibration curve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C8E5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-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35F3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nomogram</w:t>
            </w:r>
          </w:p>
        </w:tc>
      </w:tr>
      <w:tr w14:paraId="2720FB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3C9B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Liu et al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instrText xml:space="preserve"> ADDIN NE.Ref.{C39D4829-D3E2-4F4E-BE74-EB163E24340D}</w:instrTex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</w:rPr>
              <w:t>[1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  <w:lang w:val="en-US" w:eastAsia="zh-CN"/>
              </w:rPr>
              <w:t>6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</w:rPr>
              <w:t>]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end"/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1C9AB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2023</w:t>
            </w:r>
          </w:p>
        </w:tc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50F8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China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B2B9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Retrospective cohort study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9C9C4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children with acute leukemia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67C4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>chemotherapy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D3EE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450/71</w:t>
            </w: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3F03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e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lectronic medical record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C7E38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</w:p>
          <w:p w14:paraId="6870260F">
            <w:pPr>
              <w:bidi w:val="0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  <w:t>age ≥60 years</w:t>
            </w: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lang w:val="en-US" w:eastAsia="zh-CN" w:bidi="ar-SA"/>
              </w:rPr>
              <w:t>、diabetes、chemotherapy、number of punctures ≥3 times、catheter retention time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A673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15"/>
                <w:szCs w:val="15"/>
                <w:lang w:val="en-US" w:eastAsia="zh-CN"/>
              </w:rPr>
              <w:t>u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nivariate analysis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09B6C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t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ransformation into categorical variables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64B2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-</w:t>
            </w:r>
          </w:p>
        </w:tc>
        <w:tc>
          <w:tcPr>
            <w:tcW w:w="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31288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LR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0166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Internal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 xml:space="preserve">  (random splitting method)</w:t>
            </w: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D35DA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-/0.855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782B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H-L</w:t>
            </w:r>
          </w:p>
          <w:p w14:paraId="2C580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(P=0.280)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0D42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Sensitivity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=0.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831</w:t>
            </w:r>
          </w:p>
          <w:p w14:paraId="65CDE8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pecificity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=0.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 xml:space="preserve"> 821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E275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score-probability comparison table</w:t>
            </w:r>
          </w:p>
        </w:tc>
      </w:tr>
      <w:tr w14:paraId="6ECB3A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D474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 xml:space="preserve">Ji et al 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instrText xml:space="preserve"> ADDIN NE.Ref.{EADBD69F-A886-4791-BBDB-60261FC0A32C}</w:instrTex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</w:rPr>
              <w:t>[1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  <w:lang w:val="en-US" w:eastAsia="zh-CN"/>
              </w:rPr>
              <w:t>7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</w:rPr>
              <w:t>]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end"/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6BFE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2021</w:t>
            </w:r>
          </w:p>
        </w:tc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4859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China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2622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Retrospective cohort study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80C4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breast cancer radical surgery chemotherapy patients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C0093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>chemotherapy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E605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80/19</w:t>
            </w: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79669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e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lectronic medical record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08B1F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lang w:val="en-US" w:eastAsia="zh-CN" w:bidi="ar-SA"/>
              </w:rPr>
              <w:t>catheter retention time、chemotherapy、replacement of accessories、dual lumen、leukocyte count、diabetes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C1FC2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15"/>
                <w:szCs w:val="15"/>
                <w:lang w:val="en-US" w:eastAsia="zh-CN"/>
              </w:rPr>
              <w:t>u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nivariate analysis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EA5FD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t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ransformation into categorical variables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338CA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-</w:t>
            </w:r>
          </w:p>
        </w:tc>
        <w:tc>
          <w:tcPr>
            <w:tcW w:w="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CE3F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Cox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D33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none</w:t>
            </w: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D181E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0.815/-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A780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-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A7A5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-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B357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equation</w:t>
            </w:r>
          </w:p>
        </w:tc>
      </w:tr>
      <w:tr w14:paraId="7486998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0558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 xml:space="preserve">Chen et al 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instrText xml:space="preserve"> ADDIN NE.Ref.{149AD6FB-0F23-4372-A9F8-56DAE8A18C17}</w:instrTex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</w:rPr>
              <w:t>[1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</w:rPr>
              <w:t>]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end"/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D5D0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2023</w:t>
            </w:r>
          </w:p>
        </w:tc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6FA6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China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36FF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Retrospective cohort study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5E6D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patients with gastric cancer chemotherapy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DD0FA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>chemotherapy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DFDE1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401/63</w:t>
            </w: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733C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e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lectronic medical record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990D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  <w:t>age ≥60 years</w:t>
            </w: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lang w:val="en-US" w:eastAsia="zh-CN" w:bidi="ar-SA"/>
              </w:rPr>
              <w:t>、diabetes、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number of punctures ≥3 times、</w:t>
            </w: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lang w:val="en-US" w:eastAsia="zh-CN" w:bidi="ar-SA"/>
              </w:rPr>
              <w:t>catheter retention time、chemotherapy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C5F4C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15"/>
                <w:szCs w:val="15"/>
                <w:lang w:val="en-US" w:eastAsia="zh-CN"/>
              </w:rPr>
              <w:t>u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nivariate analysis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CAE01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t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ransformation into categorical variables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9F3E7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-</w:t>
            </w:r>
          </w:p>
        </w:tc>
        <w:tc>
          <w:tcPr>
            <w:tcW w:w="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97BEA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LR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9CD5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external</w:t>
            </w: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97F5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-/0.824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1CD4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H-L</w:t>
            </w:r>
          </w:p>
          <w:p w14:paraId="589A1F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(P=0.244)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A276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ensitivity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=0.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857</w:t>
            </w:r>
          </w:p>
          <w:p w14:paraId="2F0A976D">
            <w:pPr>
              <w:keepNext w:val="0"/>
              <w:keepLines w:val="0"/>
              <w:pageBreakBefore w:val="0"/>
              <w:widowControl/>
              <w:tabs>
                <w:tab w:val="left" w:pos="735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pecificity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=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0.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79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1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CD637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equation</w:t>
            </w:r>
          </w:p>
        </w:tc>
      </w:tr>
      <w:tr w14:paraId="1883BB2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2F18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 xml:space="preserve">Tao et al 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instrText xml:space="preserve"> ADDIN NE.Ref.{B9628F5C-F2F2-4B62-AE05-BDBA16B6BDC4}</w:instrTex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</w:rPr>
              <w:t>[1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  <w:lang w:val="en-US" w:eastAsia="zh-CN"/>
              </w:rPr>
              <w:t>9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</w:rPr>
              <w:t>]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end"/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EC00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2022</w:t>
            </w:r>
          </w:p>
        </w:tc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434E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China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D52D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Retrospective cohort study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6BC0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oncological patients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71EC2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>chemotherapy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9F87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11901/46</w:t>
            </w: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72F3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e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lectronic medical record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0C4CF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dermatitis、thrombosis、infection、exudate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F25BE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15"/>
                <w:szCs w:val="15"/>
                <w:lang w:val="en-US" w:eastAsia="zh-CN"/>
              </w:rPr>
              <w:t>u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nivariate analysis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9E75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t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ransformation into categorical variables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4EE7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-</w:t>
            </w:r>
          </w:p>
        </w:tc>
        <w:tc>
          <w:tcPr>
            <w:tcW w:w="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5DFD8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LR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2BB0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internal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 xml:space="preserve"> (random splitting method)</w:t>
            </w: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7B7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0.825/</w:t>
            </w:r>
          </w:p>
          <w:p w14:paraId="01866B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0.950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2E73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alibration curve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FC3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-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43B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nomogram</w:t>
            </w:r>
          </w:p>
        </w:tc>
      </w:tr>
      <w:tr w14:paraId="740D68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47F1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 xml:space="preserve">Yu et al 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instrText xml:space="preserve"> ADDIN NE.Ref.{63C7DD3E-B243-40C3-BA79-C2F43604E1DC}</w:instrTex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</w:rPr>
              <w:t>[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</w:rPr>
              <w:t>]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end"/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0939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2023</w:t>
            </w:r>
          </w:p>
        </w:tc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9C3A3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China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C6F48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Retrospective cohort study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E347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elder patients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4C8E8E5">
            <w:pPr>
              <w:rPr>
                <w:rFonts w:hint="eastAsia" w:ascii="Times New Roman" w:hAnsi="Times New Roman" w:eastAsia="黑体" w:cs="Times New Roman"/>
                <w:color w:val="auto"/>
                <w:sz w:val="15"/>
                <w:szCs w:val="15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>Chemotherapy</w:t>
            </w:r>
            <w:r>
              <w:rPr>
                <w:rFonts w:hint="eastAsia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>/</w:t>
            </w: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>others</w:t>
            </w:r>
          </w:p>
          <w:p w14:paraId="5DE43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(226/249)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88AA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475/80</w:t>
            </w: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B03B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e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lectronic medical record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BAED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15"/>
                <w:szCs w:val="15"/>
                <w:lang w:val="en-US" w:eastAsia="zh-CN" w:bidi="ar-SA"/>
              </w:rPr>
              <w:t>age ≥60 years</w:t>
            </w: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lang w:val="en-US" w:eastAsia="zh-CN" w:bidi="ar-SA"/>
              </w:rPr>
              <w:t>、diabetes、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number of punctures ≥3 times、</w:t>
            </w: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lang w:val="en-US" w:eastAsia="zh-CN" w:bidi="ar-SA"/>
              </w:rPr>
              <w:t>catheter retention time、catheter movement、replacement of accessories、leukocyte count、level of creative protein/albumin、AHSMSRS score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FE69B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15"/>
                <w:szCs w:val="15"/>
                <w:lang w:val="en-US" w:eastAsia="zh-CN"/>
              </w:rPr>
              <w:t>u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nivariate analysis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9D93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continuous variable without any transformation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C52AC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-</w:t>
            </w:r>
          </w:p>
        </w:tc>
        <w:tc>
          <w:tcPr>
            <w:tcW w:w="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8D44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L</w:t>
            </w: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R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05AB8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none</w:t>
            </w: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AA0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0.894/-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F2E17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C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alibration curve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29D8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D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ecision curve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29444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nomogram</w:t>
            </w:r>
          </w:p>
        </w:tc>
      </w:tr>
      <w:tr w14:paraId="7DC7FE5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CC5B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 xml:space="preserve">Zhao et al 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instrText xml:space="preserve"> ADDIN NE.Ref.{52F63119-8E62-4D12-9FF8-6C47A20F5523}</w:instrTex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</w:rPr>
              <w:t>[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  <w:lang w:val="en-US" w:eastAsia="zh-CN"/>
              </w:rPr>
              <w:t>21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</w:rPr>
              <w:t>]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end"/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E07B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2023</w:t>
            </w:r>
          </w:p>
        </w:tc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BCD3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China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06DB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Retrospective cohort study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D8C4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preterm infants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AFB6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>parenteral nutrition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24615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217/20</w:t>
            </w: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026A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e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lectronic medical record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1A899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lang w:val="en-US" w:eastAsia="zh-CN" w:bidi="ar-SA"/>
              </w:rPr>
              <w:t>catheter retention time、parenteral nutrition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74822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15"/>
                <w:szCs w:val="15"/>
                <w:lang w:val="en-US" w:eastAsia="zh-CN"/>
              </w:rPr>
              <w:t>u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nivariate analysis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FB47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 xml:space="preserve"> t</w:t>
            </w: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ransformation into categorical variables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34D1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-</w:t>
            </w:r>
          </w:p>
        </w:tc>
        <w:tc>
          <w:tcPr>
            <w:tcW w:w="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EAA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L</w:t>
            </w: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R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37D97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none</w:t>
            </w: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895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0.799/-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FC92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H-L</w:t>
            </w:r>
          </w:p>
          <w:p w14:paraId="0008F1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(P=0.469)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0702E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ensitivity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=0.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826</w:t>
            </w:r>
          </w:p>
          <w:p w14:paraId="1B6EBF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pecificity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=0.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 xml:space="preserve"> 8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10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0E6C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equation</w:t>
            </w:r>
          </w:p>
        </w:tc>
      </w:tr>
      <w:tr w14:paraId="78F2735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63DB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 xml:space="preserve">Herc et al 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instrText xml:space="preserve"> ADDIN NE.Ref.{76EF9B74-7BD6-460F-8D18-9A22CBD729AA}</w:instrTex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</w:rPr>
              <w:t>[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  <w:lang w:val="en-US" w:eastAsia="zh-CN"/>
              </w:rPr>
              <w:t>22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</w:rPr>
              <w:t>]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end"/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FB07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2017</w:t>
            </w:r>
          </w:p>
        </w:tc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1C6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United States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D132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Prospective cohort study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C20F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atients with PICCs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A047793">
            <w:pPr>
              <w:jc w:val="center"/>
              <w:rPr>
                <w:rFonts w:hint="eastAsia" w:ascii="Times New Roman" w:hAnsi="Times New Roman" w:eastAsia="黑体" w:cs="Times New Roman"/>
                <w:color w:val="auto"/>
                <w:sz w:val="15"/>
                <w:szCs w:val="15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>i</w:t>
            </w: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>ntravenous</w:t>
            </w:r>
            <w:r>
              <w:rPr>
                <w:rFonts w:hint="eastAsia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>infusion</w:t>
            </w:r>
            <w:r>
              <w:rPr>
                <w:rFonts w:hint="eastAsia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 xml:space="preserve"> /</w:t>
            </w: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>parenteral nutrition</w:t>
            </w:r>
            <w:r>
              <w:rPr>
                <w:rFonts w:hint="eastAsia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 xml:space="preserve"> /</w:t>
            </w: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>chemotherapy</w:t>
            </w:r>
            <w:r>
              <w:rPr>
                <w:rFonts w:hint="eastAsia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>/</w:t>
            </w: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>others</w:t>
            </w:r>
          </w:p>
          <w:p w14:paraId="1C4A7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(16853/1195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591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4449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)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AAD8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23088/249</w:t>
            </w: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38E7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Michigan Hospital</w:t>
            </w:r>
          </w:p>
          <w:p w14:paraId="62F909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Medicine Safety (HMS) consortium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12A93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Hematopathy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eastAsia="zh-CN"/>
              </w:rPr>
              <w:t>、catheter retention time、dual lumen、</w:t>
            </w: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lang w:val="en-US" w:eastAsia="zh-CN" w:bidi="ar-SA"/>
              </w:rPr>
              <w:t>chemotherapy、number of punctures、parenteral nutrition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A69A4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stepwise selection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6EFA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continuous variable without any transformation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69983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 xml:space="preserve">multiple imputation and 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deletion</w:t>
            </w:r>
          </w:p>
        </w:tc>
        <w:tc>
          <w:tcPr>
            <w:tcW w:w="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7271F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Cox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CFB2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Internal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 xml:space="preserve"> (bootstrap method)</w:t>
            </w: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A753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firstLine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sz w:val="15"/>
                <w:szCs w:val="15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0.670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15"/>
                <w:szCs w:val="15"/>
                <w:lang w:val="en-US" w:eastAsia="zh-CN"/>
              </w:rPr>
              <w:t xml:space="preserve"> ~</w:t>
            </w:r>
          </w:p>
          <w:p w14:paraId="7D23D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0.770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D89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-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E8FB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-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C53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score-probability comparison table</w:t>
            </w:r>
          </w:p>
        </w:tc>
      </w:tr>
      <w:tr w14:paraId="10515FA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9D41E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 xml:space="preserve">Sakai et al 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instrText xml:space="preserve"> ADDIN NE.Ref.{B1C96164-41D5-4D30-8A12-0C326D53F80F}</w:instrTex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</w:rPr>
              <w:t>[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  <w:lang w:val="en-US" w:eastAsia="zh-CN"/>
              </w:rPr>
              <w:t>23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vertAlign w:val="superscript"/>
              </w:rPr>
              <w:t>]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fldChar w:fldCharType="end"/>
            </w:r>
          </w:p>
        </w:tc>
        <w:tc>
          <w:tcPr>
            <w:tcW w:w="1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FDA7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2023</w:t>
            </w:r>
          </w:p>
        </w:tc>
        <w:tc>
          <w:tcPr>
            <w:tcW w:w="1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E055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Japan</w:t>
            </w:r>
          </w:p>
        </w:tc>
        <w:tc>
          <w:tcPr>
            <w:tcW w:w="2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9B21F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Retrospective cohort study</w:t>
            </w:r>
          </w:p>
        </w:tc>
        <w:tc>
          <w:tcPr>
            <w:tcW w:w="36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255E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p</w:t>
            </w: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atients with PICCs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A03B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>intravenous infusion</w:t>
            </w:r>
            <w:r>
              <w:rPr>
                <w:rFonts w:hint="eastAsia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 xml:space="preserve">/ </w:t>
            </w: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>parenteral nutrition</w:t>
            </w:r>
            <w:r>
              <w:rPr>
                <w:rFonts w:hint="eastAsia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 xml:space="preserve">/ </w:t>
            </w:r>
            <w:r>
              <w:rPr>
                <w:rFonts w:hint="default" w:ascii="Times New Roman" w:hAnsi="Times New Roman" w:eastAsia="黑体" w:cs="Times New Roman"/>
                <w:color w:val="auto"/>
                <w:sz w:val="15"/>
                <w:szCs w:val="15"/>
                <w:lang w:val="en-US" w:eastAsia="zh-CN"/>
              </w:rPr>
              <w:t>chemotherapy</w:t>
            </w:r>
          </w:p>
          <w:p w14:paraId="4C31DD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(696/698/65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)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4420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1459/89</w:t>
            </w:r>
          </w:p>
        </w:tc>
        <w:tc>
          <w:tcPr>
            <w:tcW w:w="2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5A14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e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lectronic medical record</w:t>
            </w:r>
          </w:p>
        </w:tc>
        <w:tc>
          <w:tcPr>
            <w:tcW w:w="6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DC829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Hematopathy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eastAsia="zh-CN"/>
              </w:rPr>
              <w:t>、catheter retention time、dual lumen、</w:t>
            </w:r>
            <w:r>
              <w:rPr>
                <w:rFonts w:hint="eastAsia" w:ascii="Times New Roman" w:hAnsi="Times New Roman" w:cs="Times New Roman"/>
                <w:kern w:val="2"/>
                <w:sz w:val="15"/>
                <w:szCs w:val="15"/>
                <w:lang w:val="en-US" w:eastAsia="zh-CN" w:bidi="ar-SA"/>
              </w:rPr>
              <w:t>chemotherapy、number of punctures、parenteral nutrition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851A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-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D68E0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  <w:t>continuous variable without any transformation</w:t>
            </w:r>
          </w:p>
        </w:tc>
        <w:tc>
          <w:tcPr>
            <w:tcW w:w="2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65AB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15"/>
                <w:szCs w:val="15"/>
                <w:lang w:val="en-US" w:eastAsia="zh-CN"/>
              </w:rPr>
              <w:t>Data integrity</w:t>
            </w:r>
          </w:p>
        </w:tc>
        <w:tc>
          <w:tcPr>
            <w:tcW w:w="1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121EA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Cox</w:t>
            </w:r>
          </w:p>
        </w:tc>
        <w:tc>
          <w:tcPr>
            <w:tcW w:w="3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F114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external</w:t>
            </w:r>
          </w:p>
        </w:tc>
        <w:tc>
          <w:tcPr>
            <w:tcW w:w="1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5BC19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sz w:val="15"/>
                <w:szCs w:val="15"/>
              </w:rPr>
              <w:t>-/0.608</w:t>
            </w:r>
          </w:p>
        </w:tc>
        <w:tc>
          <w:tcPr>
            <w:tcW w:w="2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2503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Calibration slope=1.16</w:t>
            </w:r>
          </w:p>
        </w:tc>
        <w:tc>
          <w:tcPr>
            <w:tcW w:w="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0578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  <w:t>D</w:t>
            </w: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ecision curve</w:t>
            </w:r>
          </w:p>
        </w:tc>
        <w:tc>
          <w:tcPr>
            <w:tcW w:w="2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2988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color w:val="auto"/>
                <w:kern w:val="0"/>
                <w:sz w:val="15"/>
                <w:szCs w:val="15"/>
              </w:rPr>
              <w:t>score-probability comparison table</w:t>
            </w:r>
          </w:p>
        </w:tc>
      </w:tr>
    </w:tbl>
    <w:p w14:paraId="52D2AFA1">
      <w:pPr>
        <w:rPr>
          <w:rFonts w:hint="eastAsia"/>
        </w:rPr>
      </w:pPr>
    </w:p>
    <w:sectPr>
      <w:pgSz w:w="23811" w:h="16838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060C87"/>
    <w:rsid w:val="00C55BD2"/>
    <w:rsid w:val="09C25210"/>
    <w:rsid w:val="0A852D4F"/>
    <w:rsid w:val="0EE3107B"/>
    <w:rsid w:val="14CB0DA3"/>
    <w:rsid w:val="150A4793"/>
    <w:rsid w:val="1A971B74"/>
    <w:rsid w:val="1B000A88"/>
    <w:rsid w:val="1E345B9A"/>
    <w:rsid w:val="22CB55E4"/>
    <w:rsid w:val="23AF33AF"/>
    <w:rsid w:val="23CB2CC8"/>
    <w:rsid w:val="240E2CB5"/>
    <w:rsid w:val="29FF78F4"/>
    <w:rsid w:val="2A151A98"/>
    <w:rsid w:val="2ADC5FDE"/>
    <w:rsid w:val="2FA20835"/>
    <w:rsid w:val="49973A49"/>
    <w:rsid w:val="4D627302"/>
    <w:rsid w:val="53925529"/>
    <w:rsid w:val="555E131C"/>
    <w:rsid w:val="5BE355F3"/>
    <w:rsid w:val="5DFF2329"/>
    <w:rsid w:val="63584FF0"/>
    <w:rsid w:val="63A05C7E"/>
    <w:rsid w:val="65063DE0"/>
    <w:rsid w:val="69943146"/>
    <w:rsid w:val="6CA43D4D"/>
    <w:rsid w:val="74060C87"/>
    <w:rsid w:val="74FC737A"/>
    <w:rsid w:val="78FD0B8F"/>
    <w:rsid w:val="798979C1"/>
    <w:rsid w:val="7BB80A08"/>
    <w:rsid w:val="7D287965"/>
    <w:rsid w:val="7E46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三线表"/>
    <w:basedOn w:val="2"/>
    <w:autoRedefine/>
    <w:qFormat/>
    <w:uiPriority w:val="99"/>
    <w:tblPr>
      <w:tblBorders>
        <w:top w:val="single" w:color="auto" w:sz="12" w:space="0"/>
        <w:bottom w:val="single" w:color="auto" w:sz="12" w:space="0"/>
      </w:tblBorders>
    </w:tblPr>
    <w:tblStylePr w:type="firstRow">
      <w:tcPr>
        <w:tcBorders>
          <w:bottom w:val="single" w:color="auto" w:sz="4" w:space="0"/>
        </w:tcBorders>
      </w:tcPr>
    </w:tblStylePr>
  </w:style>
  <w:style w:type="table" w:customStyle="1" w:styleId="5">
    <w:name w:val="Plain Table 1"/>
    <w:basedOn w:val="2"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405</Words>
  <Characters>2851</Characters>
  <Lines>0</Lines>
  <Paragraphs>0</Paragraphs>
  <TotalTime>0</TotalTime>
  <ScaleCrop>false</ScaleCrop>
  <LinksUpToDate>false</LinksUpToDate>
  <CharactersWithSpaces>3071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2025-11-16T14:27:00Z</dcterms:created>
  <dc:creator>薛大珂珂</dc:creator>
  <cp:lastModifiedBy>薛大珂珂</cp:lastModifiedBy>
  <dcterms:modified xsi:type="dcterms:W3CDTF">2025-11-17T02:54:39Z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04EC4E680D354E64BD0DA4E5917B76EE_11</vt:lpwstr>
  </property>
  <property fmtid="{D5CDD505-2E9C-101B-9397-08002B2CF9AE}" pid="4" name="KSOTemplateDocerSaveRecord">
    <vt:lpwstr>eyJoZGlkIjoiMWJlNDA0Y2MxNDVmNDJkNDA2MTc2Yjc1YTNiZjAxZWQiLCJ1c2VySWQiOiIzMjg0NDI3ODQifQ==</vt:lpwstr>
  </property>
</Properties>
</file>