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color w:val="auto"/>
                <w:sz w:val="18"/>
                <w:szCs w:val="18"/>
              </w:rPr>
            </w:pPr>
            <w:r>
              <w:rPr>
                <w:rFonts w:ascii="Arial" w:hAnsi="Arial" w:cs="Arial"/>
                <w:b/>
                <w:bCs/>
                <w:color w:val="auto"/>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b/>
                <w:bCs/>
                <w:color w:val="auto"/>
                <w:sz w:val="18"/>
                <w:szCs w:val="18"/>
              </w:rPr>
            </w:pPr>
            <w:r>
              <w:rPr>
                <w:rFonts w:ascii="Arial" w:hAnsi="Arial" w:cs="Arial"/>
                <w:b/>
                <w:bCs/>
                <w:color w:val="auto"/>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auto"/>
                <w:sz w:val="18"/>
                <w:szCs w:val="18"/>
              </w:rPr>
            </w:pPr>
            <w:r>
              <w:rPr>
                <w:rFonts w:ascii="Arial" w:hAnsi="Arial" w:cs="Arial"/>
                <w:b/>
                <w:bCs/>
                <w:color w:val="auto"/>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auto"/>
                <w:sz w:val="18"/>
                <w:szCs w:val="18"/>
              </w:rPr>
            </w:pPr>
            <w:r>
              <w:rPr>
                <w:rFonts w:ascii="Arial" w:hAnsi="Arial" w:cs="Arial"/>
                <w:b/>
                <w:bCs/>
                <w:color w:val="auto"/>
                <w:sz w:val="18"/>
                <w:szCs w:val="18"/>
              </w:rPr>
              <w:t xml:space="preserve">Location where item is reported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color w:val="auto"/>
                <w:sz w:val="18"/>
                <w:szCs w:val="18"/>
              </w:rPr>
            </w:pPr>
            <w:r>
              <w:rPr>
                <w:rFonts w:ascii="Arial" w:hAnsi="Arial" w:cs="Arial"/>
                <w:b/>
                <w:bCs/>
                <w:color w:val="auto"/>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PICC-Related Risk Prediction Model for Bloodstream Infection</w:t>
            </w:r>
            <w:r>
              <w:rPr>
                <w:rFonts w:hint="eastAsia" w:ascii="Arial" w:hAnsi="Arial" w:cs="Arial"/>
                <w:color w:val="auto"/>
                <w:sz w:val="18"/>
                <w:szCs w:val="18"/>
              </w:rPr>
              <w:t>：</w:t>
            </w:r>
            <w:r>
              <w:rPr>
                <w:rFonts w:ascii="Arial" w:hAnsi="Arial" w:cs="Arial"/>
                <w:color w:val="auto"/>
                <w:sz w:val="18"/>
                <w:szCs w:val="18"/>
              </w:rPr>
              <w:t>A Systematic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color w:val="auto"/>
                <w:sz w:val="18"/>
                <w:szCs w:val="18"/>
              </w:rPr>
            </w:pPr>
            <w:r>
              <w:rPr>
                <w:rFonts w:ascii="Arial" w:hAnsi="Arial" w:cs="Arial"/>
                <w:b/>
                <w:bCs/>
                <w:color w:val="auto"/>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cs="Arial"/>
                <w:b/>
                <w:bCs/>
                <w:color w:val="auto"/>
                <w:sz w:val="18"/>
                <w:szCs w:val="18"/>
              </w:rPr>
              <w:t>Objective</w:t>
            </w:r>
            <w:r>
              <w:rPr>
                <w:rFonts w:hint="eastAsia" w:ascii="Arial" w:hAnsi="Arial" w:cs="Arial"/>
                <w:color w:val="auto"/>
                <w:sz w:val="18"/>
                <w:szCs w:val="18"/>
              </w:rPr>
              <w:t xml:space="preserve"> </w:t>
            </w:r>
            <w:r>
              <w:rPr>
                <w:rFonts w:ascii="Arial" w:hAnsi="Arial" w:cs="Arial"/>
                <w:color w:val="auto"/>
                <w:sz w:val="18"/>
                <w:szCs w:val="18"/>
              </w:rPr>
              <w:t>This paper aims to assess the predictive model for PICC-</w:t>
            </w:r>
            <w:r>
              <w:rPr>
                <w:rFonts w:hint="eastAsia" w:ascii="Arial" w:hAnsi="Arial" w:cs="Arial"/>
                <w:color w:val="auto"/>
                <w:sz w:val="18"/>
                <w:szCs w:val="18"/>
              </w:rPr>
              <w:t>related</w:t>
            </w:r>
            <w:r>
              <w:rPr>
                <w:rFonts w:ascii="Arial" w:hAnsi="Arial" w:cs="Arial"/>
                <w:color w:val="auto"/>
                <w:sz w:val="18"/>
                <w:szCs w:val="18"/>
              </w:rPr>
              <w:t xml:space="preserve"> bloodstream infection to inform clinical practice.</w:t>
            </w:r>
          </w:p>
          <w:p>
            <w:pPr>
              <w:pStyle w:val="7"/>
              <w:spacing w:before="40" w:after="40"/>
              <w:rPr>
                <w:rFonts w:ascii="Arial" w:hAnsi="Arial" w:cs="Arial"/>
                <w:color w:val="auto"/>
                <w:sz w:val="18"/>
                <w:szCs w:val="18"/>
              </w:rPr>
            </w:pPr>
            <w:r>
              <w:rPr>
                <w:rFonts w:ascii="Arial" w:hAnsi="Arial" w:cs="Arial"/>
                <w:color w:val="auto"/>
                <w:sz w:val="18"/>
                <w:szCs w:val="18"/>
              </w:rPr>
              <w:t xml:space="preserve">Background Central venous catheter-related bloodstream infection is a prevalent complication following PICC insertion, significantly impacting patient outcomes. Existing research primarily focuses on identifying infection risk factors, with limited reports on consolidating these factors into predictive models. </w:t>
            </w:r>
          </w:p>
          <w:p>
            <w:pPr>
              <w:pStyle w:val="7"/>
              <w:spacing w:before="40" w:after="40"/>
              <w:rPr>
                <w:rFonts w:ascii="Arial" w:hAnsi="Arial" w:cs="Arial"/>
                <w:color w:val="auto"/>
                <w:sz w:val="18"/>
                <w:szCs w:val="18"/>
              </w:rPr>
            </w:pPr>
            <w:r>
              <w:rPr>
                <w:rFonts w:ascii="Arial" w:hAnsi="Arial" w:cs="Arial"/>
                <w:b/>
                <w:bCs/>
                <w:color w:val="auto"/>
                <w:sz w:val="18"/>
                <w:szCs w:val="18"/>
              </w:rPr>
              <w:t>Methods</w:t>
            </w:r>
            <w:r>
              <w:rPr>
                <w:rFonts w:ascii="Arial" w:hAnsi="Arial" w:cs="Arial"/>
                <w:color w:val="auto"/>
                <w:sz w:val="18"/>
                <w:szCs w:val="18"/>
              </w:rPr>
              <w:t xml:space="preserve"> A systematic literature search was conducted across </w:t>
            </w:r>
            <w:r>
              <w:rPr>
                <w:rFonts w:hint="eastAsia" w:ascii="Arial" w:hAnsi="Arial" w:cs="Arial"/>
                <w:color w:val="auto"/>
                <w:sz w:val="18"/>
                <w:szCs w:val="18"/>
              </w:rPr>
              <w:t xml:space="preserve">Medline、Embase、Web of science、CINAHL、Cochrane、CNKI、CBM、Wanfang、VIP </w:t>
            </w:r>
            <w:r>
              <w:rPr>
                <w:rFonts w:ascii="Arial" w:hAnsi="Arial" w:cs="Arial"/>
                <w:color w:val="auto"/>
                <w:sz w:val="18"/>
                <w:szCs w:val="18"/>
              </w:rPr>
              <w:t>databases for PICC-related bloodstream infection risk prediction models</w:t>
            </w:r>
            <w:r>
              <w:rPr>
                <w:rFonts w:hint="eastAsia" w:ascii="Arial" w:hAnsi="Arial" w:cs="Arial"/>
                <w:color w:val="auto"/>
                <w:sz w:val="18"/>
                <w:szCs w:val="18"/>
              </w:rPr>
              <w:t xml:space="preserve"> f</w:t>
            </w:r>
            <w:r>
              <w:rPr>
                <w:rFonts w:ascii="Arial" w:hAnsi="Arial" w:cs="Arial"/>
                <w:color w:val="auto"/>
                <w:sz w:val="18"/>
                <w:szCs w:val="18"/>
              </w:rPr>
              <w:t xml:space="preserve">rom the </w:t>
            </w:r>
            <w:r>
              <w:rPr>
                <w:rFonts w:hint="eastAsia" w:ascii="Arial" w:hAnsi="Arial" w:cs="Arial"/>
                <w:color w:val="auto"/>
                <w:sz w:val="18"/>
                <w:szCs w:val="18"/>
              </w:rPr>
              <w:t>database built</w:t>
            </w:r>
            <w:r>
              <w:rPr>
                <w:rFonts w:ascii="Arial" w:hAnsi="Arial" w:cs="Arial"/>
                <w:color w:val="auto"/>
                <w:sz w:val="18"/>
                <w:szCs w:val="18"/>
              </w:rPr>
              <w:t xml:space="preserve"> until January 10, 2024. Two researchers independently screened and extracted data using the CHARMS checklist and assessed bias using the PROBAST tool.</w:t>
            </w:r>
          </w:p>
          <w:p>
            <w:pPr>
              <w:pStyle w:val="7"/>
              <w:spacing w:before="40" w:after="40"/>
              <w:rPr>
                <w:rFonts w:ascii="Arial" w:hAnsi="Arial" w:cs="Arial"/>
                <w:color w:val="auto"/>
                <w:sz w:val="18"/>
                <w:szCs w:val="18"/>
              </w:rPr>
            </w:pPr>
            <w:r>
              <w:rPr>
                <w:rFonts w:ascii="Arial" w:hAnsi="Arial" w:cs="Arial"/>
                <w:b/>
                <w:bCs/>
                <w:color w:val="auto"/>
                <w:sz w:val="18"/>
                <w:szCs w:val="18"/>
              </w:rPr>
              <w:t>Results</w:t>
            </w:r>
            <w:r>
              <w:rPr>
                <w:rFonts w:ascii="Arial" w:hAnsi="Arial" w:cs="Arial"/>
                <w:color w:val="auto"/>
                <w:sz w:val="18"/>
                <w:szCs w:val="18"/>
              </w:rPr>
              <w:t xml:space="preserve"> Ten studies met the inclusion criteria, with ROC curve values ranging from 0.608 to 0.950. Common predictors included days until catheter removal, diabetes history, and number of punctures. While the predictive performance of the studies was generally good, biases were identified due to small sample sizes, improper handling of continuous variables, unreported data, and reliance on single-variable predictions</w:t>
            </w:r>
            <w:r>
              <w:rPr>
                <w:rFonts w:hint="eastAsia" w:ascii="Arial" w:hAnsi="Arial" w:cs="Arial"/>
                <w:color w:val="auto"/>
                <w:sz w:val="18"/>
                <w:szCs w:val="18"/>
              </w:rPr>
              <w:t>.</w:t>
            </w:r>
          </w:p>
          <w:p>
            <w:pPr>
              <w:pStyle w:val="7"/>
              <w:spacing w:before="40" w:after="40"/>
              <w:rPr>
                <w:rFonts w:hint="eastAsia" w:ascii="Times New Roman" w:hAnsi="Times New Roman" w:cs="Times New Roman"/>
                <w:color w:val="auto"/>
              </w:rPr>
            </w:pPr>
            <w:r>
              <w:rPr>
                <w:rFonts w:ascii="Arial" w:hAnsi="Arial" w:cs="Arial"/>
                <w:b/>
                <w:bCs/>
                <w:color w:val="auto"/>
                <w:sz w:val="18"/>
                <w:szCs w:val="18"/>
              </w:rPr>
              <w:t>Conclusion</w:t>
            </w:r>
            <w:r>
              <w:rPr>
                <w:rFonts w:ascii="Arial" w:hAnsi="Arial" w:cs="Arial"/>
                <w:color w:val="auto"/>
                <w:sz w:val="18"/>
                <w:szCs w:val="18"/>
              </w:rPr>
              <w:t xml:space="preserve"> The development of the risk prediction model for PICC-related blood</w:t>
            </w:r>
            <w:r>
              <w:rPr>
                <w:rFonts w:hint="eastAsia" w:ascii="Arial" w:hAnsi="Arial" w:cs="Arial"/>
                <w:color w:val="auto"/>
                <w:sz w:val="18"/>
                <w:szCs w:val="18"/>
              </w:rPr>
              <w:t xml:space="preserve">stream </w:t>
            </w:r>
            <w:r>
              <w:rPr>
                <w:rFonts w:ascii="Arial" w:hAnsi="Arial" w:cs="Arial"/>
                <w:color w:val="auto"/>
                <w:sz w:val="18"/>
                <w:szCs w:val="18"/>
              </w:rPr>
              <w:t>infection is still in its initial stages. To improve the model, future studies should use prospective cohort research data for multi-center large sample studies. Modeling methods should also attach great importance to the implementation of machine learning algorithms. In addition to report</w:t>
            </w:r>
            <w:r>
              <w:rPr>
                <w:rFonts w:hint="eastAsia" w:ascii="Arial" w:hAnsi="Arial" w:cs="Arial"/>
                <w:color w:val="auto"/>
                <w:sz w:val="18"/>
                <w:szCs w:val="18"/>
              </w:rPr>
              <w:t>ing</w:t>
            </w:r>
            <w:r>
              <w:rPr>
                <w:rFonts w:ascii="Arial" w:hAnsi="Arial" w:cs="Arial"/>
                <w:color w:val="auto"/>
                <w:sz w:val="18"/>
                <w:szCs w:val="18"/>
              </w:rPr>
              <w:t xml:space="preserve"> the discrimination and calibration of the model, clinical decision-making indicators such as the decision curve and calibration intercept should also be introduced to fully evaluate the model's performance and provide valuable clinical information for medical personnel. This study is registered on the PROSPERO website with registration number CRD42023333731.</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color w:val="auto"/>
                <w:sz w:val="18"/>
                <w:szCs w:val="18"/>
              </w:rPr>
            </w:pPr>
            <w:r>
              <w:rPr>
                <w:rFonts w:ascii="Arial" w:hAnsi="Arial" w:cs="Arial"/>
                <w:b/>
                <w:bCs/>
                <w:color w:val="auto"/>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The PICC-related bloodstream infection risk prediction model was initially published in </w:t>
            </w:r>
            <w:bookmarkStart w:id="0" w:name="_Hlk164414772"/>
            <w:r>
              <w:rPr>
                <w:rFonts w:ascii="Arial" w:hAnsi="Arial" w:cs="Arial"/>
                <w:color w:val="auto"/>
                <w:sz w:val="18"/>
                <w:szCs w:val="18"/>
              </w:rPr>
              <w:t>2017</w:t>
            </w:r>
            <w:bookmarkEnd w:id="0"/>
            <w:r>
              <w:rPr>
                <w:rFonts w:ascii="Arial" w:hAnsi="Arial" w:cs="Arial"/>
                <w:color w:val="auto"/>
                <w:sz w:val="18"/>
                <w:szCs w:val="18"/>
              </w:rPr>
              <w:t>, and is still in the early stages of development. Although there are various PICC-related risk prediction models, there is currently no widely used risk assessment tool in clinical practice.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The purpose of this study is to summarize, analyze and compare the relevant research, in order to provide reference for the construction and application of PICC-related risk prediction model for bloodstream infection.</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color w:val="auto"/>
                <w:sz w:val="18"/>
                <w:szCs w:val="18"/>
              </w:rPr>
            </w:pPr>
            <w:r>
              <w:rPr>
                <w:rFonts w:ascii="Arial" w:hAnsi="Arial" w:cs="Arial"/>
                <w:b/>
                <w:bCs/>
                <w:color w:val="auto"/>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b/>
                <w:bCs/>
                <w:color w:val="auto"/>
                <w:sz w:val="18"/>
                <w:szCs w:val="18"/>
              </w:rPr>
              <w:t>Inclusion criteria</w:t>
            </w:r>
            <w:r>
              <w:rPr>
                <w:rFonts w:ascii="Arial" w:hAnsi="Arial" w:cs="Arial"/>
                <w:color w:val="auto"/>
                <w:sz w:val="18"/>
                <w:szCs w:val="18"/>
              </w:rPr>
              <w:t xml:space="preserve">: (1) for patients with PICC catheters; (2) research design type is cohort study or case-control study; (3) development, validation, or updating of risk prediction models or tools for PICC-related bloodstream infection; (4) the outcome indicator is CLABSI; (5)the predictive model uses an environment that includes hospitals or communities. </w:t>
            </w:r>
          </w:p>
          <w:p>
            <w:pPr>
              <w:pStyle w:val="7"/>
              <w:spacing w:before="40" w:after="40"/>
              <w:rPr>
                <w:rFonts w:ascii="宋体" w:hAnsi="宋体" w:eastAsia="宋体" w:cs="宋体"/>
                <w:color w:val="auto"/>
                <w:lang w:val="en-US" w:eastAsia="zh-CN"/>
              </w:rPr>
            </w:pPr>
            <w:r>
              <w:rPr>
                <w:rFonts w:ascii="Arial" w:hAnsi="Arial" w:cs="Arial"/>
                <w:b/>
                <w:bCs/>
                <w:color w:val="auto"/>
                <w:sz w:val="18"/>
                <w:szCs w:val="18"/>
              </w:rPr>
              <w:t>Exclusion criteria</w:t>
            </w:r>
            <w:r>
              <w:rPr>
                <w:rFonts w:ascii="Arial" w:hAnsi="Arial" w:cs="Arial"/>
                <w:color w:val="auto"/>
                <w:sz w:val="18"/>
                <w:szCs w:val="18"/>
              </w:rPr>
              <w:t>: (1) for patients who are placed in other types of central venous catheters (CVC or infusion ports); (2) the content of the study is only the study of predictors or risk factors, but no predictive model has been established; (3) using qualitative research to construct CLABSI risk prediction model; (4) unable to obtain the full text, conference papers, repeated publication; (5) Non-Chinese and English.</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A systematic literature search was conducted across Medline, Embase, Web of Science, CINAHL, Cochrane, CNKI, CBM, Wanfang, VIP databases.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宋体" w:hAnsi="宋体" w:eastAsia="宋体" w:cs="宋体"/>
                <w:color w:val="auto"/>
                <w:lang w:val="en-US" w:eastAsia="zh-CN"/>
              </w:rPr>
            </w:pPr>
            <w:r>
              <w:rPr>
                <w:rFonts w:ascii="Arial" w:hAnsi="Arial" w:cs="Arial"/>
                <w:color w:val="auto"/>
                <w:sz w:val="18"/>
                <w:szCs w:val="18"/>
              </w:rPr>
              <w:t xml:space="preserve">Retrieval words were based on similar research experience and </w:t>
            </w:r>
            <w:bookmarkStart w:id="1" w:name="_Hlk164414886"/>
            <w:r>
              <w:rPr>
                <w:rFonts w:ascii="Arial" w:hAnsi="Arial" w:cs="Arial"/>
                <w:color w:val="auto"/>
                <w:sz w:val="18"/>
                <w:szCs w:val="18"/>
              </w:rPr>
              <w:t>keywords related to PICC</w:t>
            </w:r>
            <w:bookmarkEnd w:id="1"/>
            <w:r>
              <w:rPr>
                <w:rFonts w:ascii="Arial" w:hAnsi="Arial" w:cs="Arial"/>
                <w:color w:val="auto"/>
                <w:sz w:val="18"/>
                <w:szCs w:val="18"/>
              </w:rPr>
              <w:t>, bloodstream infection, and prediction models. In addition to this, we also used the predictive model-specific retrieval filters (this article used an Ingui filter) to optimize retrieval.</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宋体" w:hAnsi="宋体" w:eastAsia="宋体" w:cs="宋体"/>
                <w:color w:val="auto"/>
                <w:lang w:val="en-US" w:eastAsia="zh-CN"/>
              </w:rPr>
            </w:pPr>
            <w:r>
              <w:rPr>
                <w:rFonts w:ascii="Arial" w:hAnsi="Arial" w:cs="Arial"/>
                <w:color w:val="auto"/>
                <w:sz w:val="18"/>
                <w:szCs w:val="18"/>
              </w:rPr>
              <w:t>The study was conducted by two reviewers (L.J.L. and X.Z.L.) to independently retrieve and vary search algorithms according to the specifications of each database.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Two researchers (L.J.L. and X.Z.L.) independently screened the literature based on its title and abstract, followed by a careful reading of the full text according to the inclusion and exclusion criteria to determine the final inclusion of the study. If they had different views, there was a third person who was equipped with evidence-based nursing experience to judge.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宋体" w:hAnsi="宋体" w:eastAsia="宋体" w:cs="宋体"/>
                <w:color w:val="auto"/>
                <w:lang w:val="en-US" w:eastAsia="zh-CN"/>
              </w:rPr>
            </w:pPr>
            <w:r>
              <w:rPr>
                <w:rFonts w:ascii="Arial" w:hAnsi="Arial" w:cs="Arial"/>
                <w:color w:val="auto"/>
                <w:sz w:val="18"/>
                <w:szCs w:val="18"/>
              </w:rPr>
              <w:t>Model Predictive Performance</w:t>
            </w:r>
            <w:r>
              <w:rPr>
                <w:rFonts w:hint="eastAsia" w:ascii="Arial" w:hAnsi="Arial" w:cs="Arial"/>
                <w:color w:val="auto"/>
                <w:sz w:val="18"/>
                <w:szCs w:val="18"/>
              </w:rPr>
              <w:t>：</w:t>
            </w:r>
            <w:r>
              <w:rPr>
                <w:rFonts w:ascii="Arial" w:hAnsi="Arial" w:cs="Arial"/>
                <w:color w:val="auto"/>
                <w:sz w:val="18"/>
                <w:szCs w:val="18"/>
              </w:rPr>
              <w:t>AUC</w:t>
            </w:r>
            <w:r>
              <w:rPr>
                <w:rFonts w:hint="eastAsia" w:ascii="Arial" w:hAnsi="Arial" w:cs="Arial"/>
                <w:color w:val="auto"/>
                <w:sz w:val="18"/>
                <w:szCs w:val="18"/>
              </w:rPr>
              <w:t>,</w:t>
            </w:r>
            <w:r>
              <w:rPr>
                <w:rFonts w:ascii="Arial" w:hAnsi="Arial" w:cs="Arial"/>
                <w:color w:val="auto"/>
                <w:sz w:val="18"/>
                <w:szCs w:val="18"/>
              </w:rPr>
              <w:t>Calibration</w:t>
            </w:r>
            <w:r>
              <w:rPr>
                <w:rFonts w:hint="eastAsia" w:ascii="Arial" w:hAnsi="Arial" w:cs="Arial"/>
                <w:color w:val="auto"/>
                <w:sz w:val="18"/>
                <w:szCs w:val="18"/>
              </w:rPr>
              <w:t xml:space="preserve"> and </w:t>
            </w:r>
            <w:r>
              <w:rPr>
                <w:rFonts w:ascii="Arial" w:hAnsi="Arial" w:cs="Arial"/>
                <w:color w:val="auto"/>
                <w:sz w:val="18"/>
                <w:szCs w:val="18"/>
              </w:rPr>
              <w:t>Other indicators</w:t>
            </w:r>
            <w:r>
              <w:rPr>
                <w:rFonts w:hint="eastAsia" w:ascii="Arial" w:hAnsi="Arial" w:cs="Arial"/>
                <w:color w:val="auto"/>
                <w:sz w:val="18"/>
                <w:szCs w:val="18"/>
              </w:rPr>
              <w:t>.(</w:t>
            </w:r>
            <w:r>
              <w:rPr>
                <w:rFonts w:ascii="Arial" w:hAnsi="Arial" w:cs="Arial"/>
                <w:color w:val="auto"/>
                <w:sz w:val="18"/>
                <w:szCs w:val="18"/>
              </w:rPr>
              <w:t xml:space="preserve"> Table 2</w:t>
            </w:r>
            <w:r>
              <w:rPr>
                <w:rFonts w:hint="eastAsia" w:ascii="Arial" w:hAnsi="Arial" w:cs="Arial"/>
                <w:color w:val="auto"/>
                <w:sz w:val="18"/>
                <w:szCs w:val="18"/>
              </w:rPr>
              <w: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宋体" w:hAnsi="宋体" w:eastAsia="宋体" w:cs="宋体"/>
                <w:color w:val="auto"/>
                <w:lang w:val="en-US" w:eastAsia="zh-CN"/>
              </w:rPr>
            </w:pPr>
            <w:r>
              <w:rPr>
                <w:rFonts w:ascii="Arial" w:hAnsi="Arial" w:cs="Arial"/>
                <w:color w:val="auto"/>
                <w:sz w:val="18"/>
                <w:szCs w:val="18"/>
              </w:rPr>
              <w:t>Sample size</w:t>
            </w:r>
            <w:r>
              <w:rPr>
                <w:rFonts w:hint="eastAsia" w:ascii="Arial" w:hAnsi="Arial" w:cs="Arial"/>
                <w:color w:val="auto"/>
                <w:sz w:val="18"/>
                <w:szCs w:val="18"/>
              </w:rPr>
              <w:t>,</w:t>
            </w:r>
            <w:r>
              <w:rPr>
                <w:rFonts w:ascii="Arial" w:hAnsi="Arial" w:cs="Arial"/>
                <w:color w:val="auto"/>
                <w:sz w:val="18"/>
                <w:szCs w:val="18"/>
              </w:rPr>
              <w:t xml:space="preserve"> Outcome</w:t>
            </w:r>
            <w:r>
              <w:rPr>
                <w:rFonts w:hint="eastAsia" w:ascii="Arial" w:hAnsi="Arial" w:cs="Arial"/>
                <w:color w:val="auto"/>
                <w:sz w:val="18"/>
                <w:szCs w:val="18"/>
              </w:rPr>
              <w:t>,</w:t>
            </w:r>
            <w:r>
              <w:rPr>
                <w:rFonts w:ascii="Arial" w:hAnsi="Arial" w:cs="Arial"/>
                <w:color w:val="auto"/>
                <w:sz w:val="18"/>
                <w:szCs w:val="18"/>
              </w:rPr>
              <w:t xml:space="preserve"> Build</w:t>
            </w:r>
            <w:r>
              <w:rPr>
                <w:rFonts w:hint="eastAsia" w:ascii="Arial" w:hAnsi="Arial" w:cs="Arial"/>
                <w:color w:val="auto"/>
                <w:sz w:val="18"/>
                <w:szCs w:val="18"/>
              </w:rPr>
              <w:t xml:space="preserve"> and </w:t>
            </w:r>
            <w:r>
              <w:rPr>
                <w:rFonts w:ascii="Arial" w:hAnsi="Arial" w:cs="Arial"/>
                <w:color w:val="auto"/>
                <w:sz w:val="18"/>
                <w:szCs w:val="18"/>
              </w:rPr>
              <w:t>Validation</w:t>
            </w:r>
            <w:r>
              <w:rPr>
                <w:rFonts w:hint="eastAsia" w:ascii="Arial" w:hAnsi="Arial" w:cs="Arial"/>
                <w:color w:val="auto"/>
                <w:sz w:val="18"/>
                <w:szCs w:val="18"/>
              </w:rPr>
              <w:t>.(</w:t>
            </w:r>
            <w:r>
              <w:rPr>
                <w:rFonts w:ascii="Arial" w:hAnsi="Arial" w:cs="Arial"/>
                <w:color w:val="auto"/>
                <w:sz w:val="18"/>
                <w:szCs w:val="18"/>
              </w:rPr>
              <w:t xml:space="preserve"> Table 2</w:t>
            </w:r>
            <w:r>
              <w:rPr>
                <w:rFonts w:hint="eastAsia" w:ascii="Arial" w:hAnsi="Arial" w:cs="Arial"/>
                <w:color w:val="auto"/>
                <w:sz w:val="18"/>
                <w:szCs w:val="18"/>
              </w:rPr>
              <w: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color w:val="auto"/>
                <w:sz w:val="21"/>
                <w:szCs w:val="21"/>
              </w:rPr>
            </w:pPr>
            <w:r>
              <w:rPr>
                <w:rFonts w:ascii="Arial" w:hAnsi="Arial" w:cs="Arial"/>
                <w:color w:val="auto"/>
                <w:sz w:val="18"/>
                <w:szCs w:val="18"/>
              </w:rPr>
              <w:t>The Bias risk assessment tool</w:t>
            </w:r>
            <w:r>
              <w:rPr>
                <w:rFonts w:hint="eastAsia" w:ascii="Arial" w:hAnsi="Arial" w:cs="Arial"/>
                <w:color w:val="auto"/>
                <w:sz w:val="18"/>
                <w:szCs w:val="18"/>
              </w:rPr>
              <w:t>（</w:t>
            </w:r>
            <w:r>
              <w:rPr>
                <w:rFonts w:ascii="Arial" w:hAnsi="Arial" w:cs="Arial"/>
                <w:color w:val="auto"/>
                <w:sz w:val="18"/>
                <w:szCs w:val="18"/>
              </w:rPr>
              <w:t>prediction model risk of bias assessment tool, PROBAST</w:t>
            </w:r>
            <w:r>
              <w:rPr>
                <w:rFonts w:hint="eastAsia" w:ascii="Arial" w:hAnsi="Arial" w:cs="Arial"/>
                <w:color w:val="auto"/>
                <w:sz w:val="18"/>
                <w:szCs w:val="18"/>
              </w:rPr>
              <w:t>）</w:t>
            </w:r>
            <w:r>
              <w:rPr>
                <w:rFonts w:ascii="Arial" w:hAnsi="Arial" w:cs="Arial"/>
                <w:color w:val="auto"/>
                <w:sz w:val="18"/>
                <w:szCs w:val="18"/>
              </w:rPr>
              <w:t>developed by Wolff was used to assess the quality evaluation of the incorporation literature from four aspects: study subjects, predictors, outcomes, and statistical analysis. Two reviewers (L.J.L. and X.Z.L.) used the tool to evaluate each article that met the criteria for inclusion. Disputes over the assessment of bias risk were addressed through debate and consensus between the two authors, and any continuing disagreements were submitted to the third author (</w:t>
            </w:r>
            <w:r>
              <w:rPr>
                <w:rFonts w:hint="eastAsia" w:ascii="Arial" w:hAnsi="Arial" w:cs="Arial"/>
                <w:color w:val="auto"/>
                <w:sz w:val="18"/>
                <w:szCs w:val="18"/>
                <w:lang w:val="en-US" w:eastAsia="zh-CN"/>
              </w:rPr>
              <w:t>Y</w:t>
            </w:r>
            <w:r>
              <w:rPr>
                <w:rFonts w:ascii="Arial" w:hAnsi="Arial" w:cs="Arial"/>
                <w:color w:val="auto"/>
                <w:sz w:val="18"/>
                <w:szCs w:val="18"/>
              </w:rPr>
              <w:t>.</w:t>
            </w:r>
            <w:r>
              <w:rPr>
                <w:rFonts w:hint="eastAsia" w:ascii="Arial" w:hAnsi="Arial" w:cs="Arial"/>
                <w:color w:val="auto"/>
                <w:sz w:val="18"/>
                <w:szCs w:val="18"/>
                <w:lang w:val="en-US" w:eastAsia="zh-CN"/>
              </w:rPr>
              <w:t>J</w:t>
            </w:r>
            <w:r>
              <w:rPr>
                <w:rFonts w:ascii="Arial" w:hAnsi="Arial" w:cs="Arial"/>
                <w:color w:val="auto"/>
                <w:sz w:val="18"/>
                <w:szCs w:val="18"/>
              </w:rPr>
              <w:t>.</w:t>
            </w:r>
            <w:r>
              <w:rPr>
                <w:rFonts w:hint="eastAsia" w:ascii="Arial" w:hAnsi="Arial" w:cs="Arial"/>
                <w:color w:val="auto"/>
                <w:sz w:val="18"/>
                <w:szCs w:val="18"/>
                <w:lang w:val="en-US" w:eastAsia="zh-CN"/>
              </w:rPr>
              <w:t>X</w:t>
            </w:r>
            <w:r>
              <w:rPr>
                <w:rFonts w:ascii="Arial" w:hAnsi="Arial" w:cs="Arial"/>
                <w:color w:val="auto"/>
                <w:sz w:val="18"/>
                <w:szCs w:val="18"/>
              </w:rPr>
              <w: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Differentiation and calibration degree are the two main indicators of evaluation of a model, where differentiation is commonly used C-index or AUC. Calibration usually plots calibration curves and is reported using the brier score or the Hosmer-Lemeshow test to detect the fitting optimum test of the </w:t>
            </w:r>
            <w:bookmarkStart w:id="2" w:name="_Hlk164415108"/>
            <w:r>
              <w:rPr>
                <w:rFonts w:ascii="Arial" w:hAnsi="Arial" w:cs="Arial"/>
                <w:color w:val="auto"/>
                <w:sz w:val="18"/>
                <w:szCs w:val="18"/>
              </w:rPr>
              <w:t>regression equation</w:t>
            </w:r>
            <w:bookmarkEnd w:id="2"/>
            <w:r>
              <w:rPr>
                <w:rFonts w:ascii="Arial" w:hAnsi="Arial" w:cs="Arial"/>
                <w:color w:val="auto"/>
                <w:sz w:val="18"/>
                <w:szCs w:val="18"/>
              </w:rPr>
              <w: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cs="Arial"/>
                <w:color w:val="auto"/>
                <w:sz w:val="18"/>
                <w:szCs w:val="18"/>
              </w:rPr>
              <w:t xml:space="preserve">Not </w:t>
            </w:r>
            <w:r>
              <w:rPr>
                <w:rFonts w:hint="eastAsia" w:ascii="Arial" w:hAnsi="Arial" w:cs="Arial"/>
                <w:color w:val="auto"/>
                <w:sz w:val="18"/>
                <w:szCs w:val="18"/>
                <w:lang w:val="en-US" w:eastAsia="zh-CN"/>
              </w:rPr>
              <w:t>a</w:t>
            </w:r>
            <w:r>
              <w:rPr>
                <w:rFonts w:hint="eastAsia" w:ascii="Arial" w:hAnsi="Arial" w:cs="Arial"/>
                <w:color w:val="auto"/>
                <w:sz w:val="18"/>
                <w:szCs w:val="18"/>
              </w:rPr>
              <w:t>pplicable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color w:val="auto"/>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cs="Arial"/>
                <w:color w:val="auto"/>
                <w:sz w:val="18"/>
                <w:szCs w:val="18"/>
              </w:rPr>
              <w:t xml:space="preserve">Not </w:t>
            </w:r>
            <w:r>
              <w:rPr>
                <w:rFonts w:hint="eastAsia" w:ascii="Arial" w:hAnsi="Arial" w:cs="Arial"/>
                <w:color w:val="auto"/>
                <w:sz w:val="18"/>
                <w:szCs w:val="18"/>
                <w:lang w:val="en-US" w:eastAsia="zh-CN"/>
              </w:rPr>
              <w:t>a</w:t>
            </w:r>
            <w:r>
              <w:rPr>
                <w:rFonts w:hint="eastAsia" w:ascii="Arial" w:hAnsi="Arial" w:cs="Arial"/>
                <w:color w:val="auto"/>
                <w:sz w:val="18"/>
                <w:szCs w:val="18"/>
              </w:rPr>
              <w:t>pplicable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color w:val="auto"/>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cs="Arial"/>
                <w:color w:val="auto"/>
                <w:sz w:val="18"/>
                <w:szCs w:val="18"/>
              </w:rPr>
              <w:t xml:space="preserve">Not </w:t>
            </w:r>
            <w:r>
              <w:rPr>
                <w:rFonts w:hint="eastAsia" w:ascii="Arial" w:hAnsi="Arial" w:cs="Arial"/>
                <w:color w:val="auto"/>
                <w:sz w:val="18"/>
                <w:szCs w:val="18"/>
                <w:lang w:val="en-US" w:eastAsia="zh-CN"/>
              </w:rPr>
              <w:t>a</w:t>
            </w:r>
            <w:r>
              <w:rPr>
                <w:rFonts w:hint="eastAsia" w:ascii="Arial" w:hAnsi="Arial" w:cs="Arial"/>
                <w:color w:val="auto"/>
                <w:sz w:val="18"/>
                <w:szCs w:val="18"/>
              </w:rPr>
              <w:t>pplicable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color w:val="auto"/>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cs="Arial"/>
                <w:color w:val="auto"/>
                <w:sz w:val="18"/>
                <w:szCs w:val="18"/>
              </w:rPr>
              <w:t xml:space="preserve">Not </w:t>
            </w:r>
            <w:r>
              <w:rPr>
                <w:rFonts w:hint="eastAsia" w:ascii="Arial" w:hAnsi="Arial" w:cs="Arial"/>
                <w:color w:val="auto"/>
                <w:sz w:val="18"/>
                <w:szCs w:val="18"/>
                <w:lang w:val="en-US" w:eastAsia="zh-CN"/>
              </w:rPr>
              <w:t>a</w:t>
            </w:r>
            <w:r>
              <w:rPr>
                <w:rFonts w:hint="eastAsia" w:ascii="Arial" w:hAnsi="Arial" w:cs="Arial"/>
                <w:color w:val="auto"/>
                <w:sz w:val="18"/>
                <w:szCs w:val="18"/>
              </w:rPr>
              <w:t>pplicable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color w:val="auto"/>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cs="Arial"/>
                <w:color w:val="auto"/>
                <w:sz w:val="18"/>
                <w:szCs w:val="18"/>
              </w:rPr>
              <w:t xml:space="preserve">Not </w:t>
            </w:r>
            <w:r>
              <w:rPr>
                <w:rFonts w:hint="eastAsia" w:ascii="Arial" w:hAnsi="Arial" w:cs="Arial"/>
                <w:color w:val="auto"/>
                <w:sz w:val="18"/>
                <w:szCs w:val="18"/>
                <w:lang w:val="en-US" w:eastAsia="zh-CN"/>
              </w:rPr>
              <w:t>a</w:t>
            </w:r>
            <w:r>
              <w:rPr>
                <w:rFonts w:hint="eastAsia" w:ascii="Arial" w:hAnsi="Arial" w:cs="Arial"/>
                <w:color w:val="auto"/>
                <w:sz w:val="18"/>
                <w:szCs w:val="18"/>
              </w:rPr>
              <w:t>pplicable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cs="Arial"/>
                <w:color w:val="auto"/>
                <w:sz w:val="18"/>
                <w:szCs w:val="18"/>
              </w:rPr>
              <w:t xml:space="preserve">Not </w:t>
            </w:r>
            <w:r>
              <w:rPr>
                <w:rFonts w:hint="eastAsia" w:ascii="Arial" w:hAnsi="Arial" w:cs="Arial"/>
                <w:color w:val="auto"/>
                <w:sz w:val="18"/>
                <w:szCs w:val="18"/>
                <w:lang w:val="en-US" w:eastAsia="zh-CN"/>
              </w:rPr>
              <w:t>a</w:t>
            </w:r>
            <w:r>
              <w:rPr>
                <w:rFonts w:hint="eastAsia" w:ascii="Arial" w:hAnsi="Arial" w:cs="Arial"/>
                <w:color w:val="auto"/>
                <w:sz w:val="18"/>
                <w:szCs w:val="18"/>
              </w:rPr>
              <w:t>pplicable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cs="Arial"/>
                <w:color w:val="auto"/>
                <w:sz w:val="18"/>
                <w:szCs w:val="18"/>
              </w:rPr>
              <w:t xml:space="preserve">Not </w:t>
            </w:r>
            <w:r>
              <w:rPr>
                <w:rFonts w:hint="eastAsia" w:ascii="Arial" w:hAnsi="Arial" w:cs="Arial"/>
                <w:color w:val="auto"/>
                <w:sz w:val="18"/>
                <w:szCs w:val="18"/>
                <w:lang w:val="en-US" w:eastAsia="zh-CN"/>
              </w:rPr>
              <w:t>a</w:t>
            </w:r>
            <w:r>
              <w:rPr>
                <w:rFonts w:hint="eastAsia" w:ascii="Arial" w:hAnsi="Arial" w:cs="Arial"/>
                <w:color w:val="auto"/>
                <w:sz w:val="18"/>
                <w:szCs w:val="18"/>
              </w:rPr>
              <w:t>pplicable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cs="Arial"/>
                <w:color w:val="auto"/>
                <w:sz w:val="18"/>
                <w:szCs w:val="18"/>
              </w:rPr>
              <w:t xml:space="preserve">Not </w:t>
            </w:r>
            <w:r>
              <w:rPr>
                <w:rFonts w:hint="eastAsia" w:ascii="Arial" w:hAnsi="Arial" w:cs="Arial"/>
                <w:color w:val="auto"/>
                <w:sz w:val="18"/>
                <w:szCs w:val="18"/>
                <w:lang w:val="en-US" w:eastAsia="zh-CN"/>
              </w:rPr>
              <w:t>a</w:t>
            </w:r>
            <w:r>
              <w:rPr>
                <w:rFonts w:hint="eastAsia" w:ascii="Arial" w:hAnsi="Arial" w:cs="Arial"/>
                <w:color w:val="auto"/>
                <w:sz w:val="18"/>
                <w:szCs w:val="18"/>
              </w:rPr>
              <w:t>pplicable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color w:val="auto"/>
                <w:sz w:val="18"/>
                <w:szCs w:val="18"/>
              </w:rPr>
            </w:pPr>
            <w:r>
              <w:rPr>
                <w:rFonts w:ascii="Arial" w:hAnsi="Arial" w:cs="Arial"/>
                <w:b/>
                <w:bCs/>
                <w:color w:val="auto"/>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3,169 studies were found, 738 records were duplicated, 10 studies were retained and incorporated into the analysis.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lang w:eastAsia="zh-CN"/>
              </w:rPr>
            </w:pPr>
            <w:r>
              <w:rPr>
                <w:rFonts w:hint="eastAsia" w:ascii="Arial" w:hAnsi="Arial" w:cs="Arial"/>
                <w:color w:val="auto"/>
                <w:sz w:val="18"/>
                <w:szCs w:val="18"/>
              </w:rPr>
              <w:t xml:space="preserve">Not </w:t>
            </w:r>
            <w:r>
              <w:rPr>
                <w:rFonts w:hint="eastAsia" w:ascii="Arial" w:hAnsi="Arial" w:cs="Arial"/>
                <w:color w:val="auto"/>
                <w:sz w:val="18"/>
                <w:szCs w:val="18"/>
                <w:lang w:val="en-US" w:eastAsia="zh-CN"/>
              </w:rPr>
              <w:t>a</w:t>
            </w:r>
            <w:r>
              <w:rPr>
                <w:rFonts w:hint="eastAsia" w:ascii="Arial" w:hAnsi="Arial" w:cs="Arial"/>
                <w:color w:val="auto"/>
                <w:sz w:val="18"/>
                <w:szCs w:val="18"/>
              </w:rPr>
              <w:t>pplicable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宋体" w:hAnsi="宋体" w:eastAsia="宋体" w:cs="宋体"/>
                <w:color w:val="auto"/>
                <w:lang w:val="en-US" w:eastAsia="zh-CN"/>
              </w:rPr>
            </w:pPr>
            <w:r>
              <w:rPr>
                <w:rFonts w:ascii="Arial" w:hAnsi="Arial" w:cs="Arial"/>
                <w:color w:val="auto"/>
                <w:sz w:val="18"/>
                <w:szCs w:val="18"/>
              </w:rPr>
              <w:t>Ten studies were included and nine predictive models were established, of which nine</w:t>
            </w:r>
            <w:r>
              <w:rPr>
                <w:rFonts w:hint="eastAsia" w:ascii="Arial" w:hAnsi="Arial" w:cs="Arial"/>
                <w:color w:val="auto"/>
                <w:sz w:val="18"/>
                <w:szCs w:val="18"/>
              </w:rPr>
              <w:t xml:space="preserve"> </w:t>
            </w:r>
            <w:r>
              <w:rPr>
                <w:rFonts w:ascii="Arial" w:hAnsi="Arial" w:cs="Arial"/>
                <w:color w:val="auto"/>
                <w:sz w:val="18"/>
                <w:szCs w:val="18"/>
              </w:rPr>
              <w:t>were retrospective studies and one was prospective cohort studies</w:t>
            </w:r>
            <w:bookmarkStart w:id="3" w:name="_Hlk164414690"/>
            <w:r>
              <w:rPr>
                <w:rFonts w:ascii="Arial" w:hAnsi="Arial" w:cs="Arial"/>
                <w:color w:val="auto"/>
                <w:sz w:val="18"/>
                <w:szCs w:val="18"/>
              </w:rPr>
              <w:t>(table 1).</w:t>
            </w:r>
            <w:bookmarkEnd w:id="3"/>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In the study area, nine studies were designed with a retrospective type of study and were therefore rated high risk, with only one study using a prospective cohort study rated low risk.</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2~72 prognostic factors were included in the model, the most frequent occurrences (Fig 2)</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The study included nine predictive models, seven model construction and validation, and three model construction.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color w:val="auto"/>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The area under the ROC curve included in the model was between 0.608 ~ 0.950, eight of the model’s AUC &gt; 0.7, indicating that the model's predictive performance was good. There were seven studies that reported calibration by plotting calibration curves or hosmer-lemeshow fit optimization tests.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color w:val="auto"/>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In the area of analysis, the literature rated as high bias risk (n = 10,100%) focuses on insufficient sample size, improper handling of continuous variables, handling of missing values, and screening of predictors, all dominated by</w:t>
            </w:r>
            <w:r>
              <w:rPr>
                <w:rFonts w:hint="eastAsia" w:ascii="Arial" w:hAnsi="Arial" w:cs="Arial"/>
                <w:color w:val="auto"/>
                <w:sz w:val="18"/>
                <w:szCs w:val="18"/>
              </w:rPr>
              <w:t xml:space="preserve"> </w:t>
            </w:r>
            <w:r>
              <w:rPr>
                <w:rFonts w:ascii="Arial" w:hAnsi="Arial" w:cs="Arial"/>
                <w:color w:val="auto"/>
                <w:sz w:val="18"/>
                <w:szCs w:val="18"/>
              </w:rPr>
              <w:t>single-variable analysis.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cs="Arial"/>
                <w:color w:val="auto"/>
                <w:sz w:val="18"/>
                <w:szCs w:val="18"/>
              </w:rPr>
              <w:t xml:space="preserve">Not </w:t>
            </w:r>
            <w:r>
              <w:rPr>
                <w:rFonts w:hint="eastAsia" w:ascii="Arial" w:hAnsi="Arial" w:cs="Arial"/>
                <w:color w:val="auto"/>
                <w:sz w:val="18"/>
                <w:szCs w:val="18"/>
                <w:lang w:val="en-US" w:eastAsia="zh-CN"/>
              </w:rPr>
              <w:t>a</w:t>
            </w:r>
            <w:r>
              <w:rPr>
                <w:rFonts w:hint="eastAsia" w:ascii="Arial" w:hAnsi="Arial" w:cs="Arial"/>
                <w:color w:val="auto"/>
                <w:sz w:val="18"/>
                <w:szCs w:val="18"/>
              </w:rPr>
              <w:t>pplicable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cs="Arial"/>
                <w:color w:val="auto"/>
                <w:sz w:val="18"/>
                <w:szCs w:val="18"/>
              </w:rPr>
              <w:t xml:space="preserve">Not </w:t>
            </w:r>
            <w:r>
              <w:rPr>
                <w:rFonts w:hint="eastAsia" w:ascii="Arial" w:hAnsi="Arial" w:cs="Arial"/>
                <w:color w:val="auto"/>
                <w:sz w:val="18"/>
                <w:szCs w:val="18"/>
                <w:lang w:val="en-US" w:eastAsia="zh-CN"/>
              </w:rPr>
              <w:t>a</w:t>
            </w:r>
            <w:r>
              <w:rPr>
                <w:rFonts w:hint="eastAsia" w:ascii="Arial" w:hAnsi="Arial" w:cs="Arial"/>
                <w:color w:val="auto"/>
                <w:sz w:val="18"/>
                <w:szCs w:val="18"/>
              </w:rPr>
              <w:t>pplicable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cs="Arial"/>
                <w:color w:val="auto"/>
                <w:sz w:val="18"/>
                <w:szCs w:val="18"/>
              </w:rPr>
              <w:t xml:space="preserve">Not </w:t>
            </w:r>
            <w:r>
              <w:rPr>
                <w:rFonts w:hint="eastAsia" w:ascii="Arial" w:hAnsi="Arial" w:cs="Arial"/>
                <w:color w:val="auto"/>
                <w:sz w:val="18"/>
                <w:szCs w:val="18"/>
                <w:lang w:val="en-US" w:eastAsia="zh-CN"/>
              </w:rPr>
              <w:t>a</w:t>
            </w:r>
            <w:r>
              <w:rPr>
                <w:rFonts w:hint="eastAsia" w:ascii="Arial" w:hAnsi="Arial" w:cs="Arial"/>
                <w:color w:val="auto"/>
                <w:sz w:val="18"/>
                <w:szCs w:val="18"/>
              </w:rPr>
              <w:t>pplicable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color w:val="auto"/>
                <w:sz w:val="18"/>
                <w:szCs w:val="18"/>
              </w:rPr>
            </w:pPr>
            <w:r>
              <w:rPr>
                <w:rFonts w:ascii="Arial" w:hAnsi="Arial" w:cs="Arial"/>
                <w:b/>
                <w:bCs/>
                <w:color w:val="auto"/>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宋体" w:hAnsi="宋体" w:eastAsia="宋体" w:cs="宋体"/>
                <w:color w:val="auto"/>
                <w:lang w:val="en-US" w:eastAsia="zh-CN"/>
              </w:rPr>
            </w:pPr>
            <w:r>
              <w:rPr>
                <w:rFonts w:ascii="Arial" w:hAnsi="Arial" w:cs="Arial"/>
                <w:color w:val="auto"/>
                <w:sz w:val="18"/>
                <w:szCs w:val="18"/>
              </w:rPr>
              <w:t>In terms of model sources, most model come from China. The main reason may be that the PICC application population in China had been widespread in recent decades, the higher and higher rates of exposure were associated with increased complications.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color w:val="auto"/>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宋体" w:hAnsi="宋体" w:eastAsia="宋体" w:cs="宋体"/>
                <w:color w:val="auto"/>
                <w:lang w:val="en-US" w:eastAsia="zh-CN"/>
              </w:rPr>
            </w:pPr>
            <w:r>
              <w:rPr>
                <w:rFonts w:ascii="Arial" w:hAnsi="Arial" w:cs="Arial"/>
                <w:color w:val="auto"/>
                <w:sz w:val="18"/>
                <w:szCs w:val="18"/>
                <w:lang w:eastAsia="zh-CN"/>
              </w:rPr>
              <w:t>F</w:t>
            </w:r>
            <w:r>
              <w:rPr>
                <w:rFonts w:hint="eastAsia" w:ascii="Arial" w:hAnsi="Arial" w:cs="Arial"/>
                <w:color w:val="auto"/>
                <w:sz w:val="18"/>
                <w:szCs w:val="18"/>
                <w:lang w:eastAsia="zh-CN"/>
              </w:rPr>
              <w:t>irst，</w:t>
            </w:r>
            <w:r>
              <w:rPr>
                <w:rFonts w:ascii="Arial" w:hAnsi="Arial" w:cs="Arial"/>
                <w:color w:val="auto"/>
                <w:sz w:val="18"/>
                <w:szCs w:val="18"/>
              </w:rPr>
              <w:t>only Chinese and English articles were included</w:t>
            </w:r>
            <w:r>
              <w:rPr>
                <w:rFonts w:hint="eastAsia" w:ascii="Arial" w:hAnsi="Arial" w:cs="Arial"/>
                <w:color w:val="auto"/>
                <w:sz w:val="18"/>
                <w:szCs w:val="18"/>
              </w:rPr>
              <w:t>；</w:t>
            </w:r>
            <w:r>
              <w:rPr>
                <w:rFonts w:hint="eastAsia" w:ascii="Arial" w:hAnsi="Arial" w:cs="Arial"/>
                <w:color w:val="auto"/>
                <w:sz w:val="18"/>
                <w:szCs w:val="18"/>
                <w:lang w:eastAsia="zh-CN"/>
              </w:rPr>
              <w:t>Secondly，</w:t>
            </w:r>
            <w:r>
              <w:rPr>
                <w:rFonts w:ascii="Arial" w:hAnsi="Arial" w:cs="Arial"/>
                <w:color w:val="auto"/>
                <w:sz w:val="18"/>
                <w:szCs w:val="18"/>
              </w:rPr>
              <w:t>the level of variability was too high</w:t>
            </w:r>
            <w:r>
              <w:rPr>
                <w:rFonts w:hint="eastAsia" w:ascii="Arial" w:hAnsi="Arial" w:cs="Arial"/>
                <w:color w:val="auto"/>
                <w:sz w:val="18"/>
                <w:szCs w:val="18"/>
              </w:rPr>
              <w: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color w:val="auto"/>
                <w:sz w:val="18"/>
                <w:szCs w:val="18"/>
              </w:rPr>
            </w:pPr>
          </w:p>
        </w:tc>
        <w:tc>
          <w:tcPr>
            <w:tcW w:w="587" w:type="dxa"/>
            <w:tcBorders>
              <w:top w:val="single" w:color="000000" w:sz="4" w:space="0"/>
              <w:left w:val="single" w:color="000000" w:sz="4" w:space="0"/>
              <w:bottom w:val="single" w:color="auto"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Low quality inclusion of literature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pPr>
              <w:pStyle w:val="7"/>
              <w:spacing w:before="40" w:after="40"/>
              <w:rPr>
                <w:rFonts w:ascii="Arial" w:hAnsi="Arial" w:cs="Arial"/>
                <w:color w:val="auto"/>
                <w:sz w:val="18"/>
                <w:szCs w:val="18"/>
              </w:rPr>
            </w:pPr>
          </w:p>
        </w:tc>
        <w:tc>
          <w:tcPr>
            <w:tcW w:w="587" w:type="dxa"/>
            <w:tcBorders>
              <w:top w:val="single" w:color="auto" w:sz="4" w:space="0"/>
              <w:left w:val="single" w:color="000000" w:sz="4" w:space="0"/>
              <w:bottom w:val="single" w:color="auto" w:sz="4" w:space="0"/>
              <w:right w:val="single" w:color="auto"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pPr>
              <w:pStyle w:val="7"/>
              <w:spacing w:before="40" w:after="40"/>
              <w:rPr>
                <w:rFonts w:hint="eastAsia" w:ascii="Arial" w:hAnsi="Arial" w:cs="Arial"/>
                <w:color w:val="auto"/>
                <w:sz w:val="18"/>
                <w:szCs w:val="18"/>
              </w:rPr>
            </w:pPr>
            <w:r>
              <w:rPr>
                <w:rFonts w:ascii="Arial" w:hAnsi="Arial" w:cs="Arial"/>
                <w:color w:val="auto"/>
                <w:sz w:val="18"/>
                <w:szCs w:val="18"/>
              </w:rPr>
              <w:t>it provides us with experience in future studies of predictive models</w:t>
            </w:r>
            <w:r>
              <w:rPr>
                <w:rFonts w:hint="eastAsia" w:ascii="Arial" w:hAnsi="Arial" w:cs="Arial"/>
                <w:color w:val="auto"/>
                <w:sz w:val="18"/>
                <w:szCs w:val="18"/>
              </w:rPr>
              <w:t>.</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color w:val="auto"/>
                <w:sz w:val="18"/>
                <w:szCs w:val="18"/>
              </w:rPr>
            </w:pPr>
            <w:r>
              <w:rPr>
                <w:rFonts w:ascii="Arial" w:hAnsi="Arial" w:cs="Arial"/>
                <w:b/>
                <w:bCs/>
                <w:color w:val="auto"/>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This study is registered on the PROSPERO website with registration number CRD42023333731.</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color w:val="auto"/>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PROSPERO website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lang w:eastAsia="zh-CN"/>
              </w:rPr>
              <w:t>N</w:t>
            </w:r>
            <w:r>
              <w:rPr>
                <w:rFonts w:hint="eastAsia" w:ascii="Arial" w:hAnsi="Arial" w:cs="Arial"/>
                <w:color w:val="auto"/>
                <w:sz w:val="18"/>
                <w:szCs w:val="18"/>
                <w:lang w:eastAsia="zh-CN"/>
              </w:rPr>
              <w:t>one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Funding: None.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The authors declare that they have no known competing financial interests or personal relationships.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color w:val="auto"/>
                <w:sz w:val="18"/>
                <w:szCs w:val="18"/>
                <w:lang w:eastAsia="zh-CN"/>
              </w:rPr>
            </w:pPr>
            <w:r>
              <w:rPr>
                <w:rFonts w:hint="eastAsia" w:ascii="Arial" w:hAnsi="Arial" w:cs="Arial"/>
                <w:color w:val="auto"/>
                <w:sz w:val="18"/>
                <w:szCs w:val="18"/>
                <w:lang w:eastAsia="zh-CN"/>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pPr>
              <w:pStyle w:val="7"/>
              <w:spacing w:before="40" w:after="40"/>
              <w:jc w:val="right"/>
              <w:rPr>
                <w:rFonts w:ascii="Arial" w:hAnsi="Arial" w:cs="Arial"/>
                <w:color w:val="auto"/>
                <w:sz w:val="18"/>
                <w:szCs w:val="18"/>
              </w:rPr>
            </w:pPr>
            <w:r>
              <w:rPr>
                <w:rFonts w:ascii="Arial" w:hAnsi="Arial" w:cs="Arial"/>
                <w:color w:val="auto"/>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cs="Arial"/>
                <w:color w:val="auto"/>
                <w:sz w:val="18"/>
                <w:szCs w:val="18"/>
              </w:rPr>
              <w:t>Data sharing is not applicable to this article as no new datawere created or analyzed in this study.</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color w:val="auto"/>
                <w:sz w:val="18"/>
                <w:szCs w:val="18"/>
              </w:rPr>
            </w:pPr>
          </w:p>
        </w:tc>
      </w:tr>
    </w:tbl>
    <w:p>
      <w:pPr>
        <w:pStyle w:val="7"/>
        <w:rPr>
          <w:rFonts w:ascii="Arial" w:hAnsi="Arial" w:cs="Arial"/>
          <w:color w:val="auto"/>
        </w:rPr>
      </w:pPr>
    </w:p>
    <w:p>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bookmarkStart w:id="4" w:name="_GoBack"/>
      <w:bookmarkEnd w:id="4"/>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Lucida Sans">
    <w:altName w:val="Lucida Sans Unicode"/>
    <w:panose1 w:val="020B0602040502020204"/>
    <w:charset w:val="00"/>
    <w:family w:val="swiss"/>
    <w:pitch w:val="default"/>
    <w:sig w:usb0="00000000" w:usb1="00000000" w:usb2="00000008" w:usb3="00000000" w:csb0="000100FF" w:csb1="00000000"/>
  </w:font>
  <w:font w:name="Lucida Sans Unicode">
    <w:panose1 w:val="020B0602030504020204"/>
    <w:charset w:val="00"/>
    <w:family w:val="auto"/>
    <w:pitch w:val="default"/>
    <w:sig w:usb0="80001AFF" w:usb1="0000396B" w:usb2="00000000" w:usb3="00000000" w:csb0="200000BF" w:csb1="D7F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1080"/>
      <w:rPr>
        <w:rFonts w:ascii="Lucida Sans" w:hAnsi="Lucida Sans"/>
        <w:sz w:val="20"/>
        <w:szCs w:val="20"/>
      </w:rPr>
    </w:pPr>
    <w:r>
      <w:rPr>
        <w:rFonts w:ascii="Lucida Sans" w:hAnsi="Lucida Sans"/>
        <w:sz w:val="20"/>
        <w:szCs w:val="20"/>
      </w:rPr>
      <w:pict>
        <v:shape id="_x0000_s1026" o:spid="_x0000_s1026" o:spt="75" type="#_x0000_t75" style="position:absolute;left:0pt;margin-left:-2.55pt;margin-top:-8.8pt;height:33pt;width:36pt;z-index:25165926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WJlNDA0Y2MxNDVmNDJkNDA2MTc2Yjc1YTNiZjAxZWQifQ=="/>
    <w:docVar w:name="KY_MEDREF_DOCUID" w:val="{2511B0F5-D916-43D1-A602-D8CBB6CBCDCF}"/>
    <w:docVar w:name="KY_MEDREF_VERSION" w:val="3"/>
  </w:docVars>
  <w:rsids>
    <w:rsidRoot w:val="00256BAF"/>
    <w:rsid w:val="00002B9A"/>
    <w:rsid w:val="00022512"/>
    <w:rsid w:val="00077B44"/>
    <w:rsid w:val="001011B1"/>
    <w:rsid w:val="00152CDB"/>
    <w:rsid w:val="0018323E"/>
    <w:rsid w:val="00190C83"/>
    <w:rsid w:val="001D3C2E"/>
    <w:rsid w:val="001E6E04"/>
    <w:rsid w:val="001F2F3B"/>
    <w:rsid w:val="002275F3"/>
    <w:rsid w:val="002458D5"/>
    <w:rsid w:val="00246C93"/>
    <w:rsid w:val="00256BAF"/>
    <w:rsid w:val="002A2A06"/>
    <w:rsid w:val="003103C2"/>
    <w:rsid w:val="00343691"/>
    <w:rsid w:val="003516AD"/>
    <w:rsid w:val="00363B8D"/>
    <w:rsid w:val="003760FB"/>
    <w:rsid w:val="003A7EB0"/>
    <w:rsid w:val="003B76A4"/>
    <w:rsid w:val="003B79FF"/>
    <w:rsid w:val="00400A0B"/>
    <w:rsid w:val="004033C1"/>
    <w:rsid w:val="00410AB4"/>
    <w:rsid w:val="00443C1D"/>
    <w:rsid w:val="00461576"/>
    <w:rsid w:val="004828DC"/>
    <w:rsid w:val="004A6FDA"/>
    <w:rsid w:val="004C1685"/>
    <w:rsid w:val="004D6D6B"/>
    <w:rsid w:val="005078EE"/>
    <w:rsid w:val="00536E96"/>
    <w:rsid w:val="00550BF1"/>
    <w:rsid w:val="00554CEE"/>
    <w:rsid w:val="0059028D"/>
    <w:rsid w:val="005979B8"/>
    <w:rsid w:val="005E3028"/>
    <w:rsid w:val="00601BBA"/>
    <w:rsid w:val="0063184A"/>
    <w:rsid w:val="00640172"/>
    <w:rsid w:val="006C2553"/>
    <w:rsid w:val="006E5FE2"/>
    <w:rsid w:val="006F3BA6"/>
    <w:rsid w:val="00726794"/>
    <w:rsid w:val="0077253C"/>
    <w:rsid w:val="007C095B"/>
    <w:rsid w:val="008412D5"/>
    <w:rsid w:val="008A3EAE"/>
    <w:rsid w:val="008E2C91"/>
    <w:rsid w:val="00930A31"/>
    <w:rsid w:val="00947707"/>
    <w:rsid w:val="00963636"/>
    <w:rsid w:val="009827E5"/>
    <w:rsid w:val="009B460C"/>
    <w:rsid w:val="00A041FD"/>
    <w:rsid w:val="00A215D2"/>
    <w:rsid w:val="00A66F83"/>
    <w:rsid w:val="00A86593"/>
    <w:rsid w:val="00AB79CE"/>
    <w:rsid w:val="00AE4BBD"/>
    <w:rsid w:val="00B46E39"/>
    <w:rsid w:val="00B51910"/>
    <w:rsid w:val="00B730D1"/>
    <w:rsid w:val="00C22710"/>
    <w:rsid w:val="00C53795"/>
    <w:rsid w:val="00C90790"/>
    <w:rsid w:val="00CA12B2"/>
    <w:rsid w:val="00CA7758"/>
    <w:rsid w:val="00D30683"/>
    <w:rsid w:val="00D95D84"/>
    <w:rsid w:val="00DC4F19"/>
    <w:rsid w:val="00E123A4"/>
    <w:rsid w:val="00E3186D"/>
    <w:rsid w:val="00E324A8"/>
    <w:rsid w:val="00E505C2"/>
    <w:rsid w:val="00E66E3A"/>
    <w:rsid w:val="00EB610E"/>
    <w:rsid w:val="00F25203"/>
    <w:rsid w:val="00F67C14"/>
    <w:rsid w:val="00FB3483"/>
    <w:rsid w:val="104E5AAC"/>
    <w:rsid w:val="563E538D"/>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等线"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等线" w:cs="Calibri"/>
      <w:color w:val="000000"/>
      <w:sz w:val="24"/>
      <w:szCs w:val="24"/>
      <w:lang w:val="en-CA" w:eastAsia="en-CA" w:bidi="ar-SA"/>
    </w:rPr>
  </w:style>
  <w:style w:type="paragraph" w:customStyle="1" w:styleId="8">
    <w:name w:val="CM1"/>
    <w:basedOn w:val="7"/>
    <w:next w:val="7"/>
    <w:uiPriority w:val="0"/>
    <w:rPr>
      <w:rFonts w:cs="Times New Roman"/>
      <w:color w:val="auto"/>
    </w:rPr>
  </w:style>
  <w:style w:type="paragraph" w:customStyle="1" w:styleId="9">
    <w:name w:val="CM2"/>
    <w:basedOn w:val="7"/>
    <w:next w:val="7"/>
    <w:uiPriority w:val="0"/>
    <w:pPr>
      <w:spacing w:after="373"/>
    </w:pPr>
    <w:rPr>
      <w:rFonts w:cs="Times New Roman"/>
      <w:color w:val="auto"/>
    </w:rPr>
  </w:style>
  <w:style w:type="character" w:customStyle="1" w:styleId="10">
    <w:name w:val="Unresolved Mention"/>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1281</Words>
  <Characters>7308</Characters>
  <Lines>60</Lines>
  <Paragraphs>17</Paragraphs>
  <TotalTime>3</TotalTime>
  <ScaleCrop>false</ScaleCrop>
  <LinksUpToDate>false</LinksUpToDate>
  <CharactersWithSpaces>8572</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哦。</cp:lastModifiedBy>
  <cp:lastPrinted>2020-11-24T03:02:00Z</cp:lastPrinted>
  <dcterms:modified xsi:type="dcterms:W3CDTF">2024-04-19T07:49:04Z</dcterms:modified>
  <dc:title>Microsoft Word - PRISMA 2009 Checklist.doc</dc:title>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FB29375B5F7A4E4C92E99B3B59261823_12</vt:lpwstr>
  </property>
</Properties>
</file>