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69" w:rsidRDefault="009E304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649B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Tables and Figures BMC Infectious Diseases </w:t>
      </w:r>
      <w:r w:rsidR="00CB5F25" w:rsidRPr="00CB5F25">
        <w:rPr>
          <w:rFonts w:ascii="Times New Roman" w:hAnsi="Times New Roman" w:cs="Times New Roman"/>
          <w:b/>
          <w:sz w:val="24"/>
          <w:szCs w:val="24"/>
        </w:rPr>
        <w:t xml:space="preserve">Submission </w:t>
      </w:r>
      <w:bookmarkStart w:id="0" w:name="_GoBack"/>
      <w:r w:rsidR="00CB5F25" w:rsidRPr="00CB5F25">
        <w:rPr>
          <w:rFonts w:ascii="Times New Roman" w:hAnsi="Times New Roman" w:cs="Times New Roman"/>
          <w:b/>
          <w:sz w:val="24"/>
          <w:szCs w:val="24"/>
        </w:rPr>
        <w:t>ID b2a0cfe3-a132-48ac-bd43-00023ae47af0</w:t>
      </w:r>
    </w:p>
    <w:bookmarkEnd w:id="0"/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649B9">
        <w:rPr>
          <w:rFonts w:ascii="Times New Roman" w:eastAsia="Calibri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4A994AA" wp14:editId="18B90E9C">
            <wp:extent cx="5943600" cy="27051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9B9" w:rsidRPr="006649B9" w:rsidRDefault="006649B9" w:rsidP="006649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49B9">
        <w:rPr>
          <w:rFonts w:ascii="Times New Roman" w:hAnsi="Times New Roman" w:cs="Times New Roman"/>
          <w:b/>
          <w:bCs/>
          <w:sz w:val="24"/>
          <w:szCs w:val="24"/>
        </w:rPr>
        <w:t>Figure 1: Distribution of Complete and Incomplete Data Across Variables, Cases, and Individual Values in the Study Dataset</w:t>
      </w:r>
    </w:p>
    <w:tbl>
      <w:tblPr>
        <w:tblW w:w="9711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0"/>
        <w:gridCol w:w="1362"/>
        <w:gridCol w:w="1361"/>
        <w:gridCol w:w="1361"/>
        <w:gridCol w:w="1361"/>
        <w:gridCol w:w="1606"/>
      </w:tblGrid>
      <w:tr w:rsidR="006649B9" w:rsidRPr="006649B9" w:rsidTr="006649B9">
        <w:trPr>
          <w:cantSplit/>
        </w:trPr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6649B9" w:rsidRDefault="006649B9" w:rsidP="006649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49B9" w:rsidRPr="00CE08AF" w:rsidTr="006649B9">
        <w:trPr>
          <w:cantSplit/>
        </w:trPr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6649B9" w:rsidRDefault="006649B9" w:rsidP="006649B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49B9" w:rsidRPr="006649B9" w:rsidRDefault="006649B9" w:rsidP="006649B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49B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Table 1: summary of missing independent variables</w:t>
            </w:r>
          </w:p>
        </w:tc>
      </w:tr>
      <w:tr w:rsidR="006649B9" w:rsidRPr="00CE08AF" w:rsidTr="006649B9">
        <w:trPr>
          <w:cantSplit/>
        </w:trPr>
        <w:tc>
          <w:tcPr>
            <w:tcW w:w="266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27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Missing</w:t>
            </w:r>
          </w:p>
        </w:tc>
        <w:tc>
          <w:tcPr>
            <w:tcW w:w="13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Valid N</w:t>
            </w:r>
          </w:p>
        </w:tc>
        <w:tc>
          <w:tcPr>
            <w:tcW w:w="13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Mean</w:t>
            </w:r>
          </w:p>
        </w:tc>
        <w:tc>
          <w:tcPr>
            <w:tcW w:w="16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Std. Deviation</w:t>
            </w:r>
          </w:p>
        </w:tc>
      </w:tr>
      <w:tr w:rsidR="006649B9" w:rsidRPr="00CE08AF" w:rsidTr="006649B9">
        <w:trPr>
          <w:cantSplit/>
        </w:trPr>
        <w:tc>
          <w:tcPr>
            <w:tcW w:w="2660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N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vAlign w:val="bottom"/>
          </w:tcPr>
          <w:p w:rsidR="006649B9" w:rsidRPr="00F9511E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F9511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Percent</w:t>
            </w:r>
          </w:p>
        </w:tc>
        <w:tc>
          <w:tcPr>
            <w:tcW w:w="136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6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60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6649B9" w:rsidRPr="00CE08AF" w:rsidTr="006649B9">
        <w:trPr>
          <w:cantSplit/>
        </w:trPr>
        <w:tc>
          <w:tcPr>
            <w:tcW w:w="2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WHO Clinical stages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406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37.6%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673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</w:tr>
      <w:tr w:rsidR="006649B9" w:rsidRPr="00CE08AF" w:rsidTr="006649B9">
        <w:trPr>
          <w:cantSplit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Age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32.3%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730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38.83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10.221</w:t>
            </w:r>
          </w:p>
        </w:tc>
      </w:tr>
      <w:tr w:rsidR="006649B9" w:rsidRPr="00CE08AF" w:rsidTr="006649B9">
        <w:trPr>
          <w:cantSplit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Gender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32.2%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732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</w:tr>
      <w:tr w:rsidR="006649B9" w:rsidRPr="00CE08AF" w:rsidTr="006649B9">
        <w:trPr>
          <w:cantSplit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CD4 Counts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8.7%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985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573.0579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333.26694</w:t>
            </w:r>
          </w:p>
        </w:tc>
      </w:tr>
      <w:tr w:rsidR="006649B9" w:rsidRPr="00CE08AF" w:rsidTr="006649B9">
        <w:trPr>
          <w:cantSplit/>
        </w:trPr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ART regimens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5.7%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08AF">
              <w:rPr>
                <w:rFonts w:ascii="Times New Roman" w:hAnsi="Times New Roman" w:cs="Times New Roman"/>
                <w:color w:val="000000"/>
                <w:kern w:val="0"/>
              </w:rPr>
              <w:t>1017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6649B9" w:rsidRPr="00CE08AF" w:rsidRDefault="006649B9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</w:tr>
    </w:tbl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649B9">
        <w:rPr>
          <w:rFonts w:ascii="Times New Roman" w:eastAsia="Calibri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6CDD1B5E" wp14:editId="796FE473">
            <wp:extent cx="5696532" cy="384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" r="1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249" cy="38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9B9" w:rsidRDefault="006649B9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2: </w:t>
      </w:r>
      <w:proofErr w:type="spellStart"/>
      <w:r w:rsidR="0027195C">
        <w:rPr>
          <w:rFonts w:ascii="Times New Roman" w:hAnsi="Times New Roman" w:cs="Times New Roman"/>
          <w:b/>
          <w:sz w:val="24"/>
          <w:szCs w:val="24"/>
          <w:lang w:val="en-GB"/>
        </w:rPr>
        <w:t>missingness</w:t>
      </w:r>
      <w:proofErr w:type="spellEnd"/>
      <w:r w:rsidR="0027195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pattern</w:t>
      </w:r>
    </w:p>
    <w:p w:rsidR="00C37B5B" w:rsidRDefault="00C37B5B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</w:p>
    <w:p w:rsidR="006E343D" w:rsidRDefault="00DB2F16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  <w:r w:rsidRPr="00DB2F16">
        <w:rPr>
          <w:rFonts w:ascii="Calibri" w:eastAsia="Calibri" w:hAnsi="Calibri" w:cs="Times New Roman"/>
          <w:noProof/>
          <w:sz w:val="24"/>
          <w:szCs w:val="24"/>
        </w:rPr>
        <w:lastRenderedPageBreak/>
        <w:drawing>
          <wp:inline distT="0" distB="0" distL="0" distR="0" wp14:anchorId="5AF94368" wp14:editId="279BDD07">
            <wp:extent cx="4183166" cy="3861897"/>
            <wp:effectExtent l="0" t="0" r="8255" b="5715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67" r="3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095" cy="389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F16" w:rsidRDefault="00DB2F16" w:rsidP="00DB2F16">
      <w:pPr>
        <w:spacing w:after="0" w:line="360" w:lineRule="auto"/>
        <w:jc w:val="center"/>
        <w:rPr>
          <w:rFonts w:ascii="Times New Roman" w:hAnsi="Times New Roman" w:cs="Times New Roman"/>
          <w:b/>
          <w:noProof/>
        </w:rPr>
      </w:pPr>
      <w:r w:rsidRPr="00D9204C">
        <w:rPr>
          <w:rFonts w:ascii="Times New Roman" w:hAnsi="Times New Roman" w:cs="Times New Roman"/>
          <w:b/>
          <w:noProof/>
        </w:rPr>
        <w:t>Figure 3: distribution of weighting before and after IPTW</w:t>
      </w:r>
    </w:p>
    <w:p w:rsidR="005C4DEC" w:rsidRPr="00D9204C" w:rsidRDefault="005C4DEC" w:rsidP="00DB2F16">
      <w:pPr>
        <w:spacing w:after="0" w:line="360" w:lineRule="auto"/>
        <w:jc w:val="center"/>
        <w:rPr>
          <w:rFonts w:ascii="Times New Roman" w:hAnsi="Times New Roman" w:cs="Times New Roman"/>
          <w:b/>
          <w:noProof/>
        </w:rPr>
      </w:pPr>
    </w:p>
    <w:p w:rsidR="00DB2F16" w:rsidRDefault="005C4DEC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  <w:r>
        <w:rPr>
          <w:rFonts w:ascii="Times New Roman" w:eastAsiaTheme="majorEastAsia" w:hAnsi="Times New Roman" w:cs="Times New Roman"/>
          <w:b/>
          <w:bCs/>
          <w:sz w:val="24"/>
          <w:lang w:val="en-GB"/>
        </w:rPr>
        <w:t xml:space="preserve">Table 2: distribution of weighting </w:t>
      </w:r>
      <w:r w:rsidR="003C12B2">
        <w:rPr>
          <w:rFonts w:ascii="Times New Roman" w:eastAsiaTheme="majorEastAsia" w:hAnsi="Times New Roman" w:cs="Times New Roman"/>
          <w:b/>
          <w:bCs/>
          <w:sz w:val="24"/>
          <w:lang w:val="en-GB"/>
        </w:rPr>
        <w:t xml:space="preserve">variable for ART naïve cohort </w:t>
      </w:r>
    </w:p>
    <w:tbl>
      <w:tblPr>
        <w:tblW w:w="521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2"/>
        <w:gridCol w:w="1304"/>
        <w:gridCol w:w="1009"/>
        <w:gridCol w:w="1381"/>
      </w:tblGrid>
      <w:tr w:rsidR="005C4DEC" w:rsidRPr="003E3B98" w:rsidTr="004F68DC">
        <w:trPr>
          <w:cantSplit/>
          <w:jc w:val="center"/>
        </w:trPr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</w:rPr>
              <w:t>Statistics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  <w:shd w:val="clear" w:color="auto" w:fill="FFFFFF"/>
              </w:rPr>
              <w:t>Weight</w:t>
            </w:r>
            <w:r>
              <w:rPr>
                <w:rFonts w:ascii="Times New Roman" w:hAnsi="Times New Roman" w:cs="Times New Roman"/>
                <w:color w:val="000000"/>
                <w:kern w:val="0"/>
                <w:shd w:val="clear" w:color="auto" w:fill="FFFFFF"/>
              </w:rPr>
              <w:t xml:space="preserve"> </w:t>
            </w:r>
            <w:r w:rsidRPr="003E3B98">
              <w:rPr>
                <w:rFonts w:ascii="Times New Roman" w:hAnsi="Times New Roman" w:cs="Times New Roman"/>
                <w:color w:val="000000"/>
                <w:kern w:val="0"/>
                <w:shd w:val="clear" w:color="auto" w:fill="FFFFFF"/>
              </w:rPr>
              <w:t>ATE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New to TLE</w:t>
            </w:r>
          </w:p>
        </w:tc>
        <w:tc>
          <w:tcPr>
            <w:tcW w:w="130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Missing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0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Median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.5311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Percentiles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.3540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.5311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.9433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New to TLD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Missing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0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Median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.8979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Percentiles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.8175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.8979</w:t>
            </w:r>
          </w:p>
        </w:tc>
      </w:tr>
      <w:tr w:rsidR="005C4DEC" w:rsidRPr="003E3B98" w:rsidTr="004F68DC">
        <w:trPr>
          <w:cantSplit/>
          <w:jc w:val="center"/>
        </w:trPr>
        <w:tc>
          <w:tcPr>
            <w:tcW w:w="15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5C4DEC" w:rsidRPr="003E3B98" w:rsidRDefault="005C4DEC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3B98">
              <w:rPr>
                <w:rFonts w:ascii="Times New Roman" w:hAnsi="Times New Roman" w:cs="Times New Roman"/>
                <w:color w:val="000000"/>
                <w:kern w:val="0"/>
              </w:rPr>
              <w:t>.9916</w:t>
            </w:r>
          </w:p>
        </w:tc>
      </w:tr>
    </w:tbl>
    <w:p w:rsidR="005C4DEC" w:rsidRDefault="005C4DEC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</w:p>
    <w:p w:rsidR="00DB2F16" w:rsidRDefault="003C12B2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  <w:r>
        <w:rPr>
          <w:rFonts w:ascii="Times New Roman" w:eastAsiaTheme="majorEastAsia" w:hAnsi="Times New Roman" w:cs="Times New Roman"/>
          <w:b/>
          <w:bCs/>
          <w:sz w:val="24"/>
          <w:lang w:val="en-GB"/>
        </w:rPr>
        <w:lastRenderedPageBreak/>
        <w:t xml:space="preserve">Table 3: distribution of weighting variable for ART experienced </w:t>
      </w:r>
    </w:p>
    <w:tbl>
      <w:tblPr>
        <w:tblW w:w="57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3"/>
        <w:gridCol w:w="1302"/>
        <w:gridCol w:w="1007"/>
        <w:gridCol w:w="1379"/>
      </w:tblGrid>
      <w:tr w:rsidR="003C12B2" w:rsidRPr="00E42E64" w:rsidTr="004F68DC">
        <w:trPr>
          <w:cantSplit/>
          <w:jc w:val="center"/>
        </w:trPr>
        <w:tc>
          <w:tcPr>
            <w:tcW w:w="5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i/>
                <w:iCs/>
                <w:color w:val="000000"/>
                <w:kern w:val="0"/>
              </w:rPr>
              <w:t>Statistics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5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hd w:val="clear" w:color="auto" w:fill="FFFFFF"/>
              </w:rPr>
              <w:t>Weight ATE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Changed to TLD</w:t>
            </w:r>
          </w:p>
        </w:tc>
        <w:tc>
          <w:tcPr>
            <w:tcW w:w="130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Missing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0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Median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.6906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Percentiles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.5180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.6906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1.0431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Continue with TLE</w:t>
            </w: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Missing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0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Median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.8181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Percentiles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.7648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.8181</w:t>
            </w:r>
          </w:p>
        </w:tc>
      </w:tr>
      <w:tr w:rsidR="003C12B2" w:rsidRPr="00E42E64" w:rsidTr="004F68DC">
        <w:trPr>
          <w:cantSplit/>
          <w:jc w:val="center"/>
        </w:trPr>
        <w:tc>
          <w:tcPr>
            <w:tcW w:w="20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30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C12B2" w:rsidRPr="00E42E64" w:rsidRDefault="003C12B2" w:rsidP="004F68D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42E64">
              <w:rPr>
                <w:rFonts w:ascii="Times New Roman" w:hAnsi="Times New Roman" w:cs="Times New Roman"/>
                <w:color w:val="000000"/>
                <w:kern w:val="0"/>
              </w:rPr>
              <w:t>1.0849</w:t>
            </w:r>
          </w:p>
        </w:tc>
      </w:tr>
    </w:tbl>
    <w:p w:rsidR="003C12B2" w:rsidRPr="00C37B5B" w:rsidRDefault="003C12B2" w:rsidP="006E343D">
      <w:pPr>
        <w:rPr>
          <w:rFonts w:ascii="Times New Roman" w:eastAsiaTheme="majorEastAsia" w:hAnsi="Times New Roman" w:cs="Times New Roman"/>
          <w:b/>
          <w:bCs/>
          <w:sz w:val="24"/>
          <w:lang w:val="en-GB"/>
        </w:rPr>
      </w:pPr>
    </w:p>
    <w:sectPr w:rsidR="003C12B2" w:rsidRPr="00C37B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41"/>
    <w:rsid w:val="0027195C"/>
    <w:rsid w:val="003C12B2"/>
    <w:rsid w:val="005C4DEC"/>
    <w:rsid w:val="006649B9"/>
    <w:rsid w:val="006E343D"/>
    <w:rsid w:val="00861CFB"/>
    <w:rsid w:val="009425E3"/>
    <w:rsid w:val="009E3041"/>
    <w:rsid w:val="00AB65B2"/>
    <w:rsid w:val="00B31466"/>
    <w:rsid w:val="00C37B5B"/>
    <w:rsid w:val="00CB5F25"/>
    <w:rsid w:val="00DB2F16"/>
    <w:rsid w:val="00E7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83CB6-8BD9-4120-B6DE-C080571F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3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2025-10-18T08:10:00Z</dcterms:created>
  <dcterms:modified xsi:type="dcterms:W3CDTF">2025-10-18T08:10:00Z</dcterms:modified>
</cp:coreProperties>
</file>