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B41D7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Bold" w:cs="Times New Roman"/>
          <w:b/>
          <w:bCs/>
          <w:sz w:val="28"/>
          <w:szCs w:val="28"/>
          <w:lang w:bidi="ar"/>
        </w:rPr>
        <w:t>Supplementary Table 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/>
          <w:lang w:eastAsia="zh-CN" w:bidi="ar"/>
          <w14:textFill>
            <w14:solidFill>
              <w14:schemeClr w14:val="tx1"/>
            </w14:solidFill>
          </w14:textFill>
        </w:rPr>
        <w:t>：Table of Invasive Fungal Disease and Bacterial Infection Sites</w:t>
      </w:r>
    </w:p>
    <w:tbl>
      <w:tblPr>
        <w:tblStyle w:val="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5"/>
        <w:gridCol w:w="1770"/>
        <w:gridCol w:w="3257"/>
      </w:tblGrid>
      <w:tr w14:paraId="69A93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495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BF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Infection site</w:t>
            </w:r>
          </w:p>
        </w:tc>
        <w:tc>
          <w:tcPr>
            <w:tcW w:w="1770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6B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 xml:space="preserve">IFD group </w:t>
            </w:r>
          </w:p>
          <w:p w14:paraId="09240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(n = 140)</w:t>
            </w:r>
          </w:p>
        </w:tc>
        <w:tc>
          <w:tcPr>
            <w:tcW w:w="3257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63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 xml:space="preserve">Bacterial infection group </w:t>
            </w:r>
          </w:p>
          <w:p w14:paraId="0CB8B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(n = 158)</w:t>
            </w:r>
          </w:p>
        </w:tc>
      </w:tr>
      <w:tr w14:paraId="5648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BED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Pneumonia</w:t>
            </w:r>
          </w:p>
        </w:tc>
        <w:tc>
          <w:tcPr>
            <w:tcW w:w="1770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76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257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10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</w:tr>
      <w:tr w14:paraId="3276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1B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Nervous system infection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69E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B7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141F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DF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Bloodstream infection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AC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43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BCFD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5C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Urinary tract infection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F9EC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58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8987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59D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abdominal infection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29E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180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55AB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3C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Sinusitis / otitis media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01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60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119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81D5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Other localized infections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4347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6F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F4D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5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1C2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1770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E5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257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98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</w:tr>
    </w:tbl>
    <w:p w14:paraId="7C776FCD">
      <w:pPr>
        <w:pStyle w:val="2"/>
        <w:ind w:left="0" w:leftChars="0" w:firstLine="0" w:firstLineChars="0"/>
        <w:rPr>
          <w:rFonts w:hint="eastAsia" w:ascii="Bold" w:hAnsi="Bold" w:eastAsia="Bold" w:cs="Bold"/>
          <w:b/>
          <w:bCs/>
          <w:lang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 w:themeColor="dark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dk1"/>
            </w14:solidFill>
          </w14:textFill>
        </w:rPr>
        <w:t>IFD：</w:t>
      </w:r>
      <w:r>
        <w:rPr>
          <w:rFonts w:hint="eastAsia" w:ascii="Times New Roman Regular" w:hAnsi="Times New Roman Regular"/>
        </w:rPr>
        <w:t>invasive fungal disease</w:t>
      </w:r>
    </w:p>
    <w:p w14:paraId="15171A40">
      <w:pPr>
        <w:pStyle w:val="2"/>
        <w:ind w:left="0" w:firstLine="0" w:firstLineChars="0"/>
        <w:rPr>
          <w:rFonts w:hint="default" w:ascii="Times New Roman" w:hAnsi="Times New Roman" w:cs="Times New Roman"/>
          <w:sz w:val="28"/>
          <w:szCs w:val="28"/>
          <w:lang w:bidi="ar"/>
        </w:rPr>
      </w:pPr>
      <w:r>
        <w:rPr>
          <w:rFonts w:hint="default" w:ascii="Times New Roman" w:hAnsi="Times New Roman" w:eastAsia="Bold" w:cs="Times New Roman"/>
          <w:b/>
          <w:bCs/>
          <w:sz w:val="28"/>
          <w:szCs w:val="28"/>
          <w:lang w:bidi="ar"/>
        </w:rPr>
        <w:t xml:space="preserve">Supplementary Table 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cs="Times New Roman"/>
          <w:sz w:val="28"/>
          <w:szCs w:val="28"/>
          <w:lang w:bidi="ar"/>
        </w:rPr>
        <w:t>: Clinical and pathogen characteristics.</w:t>
      </w:r>
    </w:p>
    <w:tbl>
      <w:tblPr>
        <w:tblStyle w:val="5"/>
        <w:tblpPr w:leftFromText="180" w:rightFromText="180" w:vertAnchor="text" w:horzAnchor="page" w:tblpX="1797" w:tblpY="318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4"/>
        <w:gridCol w:w="1268"/>
        <w:gridCol w:w="1729"/>
        <w:gridCol w:w="1448"/>
        <w:gridCol w:w="843"/>
      </w:tblGrid>
      <w:tr w14:paraId="50B90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2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80E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2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30E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  <w:p w14:paraId="1C340B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 = 298)</w:t>
            </w:r>
          </w:p>
        </w:tc>
        <w:tc>
          <w:tcPr>
            <w:tcW w:w="172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63D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Style w:val="19"/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 w:bidi="ar"/>
              </w:rPr>
            </w:pPr>
            <w:r>
              <w:rPr>
                <w:rStyle w:val="19"/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 w:bidi="ar"/>
              </w:rPr>
              <w:t>bacterial infection</w:t>
            </w:r>
          </w:p>
          <w:p w14:paraId="2922A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20"/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 w:bidi="ar"/>
              </w:rPr>
              <w:t>n = 158</w:t>
            </w:r>
            <w:r>
              <w:rPr>
                <w:rStyle w:val="20"/>
                <w:rFonts w:hint="default" w:ascii="Times New Roman" w:hAnsi="Times New Roman" w:eastAsia="宋体" w:cs="Times New Roman"/>
                <w:b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44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19E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IFD(n = 140)</w:t>
            </w:r>
          </w:p>
        </w:tc>
        <w:tc>
          <w:tcPr>
            <w:tcW w:w="8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AD8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49D72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CA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F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162 (54.36) 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9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 ( 57.59) 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E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 (50.71) 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B22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0.234</w:t>
            </w:r>
          </w:p>
        </w:tc>
      </w:tr>
      <w:tr w14:paraId="6AAA8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EB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Smoking,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13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102 (34.23)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B7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 ( 35.44)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ED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 (32.86)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4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</w:t>
            </w:r>
          </w:p>
        </w:tc>
      </w:tr>
      <w:tr w14:paraId="56A36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57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Relapse,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67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(10.74)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37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(  5.70)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B2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(16.43)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36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 w14:paraId="700F3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5F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FISH cytogenetic abnormality,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09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220 (73.83)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56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115 ( 72.78)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A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105 (75.00)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3D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</w:t>
            </w:r>
          </w:p>
        </w:tc>
      </w:tr>
      <w:tr w14:paraId="7A8CC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C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mSMART criteria,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50EA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5E96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D01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81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</w:t>
            </w:r>
          </w:p>
        </w:tc>
      </w:tr>
      <w:tr w14:paraId="42890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9D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standard-risk subgroups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6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 (34.90)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5E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53 ( 33.54)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C5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51 (36.43)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91BF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C14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06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high-risk subgroup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D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194 (65.10)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11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105 ( 66.46)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25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 (63.57)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B2E8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799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4A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 ISS stage,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8778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3FB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3CE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59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</w:tr>
      <w:tr w14:paraId="588CA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BD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16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( 5.70)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9F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(  6.96)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6E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C7E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7E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0C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F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221 (74.16)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E0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123 ( 77.85)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C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98 (70.00)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E4C3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7F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14F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B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 (20.13)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B4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( 15.19)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06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 (25.71)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9812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F7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D17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ISS stage,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825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7A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0575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EE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</w:tr>
      <w:tr w14:paraId="246D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F0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42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( 8.39)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4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(  8.86)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A1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( 7.86)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06A7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2D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51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05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108 (36.24)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E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68 ( 43.04)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15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(28.57)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714B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802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1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1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165 (55.37)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C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 ( 48.10)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BF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 (63.57)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271D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770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01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Durie Salmon stage,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8A8C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1E6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9FA7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5A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</w:tr>
      <w:tr w14:paraId="2FA2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7F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F4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( 3.36)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E8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(  3.16)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05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( 3.57)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B3F0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24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31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Ⅱ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50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(13.09)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90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 ( 17.72)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13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( 7.86)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1B23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F5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5E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Ⅲ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9C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249 (83.56)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A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125 ( 79.11)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7A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124 (88.57)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4A92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4D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E4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subtype,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72B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9C2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618B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EB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0.308</w:t>
            </w:r>
          </w:p>
        </w:tc>
      </w:tr>
      <w:tr w14:paraId="2792A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1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50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192 (64.43)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B5D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106 ( 67.09)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D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 (61.43)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686C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774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EC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FD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106 (35.57)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03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( 32.91)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D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54 (38.57)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752A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F2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1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Myeloma type,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1C7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417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42B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72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7D4D5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34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2F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 (20.81)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A3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 ( 25.95)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A1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(15.00)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86C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32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2A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IgG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AE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156 (52.35)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4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66 ( 41.77)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5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90 (64.29)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975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F5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C4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32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( 0.34)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62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  0.63)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F2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( 0.00)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CF3E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2D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CF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Light chain disease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AE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 (24.50)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9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 ( 28.48)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63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 (20.00)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58A1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895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02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Others</w:t>
            </w:r>
            <w:r>
              <w:rPr>
                <w:rStyle w:val="20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Asecretory</w:t>
            </w:r>
            <w:r>
              <w:rPr>
                <w:rStyle w:val="20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5E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( 2.01)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0CE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(  3.16)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14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( 0.71)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9D0F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F4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0F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ECOG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599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CDC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ABC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16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EEDC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6F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7E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54 (18.12)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B8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( 31.65)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63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( 2.86)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A60C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FD5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BC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2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133 (44.63)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EA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 ( 52.53)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7C8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(35.71)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DF72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DC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33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3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(23.49)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21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( 15.19)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37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 (32.86)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A00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BD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82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04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( 8.05)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32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 0.00)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C3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(17.14)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F90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A34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85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0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( 5.70)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F2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  0.63)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1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(11.43)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424E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889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26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2F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103 (34.56)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37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( 25.32)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E2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63 (45.00)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73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9C3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14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Renal impairment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46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85 (28.52)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9D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 ( 20.89)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21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(37.14)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FC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519D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7E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pulmonary disease,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AB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 (13.76)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B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( 10.13)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5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(17.86)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7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</w:tr>
      <w:tr w14:paraId="1C05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0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0E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 (19.13)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D8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( 11.39)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49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(27.86)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35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00D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09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 mellitus,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A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 (14.77)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09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( 12.03)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5F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(17.86)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B1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0.157</w:t>
            </w:r>
          </w:p>
        </w:tc>
      </w:tr>
      <w:tr w14:paraId="5C888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B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Hepatitis or Liver cirrhosis,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7A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(10.74)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41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(  8.23)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01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(13.57)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18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</w:t>
            </w:r>
          </w:p>
        </w:tc>
      </w:tr>
      <w:tr w14:paraId="779AF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64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Endotoxic shock,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54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( 8.05)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F6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(  0.63)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F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(16.43)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23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E6C0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1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Stay in ICU during hospitalization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FD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( 7.05)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8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 0.00)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37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(15.00)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2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9E8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7A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Hemodialysis or plasma exchange or blood purification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5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 ( 9.40)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F0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(  7.59)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52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(11.43)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C5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0.258</w:t>
            </w:r>
          </w:p>
        </w:tc>
      </w:tr>
      <w:tr w14:paraId="6B8A5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4F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UC,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CB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 (11.74)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A7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 3.80)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E8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(20.71)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E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25FA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26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Gastric tube or Ductus nasobile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4B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( 6.38)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2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(  1.27)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5D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(12.14)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FB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3368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C6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CVC (%),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6B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(23.49)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1D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( 12.66)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47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(35.71)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36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CDD0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90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Drainage catheter,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F8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( 3.69)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2E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(  1.90)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D5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( 5.71)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FF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</w:t>
            </w:r>
          </w:p>
        </w:tc>
      </w:tr>
      <w:tr w14:paraId="621B3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E8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Invasive mechanical ventilation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84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( 5.70)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2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 0.00)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11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(12.14)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85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1691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9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mask or nasal oxygen inhalation,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6B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170 (57.05)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E4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 ( 36.08)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56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 (80.71)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0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1B3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6B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Prior antibiotic therapy in previous month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43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176 (59.06)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22D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 ( 28.48)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11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 (93.57)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3E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6FDF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1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Combination of antibiotics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79A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DFD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63FF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EA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6C7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CB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Combined use of 1 antibiotic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55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109 (36.58)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A9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 ( 24.05)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D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 (50.71)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818A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F3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34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Combined use of 2 antibiotic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E0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 (19.13)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74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(  4.43)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6C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 (35.71)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FA71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C1C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60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Combined use of 3 antibiotic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8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( 3.36)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B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 0.00)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57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( 7.14)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10D2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D1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36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 combination of antibiotics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B4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122 (40.94)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46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 ( 71.52)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AC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( 6.43)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6076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0B7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1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Long term and combined use of multiple antibiotics,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BE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( 6.71)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B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 0.00)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85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(14.29)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2C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B895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2C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 regimen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45D4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5352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4875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46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4BCDC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58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mAb-based (any regimen containing a mAb ± other agents)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509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( 5.70)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4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(  2.53)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1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( 9.29)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D19D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BBB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FA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IMiD plus PI (± dexamethasone)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C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 (25.84)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BE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( 24.68)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A3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 (27.14)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A9B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331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D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IMiD-based (IMiD ± dexamethasone)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45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( 4.03)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CB9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(  2.53)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DE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( 5.71)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2782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DA1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19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PI-based regimens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27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 (27.85)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56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 ( 27.85)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8E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(27.86)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8833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DB2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AE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Chemotherapy (DCEP, VDT-</w:t>
            </w:r>
            <w:r>
              <w:rPr>
                <w:rStyle w:val="22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softHyphen/>
            </w:r>
            <w:r>
              <w:rPr>
                <w:rStyle w:val="23"/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"/>
              </w:rPr>
              <w:t>PACE, CHOP)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2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 (12.42)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CD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(  9.49)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F4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 (15.71)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D3CA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49E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5B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 chemotherapy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DA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72 (24.16)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9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 ( 32.91)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AC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(14.29)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1325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E6C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2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Disease status,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05E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9A9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1DE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9E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1B5D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5B2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Progressive/refractory disease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F5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 (22.48)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B2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( 12.03)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A5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 (34.29)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9225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47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D6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or complete response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9A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66 (22.15)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3C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 ( 24.68)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B1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(19.29)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B2CB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705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09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Stable disease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2E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(10.07)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BA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(  8.23)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2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(12.14)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2908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970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6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Newly diagnosed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0E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109 (36.58)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22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 ( 46.20)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0A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 (25.71)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21E0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408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2C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Others(The patients received myeloma treatment but the response had not yet been evaluated)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FF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 ( 8.72)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8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(  8.86)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C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( 8.57)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7F40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3E1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5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Progressive disease,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AC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66 (22.15)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4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( 11.39)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F6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48 (34.29)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54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2373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2D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parenteral nutrition,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57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(10.07)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D1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(  2.53)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A4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 (18.57)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58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BDD4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E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Recent surgery within 2 weeks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6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( 6.04)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CD5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 3.80)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F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( 8.57)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FB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</w:t>
            </w:r>
          </w:p>
        </w:tc>
      </w:tr>
      <w:tr w14:paraId="5DC1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90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dose steroid,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F1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119 (39.93)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FF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 ( 37.34)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59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 (42.86)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D6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0.332</w:t>
            </w:r>
          </w:p>
        </w:tc>
      </w:tr>
      <w:tr w14:paraId="4DFEA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18B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Prolonged use of corticosteroids,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B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163 (54.70)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A6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 ( 48.10)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2A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87 (62.14)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24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</w:tr>
      <w:tr w14:paraId="528C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0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stem cell transplant in 30 days,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C1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( 6.04)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7B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(  1.90)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E3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(10.71)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8B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19A98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A5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Stem cell transplant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E86C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93EA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2B88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8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CBA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7E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Auto-SCT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1B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( 9.73)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7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 3.80)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5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(16.43)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61F8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3B2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E9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AlloHCT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C1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( 2.01)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0D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 (  0.00)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C1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( 4.29)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289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3F1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7B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01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263 (88.26)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2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152 ( 96.20)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B08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111 (79.29)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CDD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177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1A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Extramedullary infiltration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DD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 (25.50)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4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( 17.09)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D6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 (35.00)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C3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D0E8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34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Neutropenia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F9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 (11.74)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441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(  2.53)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13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 (22.14)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D7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81C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88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Prior fungal infection 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58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(13.42)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D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(  1.90)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F3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 (26.43)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56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970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FF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Hypogammaglobulinaemia  , n (%)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B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 (23.49)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7B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 ( 29.11) 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B3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(17.14)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10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</w:tr>
      <w:tr w14:paraId="1DAA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70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 of hospitalizations in 2 years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DA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3.00 [2.00, 6.00]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F4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 [2.00, 4.00]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98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4.50 [2.00, 7.00]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43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A6AE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A9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cycles of treatment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43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 [1.00, 5.00]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E8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[0.00, 3.75]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F9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 [1.00, 7.00]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D0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874C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7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Lines of myeloma therapies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0B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[1.00, 2.00]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8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[0.00, 1.00]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26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 [1.00, 3.00]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E2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F4DF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5A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Duration of neutropenia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E6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 [0.00, 0.00]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64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 [0.00, 0.00]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D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 [0.00, 4.25]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F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68D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19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B2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65.00 [59.00, 70.00]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1D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66.00 [59.00, 70.00]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2D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64.00 [56.00, 71.00]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60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0.526</w:t>
            </w:r>
          </w:p>
        </w:tc>
      </w:tr>
      <w:tr w14:paraId="36DCC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E7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Duration of hospitalisation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6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18.00 [13.00, 27.75]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F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15.00 [11.00, 19.75]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3C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24.50 [17.00, 36.25]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6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2FD3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4E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Cumulative steroid dose 30 days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EE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366.00 [0.00, 933.00]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85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253.00 [0.00, 800.00]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57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400.00 [0.00, 1066.00]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28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</w:tr>
      <w:tr w14:paraId="4F40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15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Cumulative steroid dose 60 days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E4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533.00 [0.00, 1324.75]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46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299.50 [0.00, 1299.75]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F8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583.00 [0.00, 1308.25]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19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</w:tr>
      <w:tr w14:paraId="74593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2E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Weight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C2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57.00 [53.00, 63.88]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F3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58.00 [54.25, 64.88]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6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55.00 [52.00, 62.00]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FA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</w:t>
            </w:r>
          </w:p>
        </w:tc>
      </w:tr>
      <w:tr w14:paraId="6240E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F1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complement C3 (mean (SD))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0D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 (0.23)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394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 (0.23)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90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 (0.24)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6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</w:t>
            </w:r>
          </w:p>
        </w:tc>
      </w:tr>
      <w:tr w14:paraId="4491D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78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complement C4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0C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 [0.13, 0.26]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FF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 [0.14, 0.27]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7C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 [0.11, 0.26]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C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</w:tr>
      <w:tr w14:paraId="45625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2F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Immunoglobulin A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48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 [0.17, 2.17]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74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 [0.25, 6.19]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8D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 [0.14, 0.90]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A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E5FD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FA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Immunoglobulin G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9B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12.20 [5.92, 40.05]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A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9.42 [4.89, 27.61]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B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22.45 [7.35, 48.80]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B1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5341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349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Immunoglobulin M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50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 [0.14, 0.42]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03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 [0.14, 0.45]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61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 [0.14, 0.38]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90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0.269</w:t>
            </w:r>
          </w:p>
        </w:tc>
      </w:tr>
      <w:tr w14:paraId="710C1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08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Plasma cells of the bone marrow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ED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14.00 [3.00, 41.00]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EFC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14.00 [3.00, 39.50]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73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15.75 [3.00, 45.00]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59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0.224</w:t>
            </w:r>
          </w:p>
        </w:tc>
      </w:tr>
      <w:tr w14:paraId="001A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B3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NGF The percentage of plasma cells in all nucleated cells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2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9.92 [1.26, 11.47]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C5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7.61 [1.16, 11.47]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B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11.47 [1.75, 11.47]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29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</w:t>
            </w:r>
          </w:p>
        </w:tc>
      </w:tr>
      <w:tr w14:paraId="642AA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706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CRP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7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77.50 [19.21, 90.00]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08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90.00 [12.22, 90.00]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9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71.96 [25.60, 90.00]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994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0.394</w:t>
            </w:r>
          </w:p>
        </w:tc>
      </w:tr>
      <w:tr w14:paraId="63B97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A9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PCT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2C0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 [0.11, 3.72]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6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2.91 [0.08, 3.72]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DE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 [0.15, 3.68]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B7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0.519</w:t>
            </w:r>
          </w:p>
        </w:tc>
      </w:tr>
      <w:tr w14:paraId="0C5BC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0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total protein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E0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67.00 [58.00, 88.00]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69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67.00 [60.00, 91.50]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3E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68.50 [55.00, 88.00]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5B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0.149</w:t>
            </w:r>
          </w:p>
        </w:tc>
      </w:tr>
      <w:tr w14:paraId="7BB4B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4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albumin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F4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 [28.00, 37.00]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6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36.00 [32.00, 39.00]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D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 [26.00, 34.00]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6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932E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4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globulin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38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33.00 [22.00, 58.00]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50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29.00 [22.00, 58.00]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FD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36.50 [22.00, 57.25]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38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0.446</w:t>
            </w:r>
          </w:p>
        </w:tc>
      </w:tr>
      <w:tr w14:paraId="75B49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2C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Albumin globulin ratio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B6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 [0.55, 1.59]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5C9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[0.60, 1.69]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4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[0.50, 1.36]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A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 w14:paraId="34539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1A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bilirubin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05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9.15 [6.60, 14.00]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4F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8.30 [5.82, 12.07]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B7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9.90 [7.25, 17.02]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1C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2870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DE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Direct bilirubin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21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4.00 [2.80, 6.10]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44E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 [2.52, 5.20]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3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4.40 [3.20, 7.93]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B2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ABB9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46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FC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18.00 [12.00, 30.00]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F3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 [12.25, 25.00]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39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19.00 [12.00, 37.25]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3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</w:tr>
      <w:tr w14:paraId="18879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28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17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21.00 [16.00, 29.00]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AA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 [16.00, 27.00]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0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22.00 [15.00, 31.00]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2E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</w:t>
            </w:r>
          </w:p>
        </w:tc>
      </w:tr>
      <w:tr w14:paraId="28A92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A5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ALP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A5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78.00 [59.00, 105.00]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07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81.00 [64.00, 106.50]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35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75.00 [56.75, 104.00]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2E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0.268</w:t>
            </w:r>
          </w:p>
        </w:tc>
      </w:tr>
      <w:tr w14:paraId="0BEC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A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7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30.00 [16.00, 55.00]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D70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28.50 [16.00, 46.25]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70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33.50 [16.00, 67.50]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E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0.108</w:t>
            </w:r>
          </w:p>
        </w:tc>
      </w:tr>
      <w:tr w14:paraId="1292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C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LDH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3C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224.00 [157.00, 401.75]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23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201.50 [153.00, 344.00]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B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252.50 [172.25, 496.25]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D2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 w14:paraId="6F7E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E4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Cholinesterase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DE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4649.00 [3594.25, 5612.75]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64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5019.00 [4137.00, 6132.75]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BF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4185.50 [2937.00, 4847.75]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0D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04F8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B6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Blood urea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43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6.70 [4.50, 10.20]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80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6.65 [4.82, 9.00]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D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6.80 [4.10, 12.08]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A9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0.921</w:t>
            </w:r>
          </w:p>
        </w:tc>
      </w:tr>
      <w:tr w14:paraId="0320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01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creatinine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BD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81.00 [60.00, 148.75]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D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80.50 [60.00, 145.00]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CB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81.50 [59.00, 158.50]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B8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0.851</w:t>
            </w:r>
          </w:p>
        </w:tc>
      </w:tr>
      <w:tr w14:paraId="24A7A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52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Corrected serum calcium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5B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2.21 [2.12, 2.32]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40A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 [2.17, 2.36]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04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 [2.08, 2.27]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57C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1CDF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84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Urine kappa light chain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75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 [0.02, 1.08]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BB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 [0.02, 0.74]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9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 [0.02, 1.08]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6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</w:t>
            </w:r>
          </w:p>
        </w:tc>
      </w:tr>
      <w:tr w14:paraId="2553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F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Urine lambda light chain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7E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 [0.05, 2.13]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E02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 [0.05, 1.45]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22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 [0.05, 2.13]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85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</w:t>
            </w:r>
          </w:p>
        </w:tc>
      </w:tr>
      <w:tr w14:paraId="0B75D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B0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urine light chain ratio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4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 [0.37, 15.05]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5C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 [0.25, 14.47]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D3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 [0.40, 15.05]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862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</w:tr>
      <w:tr w14:paraId="26BF4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43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kappa light chain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03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6.36 [3.15, 21.42]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40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6.16 [3.38, 21.42]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8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6.61 [2.89, 23.80]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5C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0.725</w:t>
            </w:r>
          </w:p>
        </w:tc>
      </w:tr>
      <w:tr w14:paraId="204A6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45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lambda light chain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8F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4.68 [1.53, 14.76]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A0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 [1.68, 11.40]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A4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5.16 [1.30, 14.76]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4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</w:t>
            </w:r>
          </w:p>
        </w:tc>
      </w:tr>
      <w:tr w14:paraId="09D6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EF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Serum light chain ratio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9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 [0.09, 4.98]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CE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 [0.27, 3.88]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70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 [0.03, 10.49]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C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0.251</w:t>
            </w:r>
          </w:p>
        </w:tc>
      </w:tr>
      <w:tr w14:paraId="3A3B4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E3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WBC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59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4.90 [3.18, 7.12]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F4E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 [3.89, 7.12]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C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4.64 [2.36, 7.04]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FA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</w:tr>
      <w:tr w14:paraId="2C624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7F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Haemoglobin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10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83.00 [70.00, 102.75]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C1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90.00 [75.25, 113.00]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39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77.50 [66.75, 90.00]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82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AD6C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1D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Platelet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F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132.00 [73.25, 200.00]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D6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153.00 [95.75, 207.50]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E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99.50 [57.00, 165.50]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0B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8825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6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Neutrophil percentage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6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63.35 [49.00, 77.00]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B1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63.35 [53.12, 74.27]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F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63.35 [37.27, 79.62]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DEA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0.622</w:t>
            </w:r>
          </w:p>
        </w:tc>
      </w:tr>
      <w:tr w14:paraId="3B256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21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Lymphocyte percentage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55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17.80 [8.93, 27.40]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A4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22.15 [14.20, 30.23]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E1B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11.50 [2.30, 24.55]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2F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D777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AE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Neutrophils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A7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 [1.72, 4.92]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AF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3.18 [2.16, 4.94]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2C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2.80 [0.88, 4.64]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2D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</w:tr>
      <w:tr w14:paraId="0B8A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40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Lymphocytes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BA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 [0.52, 1.47]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0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[0.74, 1.71]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10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 [0.16, 1.21]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F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37FA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A1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INR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FD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 [1.03, 1.24]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01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 [1.00, 1.20]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D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 [1.08, 1.30]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7D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C975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3C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Mb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2F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62.70 [21.00, 96.75]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2F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54.00 [21.00, 96.75]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E3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67.85 [21.17, 96.75]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A4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0.304</w:t>
            </w:r>
          </w:p>
        </w:tc>
      </w:tr>
      <w:tr w14:paraId="7B457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77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CK MB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A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[0.80, 1.77]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F8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 [0.90, 1.77]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A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[0.70, 1.77]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689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0.957</w:t>
            </w:r>
          </w:p>
        </w:tc>
      </w:tr>
      <w:tr w14:paraId="4AE96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1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TnT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FA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 [0.01, 35.88]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C2A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 [0.01, 35.88]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60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 [0.01, 0.31]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7F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0.899</w:t>
            </w:r>
          </w:p>
        </w:tc>
      </w:tr>
      <w:tr w14:paraId="32161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09B2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BNP (median [IQR])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7DB3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3831.13 [478.75, 3831.13]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5F67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3831.13 [288.00, 3831.13]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9FAD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3831.13 [830.25, 3831.13]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0EEE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</w:tr>
    </w:tbl>
    <w:p w14:paraId="20BDA4C4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both"/>
        <w:textAlignment w:val="top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GB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IFD, invasive fungal disease; FISH：Fluorescence in site hybridization；ISS: International Staging System；R-ISS: revised ISS; IgA: Immunoglobulin A; IgG: Immunoglobulin G; IgM: Immunoglobulin M;ECOG: Eastern Cooperative Oncology Group performance; UC: urinary catheter；CVC: Central venous Catheter; mAb , monoclonal antibody; IMiD, immunomodulatory drug; PI：proteasome inhibitor； Allo-SCT: Allogeneic stem cell transplantation；Auto-SCT: Autologous stem cell transplantation CRP:C-Reactive Protein; PCT: Procalcitonin; ALT :Alanine Aminotransferase; AST :Aspartate Aminotransferase ;ALP :Alkaline Phosphatase ; GGT: γ-Glutamyl Transpeptidase; LDH: Lactate Dehydrogenase; WBC: White Blood Cell; INR：International Normalized Ratio；Mb：Myoglobin；CK-MB：Creatine Kinase-MB Isoenzyme；TnT ：Troponin T；BNP：Brain Natriuretic Peptide</w:t>
      </w:r>
    </w:p>
    <w:p w14:paraId="7D4512DC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both"/>
        <w:textAlignment w:val="top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7939F1FD">
      <w:pPr>
        <w:pStyle w:val="2"/>
        <w:ind w:left="0" w:firstLine="0" w:firstLineChars="0"/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 w:bidi="ar"/>
        </w:rPr>
      </w:pPr>
      <w:r>
        <w:rPr>
          <w:rFonts w:hint="default" w:ascii="Times New Roman" w:hAnsi="Times New Roman" w:eastAsia="Bold" w:cs="Times New Roman"/>
          <w:b/>
          <w:bCs/>
          <w:sz w:val="28"/>
          <w:szCs w:val="28"/>
          <w:lang w:bidi="ar"/>
        </w:rPr>
        <w:t>Supplementary Figure 1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eastAsia="zh-CN" w:bidi="ar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eastAsia="zh-CN" w:bidi="ar"/>
        </w:rPr>
        <w:t>Visualization of missing values</w:t>
      </w:r>
    </w:p>
    <w:p w14:paraId="1165E9C3">
      <w:pPr>
        <w:pStyle w:val="2"/>
        <w:ind w:left="0" w:firstLine="0" w:firstLineChars="0"/>
        <w:rPr>
          <w:rFonts w:hint="eastAsia" w:ascii="Bold" w:hAnsi="Bold" w:eastAsia="宋体" w:cs="Bold"/>
          <w:b/>
          <w:bCs/>
          <w:lang w:val="en-GB" w:eastAsia="zh-CN" w:bidi="ar"/>
        </w:rPr>
      </w:pPr>
      <w:r>
        <w:rPr>
          <w:rFonts w:hint="eastAsia" w:ascii="Bold" w:hAnsi="Bold" w:eastAsia="宋体" w:cs="Bold"/>
          <w:b/>
          <w:bCs/>
          <w:lang w:val="en-GB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2066925</wp:posOffset>
            </wp:positionV>
            <wp:extent cx="5269230" cy="3135630"/>
            <wp:effectExtent l="0" t="0" r="7620" b="7620"/>
            <wp:wrapTopAndBottom/>
            <wp:docPr id="2" name="图片 2" descr="缺失值多维度分布组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缺失值多维度分布组合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Bold" w:hAnsi="Bold" w:eastAsia="宋体" w:cs="Bold"/>
          <w:b/>
          <w:bCs/>
          <w:lang w:val="en-GB" w:eastAsia="zh-CN" w:bidi="ar"/>
        </w:rPr>
        <w:drawing>
          <wp:inline distT="0" distB="0" distL="114300" distR="114300">
            <wp:extent cx="5267325" cy="1845945"/>
            <wp:effectExtent l="0" t="0" r="0" b="1905"/>
            <wp:docPr id="1" name="图片 1" descr="缺失值填补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缺失值填补图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2EC82">
      <w:pPr>
        <w:rPr>
          <w:rFonts w:ascii="Times New Roman Regular" w:hAnsi="Times New Roman Regular"/>
        </w:rPr>
      </w:pPr>
    </w:p>
    <w:p w14:paraId="78D2253C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2000019F" w:csb1="4F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l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2C348">
    <w:pPr>
      <w:pStyle w:val="3"/>
      <w:ind w:firstLine="2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A31DC">
    <w:pPr>
      <w:pStyle w:val="3"/>
      <w:ind w:firstLine="2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3DF68">
    <w:pPr>
      <w:pStyle w:val="3"/>
      <w:ind w:firstLine="27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04A1C">
    <w:pPr>
      <w:pStyle w:val="4"/>
      <w:ind w:firstLine="27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50131">
    <w:pPr>
      <w:pStyle w:val="4"/>
      <w:ind w:firstLine="27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C2BA3">
    <w:pPr>
      <w:pStyle w:val="4"/>
      <w:ind w:firstLine="27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Chem Lab M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3F9C0522"/>
    <w:rsid w:val="00074D60"/>
    <w:rsid w:val="002857C0"/>
    <w:rsid w:val="00475090"/>
    <w:rsid w:val="00506A0D"/>
    <w:rsid w:val="005F1F1F"/>
    <w:rsid w:val="00811CDB"/>
    <w:rsid w:val="008906A2"/>
    <w:rsid w:val="00CD052F"/>
    <w:rsid w:val="02C44E0D"/>
    <w:rsid w:val="03922815"/>
    <w:rsid w:val="044C50BA"/>
    <w:rsid w:val="072D2F81"/>
    <w:rsid w:val="084A5DB4"/>
    <w:rsid w:val="08752E31"/>
    <w:rsid w:val="0BB04902"/>
    <w:rsid w:val="0EEE7499"/>
    <w:rsid w:val="105C0433"/>
    <w:rsid w:val="13223BB5"/>
    <w:rsid w:val="1726179A"/>
    <w:rsid w:val="1D345964"/>
    <w:rsid w:val="1D860F8E"/>
    <w:rsid w:val="1FD44489"/>
    <w:rsid w:val="2277734E"/>
    <w:rsid w:val="295959FF"/>
    <w:rsid w:val="2AF459E0"/>
    <w:rsid w:val="2B6C1A1A"/>
    <w:rsid w:val="2C574478"/>
    <w:rsid w:val="2CAC6259"/>
    <w:rsid w:val="300466C5"/>
    <w:rsid w:val="30BD25E8"/>
    <w:rsid w:val="33D04B10"/>
    <w:rsid w:val="34C74165"/>
    <w:rsid w:val="359C114E"/>
    <w:rsid w:val="35FE5964"/>
    <w:rsid w:val="36B6623F"/>
    <w:rsid w:val="3748158D"/>
    <w:rsid w:val="3872263A"/>
    <w:rsid w:val="3B39113B"/>
    <w:rsid w:val="3DA212CB"/>
    <w:rsid w:val="3E725142"/>
    <w:rsid w:val="3F1461F9"/>
    <w:rsid w:val="3F261A88"/>
    <w:rsid w:val="3F9C0522"/>
    <w:rsid w:val="40864ED4"/>
    <w:rsid w:val="4303280C"/>
    <w:rsid w:val="438A4CDB"/>
    <w:rsid w:val="43B34232"/>
    <w:rsid w:val="453C0257"/>
    <w:rsid w:val="45E701C3"/>
    <w:rsid w:val="47D02901"/>
    <w:rsid w:val="4ABD14F2"/>
    <w:rsid w:val="4B7A3887"/>
    <w:rsid w:val="4B86222C"/>
    <w:rsid w:val="4C787DC7"/>
    <w:rsid w:val="4C940979"/>
    <w:rsid w:val="4F0E4A13"/>
    <w:rsid w:val="4FB11F39"/>
    <w:rsid w:val="521A1920"/>
    <w:rsid w:val="522E351B"/>
    <w:rsid w:val="53445486"/>
    <w:rsid w:val="544E58B1"/>
    <w:rsid w:val="54EB1352"/>
    <w:rsid w:val="55FB7373"/>
    <w:rsid w:val="5A7C1BE0"/>
    <w:rsid w:val="5E7D74BF"/>
    <w:rsid w:val="5EB86749"/>
    <w:rsid w:val="5F230066"/>
    <w:rsid w:val="617F2EE1"/>
    <w:rsid w:val="619A0388"/>
    <w:rsid w:val="639257BA"/>
    <w:rsid w:val="649A0FD6"/>
    <w:rsid w:val="64DF4A2F"/>
    <w:rsid w:val="65FC33BF"/>
    <w:rsid w:val="663F14FE"/>
    <w:rsid w:val="680447AD"/>
    <w:rsid w:val="684352D5"/>
    <w:rsid w:val="686D4100"/>
    <w:rsid w:val="6B3D24B0"/>
    <w:rsid w:val="6E0E0133"/>
    <w:rsid w:val="6F6F0771"/>
    <w:rsid w:val="71881FAB"/>
    <w:rsid w:val="74A23383"/>
    <w:rsid w:val="76254FAF"/>
    <w:rsid w:val="770C25DD"/>
    <w:rsid w:val="77183DD1"/>
    <w:rsid w:val="78202F3D"/>
    <w:rsid w:val="7AD46261"/>
    <w:rsid w:val="7B1535FC"/>
    <w:rsid w:val="7B580C40"/>
    <w:rsid w:val="7B9A3006"/>
    <w:rsid w:val="7CE704CD"/>
    <w:rsid w:val="7D736F99"/>
    <w:rsid w:val="7ED20D09"/>
    <w:rsid w:val="BE6BF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autoRedefine/>
    <w:qFormat/>
    <w:uiPriority w:val="0"/>
    <w:pPr>
      <w:widowControl/>
      <w:kinsoku w:val="0"/>
      <w:autoSpaceDE w:val="0"/>
      <w:autoSpaceDN w:val="0"/>
      <w:adjustRightInd w:val="0"/>
      <w:snapToGrid w:val="0"/>
      <w:spacing w:before="172" w:line="276" w:lineRule="auto"/>
      <w:ind w:left="4" w:right="10" w:firstLine="258" w:firstLineChars="100"/>
      <w:textAlignment w:val="baseline"/>
    </w:pPr>
    <w:rPr>
      <w:rFonts w:ascii="Times New Roman" w:hAnsi="Times New Roman" w:cs="Times New Roman"/>
      <w:color w:val="000000" w:themeColor="text1"/>
      <w:spacing w:val="9"/>
      <w:kern w:val="0"/>
      <w:sz w:val="24"/>
      <w14:textFill>
        <w14:solidFill>
          <w14:schemeClr w14:val="tx1"/>
        </w14:solidFill>
      </w14:textFill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ind w:firstLine="315" w:firstLineChars="150"/>
    </w:pPr>
    <w:rPr>
      <w:rFonts w:ascii="Open Sans" w:hAnsi="Open Sans" w:eastAsia="Arial" w:cs="Open Sans"/>
      <w:snapToGrid w:val="0"/>
      <w:sz w:val="18"/>
      <w:szCs w:val="18"/>
      <w:shd w:val="clear" w:color="auto" w:fill="FFFFFF"/>
      <w:lang w:eastAsia="en-US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ind w:firstLine="315" w:firstLineChars="150"/>
      <w:jc w:val="center"/>
    </w:pPr>
    <w:rPr>
      <w:rFonts w:ascii="Open Sans" w:hAnsi="Open Sans" w:eastAsia="Arial" w:cs="Open Sans"/>
      <w:snapToGrid w:val="0"/>
      <w:sz w:val="18"/>
      <w:szCs w:val="18"/>
      <w:shd w:val="clear" w:color="auto" w:fill="FFFFFF"/>
      <w:lang w:eastAsia="en-US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cs="Times New Roman"/>
      <w:color w:val="000000" w:themeColor="text1"/>
      <w:spacing w:val="9"/>
      <w:sz w:val="24"/>
      <w:szCs w:val="24"/>
      <w14:textFill>
        <w14:solidFill>
          <w14:schemeClr w14:val="tx1"/>
        </w14:solidFill>
      </w14:textFill>
    </w:rPr>
  </w:style>
  <w:style w:type="paragraph" w:customStyle="1" w:styleId="8">
    <w:name w:val="EndNote Bibliography Title"/>
    <w:basedOn w:val="1"/>
    <w:link w:val="9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9">
    <w:name w:val="EndNote Bibliography Title 字符"/>
    <w:basedOn w:val="6"/>
    <w:link w:val="8"/>
    <w:qFormat/>
    <w:uiPriority w:val="0"/>
    <w:rPr>
      <w:rFonts w:ascii="Calibri" w:hAnsi="Calibri" w:cs="Calibri"/>
      <w:kern w:val="2"/>
      <w:szCs w:val="24"/>
    </w:rPr>
  </w:style>
  <w:style w:type="paragraph" w:customStyle="1" w:styleId="10">
    <w:name w:val="EndNote Bibliography"/>
    <w:basedOn w:val="1"/>
    <w:link w:val="11"/>
    <w:qFormat/>
    <w:uiPriority w:val="0"/>
    <w:rPr>
      <w:rFonts w:ascii="Calibri" w:hAnsi="Calibri" w:cs="Calibri"/>
      <w:sz w:val="20"/>
    </w:rPr>
  </w:style>
  <w:style w:type="character" w:customStyle="1" w:styleId="11">
    <w:name w:val="EndNote Bibliography 字符"/>
    <w:basedOn w:val="6"/>
    <w:link w:val="10"/>
    <w:qFormat/>
    <w:uiPriority w:val="0"/>
    <w:rPr>
      <w:rFonts w:ascii="Calibri" w:hAnsi="Calibri" w:cs="Calibri"/>
      <w:kern w:val="2"/>
      <w:szCs w:val="24"/>
    </w:rPr>
  </w:style>
  <w:style w:type="character" w:customStyle="1" w:styleId="12">
    <w:name w:val="19"/>
    <w:basedOn w:val="6"/>
    <w:qFormat/>
    <w:uiPriority w:val="0"/>
    <w:rPr>
      <w:rFonts w:hint="default" w:ascii="Helvetica" w:hAnsi="Helvetica"/>
      <w:b/>
      <w:bCs/>
      <w:color w:val="000000"/>
      <w:sz w:val="12"/>
      <w:szCs w:val="12"/>
    </w:rPr>
  </w:style>
  <w:style w:type="character" w:customStyle="1" w:styleId="13">
    <w:name w:val="20"/>
    <w:basedOn w:val="6"/>
    <w:qFormat/>
    <w:uiPriority w:val="0"/>
    <w:rPr>
      <w:rFonts w:hint="default" w:ascii="Helvetica" w:hAnsi="Helvetica"/>
      <w:color w:val="000000"/>
      <w:sz w:val="12"/>
      <w:szCs w:val="12"/>
    </w:rPr>
  </w:style>
  <w:style w:type="character" w:customStyle="1" w:styleId="14">
    <w:name w:val="17"/>
    <w:basedOn w:val="6"/>
    <w:qFormat/>
    <w:uiPriority w:val="0"/>
    <w:rPr>
      <w:rFonts w:hint="eastAsia" w:ascii="宋体" w:hAnsi="宋体" w:eastAsia="宋体"/>
      <w:color w:val="000000"/>
      <w:sz w:val="12"/>
      <w:szCs w:val="12"/>
    </w:rPr>
  </w:style>
  <w:style w:type="character" w:customStyle="1" w:styleId="15">
    <w:name w:val="21"/>
    <w:basedOn w:val="6"/>
    <w:qFormat/>
    <w:uiPriority w:val="0"/>
    <w:rPr>
      <w:rFonts w:hint="eastAsia" w:ascii="宋体" w:hAnsi="宋体" w:eastAsia="宋体"/>
      <w:b/>
      <w:bCs/>
      <w:color w:val="000000"/>
      <w:sz w:val="12"/>
      <w:szCs w:val="12"/>
    </w:rPr>
  </w:style>
  <w:style w:type="character" w:customStyle="1" w:styleId="16">
    <w:name w:val="16"/>
    <w:basedOn w:val="6"/>
    <w:qFormat/>
    <w:uiPriority w:val="0"/>
    <w:rPr>
      <w:rFonts w:hint="eastAsia" w:ascii="宋体" w:hAnsi="宋体" w:eastAsia="宋体"/>
      <w:b/>
      <w:bCs/>
      <w:color w:val="000000"/>
      <w:sz w:val="12"/>
      <w:szCs w:val="12"/>
      <w:vertAlign w:val="superscript"/>
    </w:rPr>
  </w:style>
  <w:style w:type="character" w:customStyle="1" w:styleId="17">
    <w:name w:val="15"/>
    <w:basedOn w:val="6"/>
    <w:qFormat/>
    <w:uiPriority w:val="0"/>
    <w:rPr>
      <w:rFonts w:hint="default" w:ascii="Helvetica" w:hAnsi="Helvetica"/>
      <w:i/>
      <w:iCs/>
      <w:color w:val="000000"/>
      <w:sz w:val="12"/>
      <w:szCs w:val="12"/>
      <w:vertAlign w:val="superscript"/>
    </w:rPr>
  </w:style>
  <w:style w:type="character" w:customStyle="1" w:styleId="18">
    <w:name w:val="18"/>
    <w:basedOn w:val="6"/>
    <w:qFormat/>
    <w:uiPriority w:val="0"/>
    <w:rPr>
      <w:rFonts w:hint="eastAsia" w:ascii="微软雅黑" w:hAnsi="微软雅黑" w:eastAsia="微软雅黑"/>
      <w:color w:val="000000"/>
      <w:sz w:val="12"/>
      <w:szCs w:val="12"/>
    </w:rPr>
  </w:style>
  <w:style w:type="character" w:customStyle="1" w:styleId="19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2">
    <w:name w:val="font5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61"/>
    <w:basedOn w:val="6"/>
    <w:qFormat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1847</Words>
  <Characters>9080</Characters>
  <Lines>176</Lines>
  <Paragraphs>48</Paragraphs>
  <TotalTime>2</TotalTime>
  <ScaleCrop>false</ScaleCrop>
  <LinksUpToDate>false</LinksUpToDate>
  <CharactersWithSpaces>10502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2025-09-27T01:05:00Z</dcterms:created>
  <dc:creator>彭晓丹</dc:creator>
  <cp:lastModifiedBy>彭晓丹</cp:lastModifiedBy>
  <dcterms:modified xsi:type="dcterms:W3CDTF">2026-03-05T07:31:03Z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B8E5BC501C774FB79B66E6A99D07EADD_13</vt:lpwstr>
  </property>
  <property fmtid="{D5CDD505-2E9C-101B-9397-08002B2CF9AE}" pid="4" name="KSOTemplateDocerSaveRecord">
    <vt:lpwstr>eyJoZGlkIjoiYWJkNjlmNTI0NzExZjU1MTgxY2IyYjViZTgxZGM5NGUiLCJ1c2VySWQiOiIxMTUzNjc5MzQ4In0=</vt:lpwstr>
  </property>
</Properties>
</file>