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36F7" w14:textId="2F91B5AD" w:rsidR="009B1A9B" w:rsidRPr="001D6B13" w:rsidRDefault="001D6B13" w:rsidP="00AC3A22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373627">
        <w:rPr>
          <w:rFonts w:ascii="Times New Roman" w:hAnsi="Times New Roman" w:cs="Times New Roman"/>
          <w:sz w:val="24"/>
          <w:szCs w:val="28"/>
        </w:rPr>
        <w:t xml:space="preserve">Table S1 Instructions for drug </w:t>
      </w:r>
      <w:r w:rsidR="001A0CE0">
        <w:rPr>
          <w:rFonts w:ascii="Times New Roman" w:hAnsi="Times New Roman" w:cs="Times New Roman" w:hint="eastAsia"/>
          <w:sz w:val="24"/>
          <w:szCs w:val="28"/>
        </w:rPr>
        <w:t xml:space="preserve">assessment </w:t>
      </w:r>
    </w:p>
    <w:tbl>
      <w:tblPr>
        <w:tblStyle w:val="11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24"/>
        <w:gridCol w:w="1540"/>
      </w:tblGrid>
      <w:tr w:rsidR="001D6B13" w:rsidRPr="00D547F8" w14:paraId="3AFECDEC" w14:textId="77777777" w:rsidTr="006E03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noWrap/>
            <w:vAlign w:val="center"/>
            <w:hideMark/>
          </w:tcPr>
          <w:p w14:paraId="13B2559E" w14:textId="77777777" w:rsidR="001D6B13" w:rsidRPr="00D547F8" w:rsidRDefault="001D6B13" w:rsidP="00D547F8">
            <w:pPr>
              <w:widowControl/>
              <w:spacing w:line="12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D547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Drug</w:t>
            </w:r>
          </w:p>
        </w:tc>
        <w:tc>
          <w:tcPr>
            <w:tcW w:w="3119" w:type="dxa"/>
            <w:noWrap/>
            <w:vAlign w:val="center"/>
            <w:hideMark/>
          </w:tcPr>
          <w:p w14:paraId="3B8B5176" w14:textId="77777777" w:rsidR="001D6B13" w:rsidRPr="00D547F8" w:rsidRDefault="001D6B13" w:rsidP="00D547F8">
            <w:pPr>
              <w:widowControl/>
              <w:spacing w:line="12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D547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Contraindications</w:t>
            </w:r>
          </w:p>
        </w:tc>
        <w:tc>
          <w:tcPr>
            <w:tcW w:w="8524" w:type="dxa"/>
            <w:noWrap/>
            <w:vAlign w:val="center"/>
            <w:hideMark/>
          </w:tcPr>
          <w:p w14:paraId="6AC0E525" w14:textId="4255F41F" w:rsidR="001D6B13" w:rsidRPr="00D547F8" w:rsidRDefault="001D6B13" w:rsidP="00D547F8">
            <w:pPr>
              <w:widowControl/>
              <w:spacing w:line="12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D547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risks identified by physicians</w:t>
            </w:r>
          </w:p>
        </w:tc>
        <w:tc>
          <w:tcPr>
            <w:tcW w:w="1540" w:type="dxa"/>
            <w:vAlign w:val="center"/>
          </w:tcPr>
          <w:p w14:paraId="53353353" w14:textId="3ECC9DA4" w:rsidR="001D6B13" w:rsidRPr="00D547F8" w:rsidRDefault="001D6B13" w:rsidP="00D547F8">
            <w:pPr>
              <w:widowControl/>
              <w:spacing w:line="12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 w:rsidRPr="00D547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considerations</w:t>
            </w:r>
            <w:r w:rsidRPr="00D547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1D6B13" w:rsidRPr="00D547F8" w14:paraId="3943FED4" w14:textId="77777777" w:rsidTr="006E0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5C2E973F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Bdq</w:t>
            </w:r>
            <w:proofErr w:type="spellEnd"/>
          </w:p>
        </w:tc>
        <w:tc>
          <w:tcPr>
            <w:tcW w:w="3119" w:type="dxa"/>
            <w:hideMark/>
          </w:tcPr>
          <w:p w14:paraId="026D34CA" w14:textId="43FF0D5C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Baseline QTc &gt;500ms (confirmed by repeat ECG); □ Clinically significant ventricular arrhythmia. </w:t>
            </w:r>
          </w:p>
        </w:tc>
        <w:tc>
          <w:tcPr>
            <w:tcW w:w="8524" w:type="dxa"/>
            <w:hideMark/>
          </w:tcPr>
          <w:p w14:paraId="328EE840" w14:textId="4E4C7F00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Patients at increased risk of QT interval prolongation (history of congenital long QT syndrome; history of hypothyroidism and bradyarrhythmia; history of decompensated heart failure; baseline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hypokalaemia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hypocalcaemia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hypomagnesemia); □ History of severe hepatic insufficiency or baseline liver enzyme elevation &gt;5 times; □ History of renal insufficiency (GFR &lt;30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m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L/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min) or dialysis patients; □ Patients taking the antiretroviral drugs 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(e.g.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efavirenz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ritonavir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)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□ Patients taking the antiviral drug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: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ledipa</w:t>
            </w:r>
            <w:r w:rsidR="003B1A9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vir/sofosbuvir; □ Patients taking strong CYP3A inducers (apalutamide, enzalutamide, carbamazepine, phenytoin sodium, rifamycin) or strong CYP3A4 inhibitors (voriconazole, itraconazole, ketoconazole, </w:t>
            </w:r>
            <w:proofErr w:type="spellStart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posaconazole</w:t>
            </w:r>
            <w:proofErr w:type="spellEnd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, telithromycin, clarithromycin).</w:t>
            </w:r>
          </w:p>
        </w:tc>
        <w:tc>
          <w:tcPr>
            <w:tcW w:w="1540" w:type="dxa"/>
          </w:tcPr>
          <w:p w14:paraId="41998304" w14:textId="2683275F" w:rsidR="001D6B13" w:rsidRPr="00D547F8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A0CE0" w:rsidRPr="00D547F8" w14:paraId="6A32E5FB" w14:textId="77777777" w:rsidTr="006E0379">
        <w:trPr>
          <w:trHeight w:val="1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vAlign w:val="center"/>
            <w:hideMark/>
          </w:tcPr>
          <w:p w14:paraId="0093E4B6" w14:textId="77777777" w:rsidR="001A0CE0" w:rsidRPr="00D547F8" w:rsidRDefault="001A0CE0" w:rsidP="001A0CE0">
            <w:pPr>
              <w:widowControl/>
              <w:spacing w:line="120" w:lineRule="auto"/>
              <w:jc w:val="center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FQs</w:t>
            </w:r>
          </w:p>
        </w:tc>
        <w:tc>
          <w:tcPr>
            <w:tcW w:w="567" w:type="dxa"/>
            <w:hideMark/>
          </w:tcPr>
          <w:p w14:paraId="44B9B77D" w14:textId="77777777" w:rsidR="001A0CE0" w:rsidRPr="00D547F8" w:rsidRDefault="001A0CE0" w:rsidP="001A0CE0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b/>
                <w:bCs/>
                <w:kern w:val="0"/>
                <w:sz w:val="18"/>
                <w:szCs w:val="18"/>
              </w:rPr>
              <w:t>Lfx</w:t>
            </w:r>
            <w:proofErr w:type="spellEnd"/>
          </w:p>
        </w:tc>
        <w:tc>
          <w:tcPr>
            <w:tcW w:w="3119" w:type="dxa"/>
            <w:hideMark/>
          </w:tcPr>
          <w:p w14:paraId="23C1180C" w14:textId="7235C83B" w:rsidR="001A0CE0" w:rsidRPr="00B32E49" w:rsidRDefault="001A0CE0" w:rsidP="001A0CE0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8524" w:type="dxa"/>
            <w:hideMark/>
          </w:tcPr>
          <w:p w14:paraId="41C436F0" w14:textId="6556B173" w:rsidR="001A0CE0" w:rsidRPr="00B32E49" w:rsidRDefault="001A0CE0" w:rsidP="001A0CE0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psychiatric or neurological disorders (anxiety, depression, epilepsy, convulsions); □ Need for dose adjustment in renal insufficiency; □ Patients at increased risk for prolongation of the QT interval (history of congenital long QT syndrome; history of hypothyroidism and bradyarrhythmia; history of decompensated heart failure; baseline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hypokalaemia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hypocalcaemia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hypomagnesemia); □ History of </w:t>
            </w:r>
            <w:bookmarkStart w:id="0" w:name="OLE_LINK1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myasthenia gravis</w:t>
            </w:r>
            <w:bookmarkEnd w:id="0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History of </w:t>
            </w:r>
            <w:r w:rsidR="009B258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fluoro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quinolone</w:t>
            </w:r>
            <w:r w:rsidR="009B258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-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related tendon disease.</w:t>
            </w:r>
          </w:p>
        </w:tc>
        <w:tc>
          <w:tcPr>
            <w:tcW w:w="1540" w:type="dxa"/>
          </w:tcPr>
          <w:p w14:paraId="506FC059" w14:textId="08938D5F" w:rsidR="001A0CE0" w:rsidRPr="00D547F8" w:rsidRDefault="001A0CE0" w:rsidP="001A0CE0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A0CE0" w:rsidRPr="00D547F8" w14:paraId="72C259F8" w14:textId="77777777" w:rsidTr="006E0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hideMark/>
          </w:tcPr>
          <w:p w14:paraId="3DADB6B6" w14:textId="77777777" w:rsidR="001A0CE0" w:rsidRPr="00D547F8" w:rsidRDefault="001A0CE0" w:rsidP="001A0CE0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Cs w:val="21"/>
              </w:rPr>
            </w:pPr>
          </w:p>
        </w:tc>
        <w:tc>
          <w:tcPr>
            <w:tcW w:w="567" w:type="dxa"/>
            <w:hideMark/>
          </w:tcPr>
          <w:p w14:paraId="4C472681" w14:textId="77777777" w:rsidR="001A0CE0" w:rsidRPr="00D547F8" w:rsidRDefault="001A0CE0" w:rsidP="001A0CE0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b/>
                <w:bCs/>
                <w:kern w:val="0"/>
                <w:sz w:val="18"/>
                <w:szCs w:val="18"/>
              </w:rPr>
              <w:t>Mfx</w:t>
            </w:r>
            <w:proofErr w:type="spellEnd"/>
          </w:p>
        </w:tc>
        <w:tc>
          <w:tcPr>
            <w:tcW w:w="3119" w:type="dxa"/>
            <w:hideMark/>
          </w:tcPr>
          <w:p w14:paraId="609CFA27" w14:textId="4BA9D88E" w:rsidR="001A0CE0" w:rsidRPr="00B32E49" w:rsidRDefault="001A0CE0" w:rsidP="001A0CE0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8524" w:type="dxa"/>
            <w:hideMark/>
          </w:tcPr>
          <w:p w14:paraId="01359B77" w14:textId="1D8870EC" w:rsidR="001A0CE0" w:rsidRPr="00B32E49" w:rsidRDefault="001A0CE0" w:rsidP="001A0CE0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□ Patients with psychiatric or neurological disorders (anxiety, depression, epilepsy, convulsions); □ History of severe hepatic insufficiency or baseline hepatic enzyme elevation &gt; 5</w:t>
            </w:r>
            <w:r w:rsidR="00963D0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times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Patients at increased risk of QT interval prolongation (history of congenital long QT syndrome; history of hypothyroidism and bradyarrhythmia; history of decompensated heart failure; baseline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hypokalaemia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hypocalcaemia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hypomagnesemia); □ History of severe </w:t>
            </w:r>
            <w:r w:rsidR="00963D0E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myasthenia gravis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History of </w:t>
            </w:r>
            <w:r w:rsidR="00963D0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fluoro</w:t>
            </w:r>
            <w:r w:rsidR="00963D0E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quinolone</w:t>
            </w:r>
            <w:r w:rsidR="00963D0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-</w:t>
            </w:r>
            <w:r w:rsidR="00963D0E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related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tendon disease.</w:t>
            </w:r>
          </w:p>
        </w:tc>
        <w:tc>
          <w:tcPr>
            <w:tcW w:w="1540" w:type="dxa"/>
          </w:tcPr>
          <w:p w14:paraId="194E7A9B" w14:textId="1FA31E5A" w:rsidR="001A0CE0" w:rsidRPr="00D547F8" w:rsidRDefault="001A0CE0" w:rsidP="001A0CE0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292825F9" w14:textId="77777777" w:rsidTr="006E0379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2502767E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Lzd</w:t>
            </w:r>
            <w:proofErr w:type="spellEnd"/>
          </w:p>
        </w:tc>
        <w:tc>
          <w:tcPr>
            <w:tcW w:w="3119" w:type="dxa"/>
            <w:hideMark/>
          </w:tcPr>
          <w:p w14:paraId="6A889783" w14:textId="7C92F749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□ Taking or having used monoamine</w:t>
            </w:r>
            <w:r w:rsidR="002622F1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oxidase inhibitors (MAOIs) within two weeks </w:t>
            </w:r>
            <w:r w:rsidR="002622F1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of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screening.</w:t>
            </w:r>
          </w:p>
        </w:tc>
        <w:tc>
          <w:tcPr>
            <w:tcW w:w="8524" w:type="dxa"/>
            <w:hideMark/>
          </w:tcPr>
          <w:p w14:paraId="15297155" w14:textId="084D64B0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Visual impairment; □ Leukopenia; □ Thrombocytopenia; □ Moderate-to-severe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anaemia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Post-chemotherapy for </w:t>
            </w:r>
            <w:r w:rsidR="003C17F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tumours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History of psychiatric or neurological disorders (anxiety, depression, epilepsy, seizures); □ History of peripheral neuropathy; □ Uncontrolled hypertension; □ Pheochromocytoma, carcinoid syndrome, or untreated hyperthyroidism; □ Taking or having used a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t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ricyclic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ntidepressant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s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elective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s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erotonin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r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euptake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i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nhibitor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s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erotonin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nd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n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oradrenaline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r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euptake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i</w:t>
            </w:r>
            <w:r w:rsidR="0033651B" w:rsidRP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nhibitor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or other monoamine oxidase inhibitors, opioid analgesics (e.g.,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lastRenderedPageBreak/>
              <w:t xml:space="preserve">clomipramine, amitriptyline, disopyramide, promethazine, doxepin, selegiline, trazodone, buspirone, bupropion, mirtazapine, methadone, fentanyl pethidine hydrochloride) within two weeks </w:t>
            </w:r>
            <w:r w:rsidR="0033651B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of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screening.</w:t>
            </w:r>
          </w:p>
        </w:tc>
        <w:tc>
          <w:tcPr>
            <w:tcW w:w="1540" w:type="dxa"/>
          </w:tcPr>
          <w:p w14:paraId="1030548C" w14:textId="001E0336" w:rsidR="001D6B13" w:rsidRPr="00D547F8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lastRenderedPageBreak/>
              <w:t>□</w:t>
            </w:r>
          </w:p>
        </w:tc>
      </w:tr>
      <w:tr w:rsidR="001D6B13" w:rsidRPr="00D547F8" w14:paraId="233D1E3E" w14:textId="77777777" w:rsidTr="006E0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04459442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Cs</w:t>
            </w:r>
          </w:p>
        </w:tc>
        <w:tc>
          <w:tcPr>
            <w:tcW w:w="3119" w:type="dxa"/>
            <w:hideMark/>
          </w:tcPr>
          <w:p w14:paraId="7C55506F" w14:textId="23DBCF55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History of psychiatric disorders such as severe anxiety, depression or history of epilepsy or convulsive seizures. </w:t>
            </w:r>
          </w:p>
        </w:tc>
        <w:tc>
          <w:tcPr>
            <w:tcW w:w="8524" w:type="dxa"/>
            <w:hideMark/>
          </w:tcPr>
          <w:p w14:paraId="6FFBB5D2" w14:textId="5C2AC39B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□ Dose adjustment required for renal insufficiency; □ History of severe hepatic insufficiency or baseline hepatic enzyme elevation &gt; 5 times; □ History of alcohol abuse.</w:t>
            </w:r>
          </w:p>
        </w:tc>
        <w:tc>
          <w:tcPr>
            <w:tcW w:w="1540" w:type="dxa"/>
          </w:tcPr>
          <w:p w14:paraId="223D42EC" w14:textId="1A6DEBFC" w:rsidR="001D6B13" w:rsidRPr="00D547F8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55962CAC" w14:textId="77777777" w:rsidTr="006E0379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7ABE0770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Cfz</w:t>
            </w:r>
            <w:proofErr w:type="spellEnd"/>
          </w:p>
        </w:tc>
        <w:tc>
          <w:tcPr>
            <w:tcW w:w="3119" w:type="dxa"/>
            <w:hideMark/>
          </w:tcPr>
          <w:p w14:paraId="67304880" w14:textId="2C710A6B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8524" w:type="dxa"/>
            <w:hideMark/>
          </w:tcPr>
          <w:p w14:paraId="425A373C" w14:textId="42B98290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severe hepatic insufficiency or </w:t>
            </w:r>
            <w:r w:rsidR="007024C5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baseline hepatic enzyme elevation &gt; 5 times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History of gastrointestinal disorders; □ Patients at increased risk for prolongation of the QT interval (history of congenital long QT syndrome; history of hypothyroidism and bradyarrhythmia; history of decompensated heart failure; baseline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hypokalaemia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, </w:t>
            </w:r>
            <w:r w:rsidR="000A0D79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hypocalcaemia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, hypomagnesemia).</w:t>
            </w:r>
          </w:p>
        </w:tc>
        <w:tc>
          <w:tcPr>
            <w:tcW w:w="1540" w:type="dxa"/>
          </w:tcPr>
          <w:p w14:paraId="32D5F7F4" w14:textId="0602F353" w:rsidR="001D6B13" w:rsidRPr="00D547F8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51D3E57B" w14:textId="77777777" w:rsidTr="006E0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7D3CA4F0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Pto</w:t>
            </w:r>
            <w:proofErr w:type="spellEnd"/>
          </w:p>
        </w:tc>
        <w:tc>
          <w:tcPr>
            <w:tcW w:w="3119" w:type="dxa"/>
            <w:hideMark/>
          </w:tcPr>
          <w:p w14:paraId="1A907EF4" w14:textId="0748C565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Pregnancy. </w:t>
            </w:r>
          </w:p>
        </w:tc>
        <w:tc>
          <w:tcPr>
            <w:tcW w:w="8524" w:type="dxa"/>
            <w:hideMark/>
          </w:tcPr>
          <w:p w14:paraId="3463228B" w14:textId="64F3494F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psychiatric or neurologic disorders (anxiety, depression, epilepsy, convulsions); □ History of chronic liver disease or </w:t>
            </w:r>
            <w:r w:rsidR="000A6656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baseline hepatic enzyme elevation &gt; 5 times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540" w:type="dxa"/>
          </w:tcPr>
          <w:p w14:paraId="2DEC004A" w14:textId="3A3D71A7" w:rsidR="001D6B13" w:rsidRPr="00D547F8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79ECB130" w14:textId="77777777" w:rsidTr="006E0379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49178E47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Z</w:t>
            </w:r>
          </w:p>
        </w:tc>
        <w:tc>
          <w:tcPr>
            <w:tcW w:w="3119" w:type="dxa"/>
            <w:hideMark/>
          </w:tcPr>
          <w:p w14:paraId="27BA1788" w14:textId="462D05B5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□ History of severe hepatic impairment.</w:t>
            </w:r>
          </w:p>
        </w:tc>
        <w:tc>
          <w:tcPr>
            <w:tcW w:w="8524" w:type="dxa"/>
            <w:hideMark/>
          </w:tcPr>
          <w:p w14:paraId="292578CD" w14:textId="040CAEF0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□ Baseline liver enzyme elevation &gt; 5 times; □ Renal insufficiency requiring dose adjustment; □ History of gout or active gout.</w:t>
            </w:r>
          </w:p>
        </w:tc>
        <w:tc>
          <w:tcPr>
            <w:tcW w:w="1540" w:type="dxa"/>
          </w:tcPr>
          <w:p w14:paraId="3B104325" w14:textId="623DF009" w:rsidR="001D6B13" w:rsidRPr="00D547F8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46CB04E9" w14:textId="77777777" w:rsidTr="006E0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08567AF9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E</w:t>
            </w:r>
          </w:p>
        </w:tc>
        <w:tc>
          <w:tcPr>
            <w:tcW w:w="3119" w:type="dxa"/>
            <w:hideMark/>
          </w:tcPr>
          <w:p w14:paraId="78B851BC" w14:textId="68ACCDB9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□ History of severe hepatic impairment.</w:t>
            </w:r>
          </w:p>
        </w:tc>
        <w:tc>
          <w:tcPr>
            <w:tcW w:w="8524" w:type="dxa"/>
            <w:hideMark/>
          </w:tcPr>
          <w:p w14:paraId="52248ABD" w14:textId="5DC927C1" w:rsidR="001D6B13" w:rsidRPr="00B32E49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□ With gout; □ History of renal insufficiency (GFR &lt;30 m</w:t>
            </w:r>
            <w:r w:rsid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L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/min) or </w:t>
            </w:r>
            <w:r w:rsid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patients on 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dialysis; □ With optic neuritis.</w:t>
            </w:r>
          </w:p>
        </w:tc>
        <w:tc>
          <w:tcPr>
            <w:tcW w:w="1540" w:type="dxa"/>
          </w:tcPr>
          <w:p w14:paraId="602356EF" w14:textId="7D2E698D" w:rsidR="001D6B13" w:rsidRPr="00D547F8" w:rsidRDefault="001D6B13" w:rsidP="009B1A9B">
            <w:pPr>
              <w:widowControl/>
              <w:spacing w:line="12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  <w:tr w:rsidR="001D6B13" w:rsidRPr="00D547F8" w14:paraId="6CB91019" w14:textId="77777777" w:rsidTr="006E0379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gridSpan w:val="2"/>
            <w:hideMark/>
          </w:tcPr>
          <w:p w14:paraId="758842AC" w14:textId="77777777" w:rsidR="001D6B13" w:rsidRPr="00D547F8" w:rsidRDefault="001D6B13" w:rsidP="009B1A9B">
            <w:pPr>
              <w:widowControl/>
              <w:spacing w:line="120" w:lineRule="auto"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</w:t>
            </w:r>
            <w:r w:rsidRPr="00D547F8">
              <w:rPr>
                <w:rFonts w:ascii="Times New Roman" w:eastAsia="微软雅黑" w:hAnsi="Times New Roman" w:cs="Times New Roman"/>
                <w:kern w:val="0"/>
                <w:sz w:val="18"/>
                <w:szCs w:val="18"/>
                <w:vertAlign w:val="subscript"/>
              </w:rPr>
              <w:t>h</w:t>
            </w:r>
            <w:proofErr w:type="spellEnd"/>
          </w:p>
        </w:tc>
        <w:tc>
          <w:tcPr>
            <w:tcW w:w="3119" w:type="dxa"/>
            <w:hideMark/>
          </w:tcPr>
          <w:p w14:paraId="6711DDDA" w14:textId="6E0A77DC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History of </w:t>
            </w:r>
            <w:r w:rsidR="006672E4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allergy/hypersensitivity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; □ History of severe hepatic impairment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；</w:t>
            </w:r>
          </w:p>
          <w:p w14:paraId="0772AD22" w14:textId="1DB01217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Detection of both </w:t>
            </w:r>
            <w:proofErr w:type="spellStart"/>
            <w:r w:rsidRPr="000A0D79">
              <w:rPr>
                <w:rFonts w:ascii="Times New Roman" w:eastAsia="微软雅黑" w:hAnsi="Times New Roman" w:cs="Times New Roman"/>
                <w:i/>
                <w:iCs/>
                <w:kern w:val="0"/>
                <w:sz w:val="18"/>
                <w:szCs w:val="18"/>
              </w:rPr>
              <w:t>inhA</w:t>
            </w:r>
            <w:proofErr w:type="spellEnd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promoter and </w:t>
            </w:r>
            <w:proofErr w:type="spellStart"/>
            <w:r w:rsidRPr="000A0D79">
              <w:rPr>
                <w:rFonts w:ascii="Times New Roman" w:eastAsia="微软雅黑" w:hAnsi="Times New Roman" w:cs="Times New Roman"/>
                <w:i/>
                <w:iCs/>
                <w:kern w:val="0"/>
                <w:sz w:val="18"/>
                <w:szCs w:val="18"/>
              </w:rPr>
              <w:t>katG</w:t>
            </w:r>
            <w:proofErr w:type="spellEnd"/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mutations.</w:t>
            </w:r>
          </w:p>
        </w:tc>
        <w:tc>
          <w:tcPr>
            <w:tcW w:w="8524" w:type="dxa"/>
            <w:hideMark/>
          </w:tcPr>
          <w:p w14:paraId="5568B383" w14:textId="0B4699A7" w:rsidR="001D6B13" w:rsidRPr="00B32E49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□ History of psychiatric or neurological disorders (anxiety, depression, epilepsy, convulsions); □</w:t>
            </w:r>
            <w:r w:rsid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 B</w:t>
            </w:r>
            <w:r w:rsidR="002250DA" w:rsidRP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aseline hepatic enzyme elevation &gt; 5 times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; □ </w:t>
            </w:r>
            <w:r w:rsid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istory of alcohol abuse; </w:t>
            </w:r>
            <w:r w:rsidR="002250DA"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 xml:space="preserve">□ </w:t>
            </w:r>
            <w:r w:rsidR="002250DA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H</w:t>
            </w:r>
            <w:r w:rsidRPr="00B32E49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istory of peripheral neuropathy.</w:t>
            </w:r>
          </w:p>
        </w:tc>
        <w:tc>
          <w:tcPr>
            <w:tcW w:w="1540" w:type="dxa"/>
          </w:tcPr>
          <w:p w14:paraId="13277B7C" w14:textId="78942FB8" w:rsidR="001D6B13" w:rsidRPr="00D547F8" w:rsidRDefault="001D6B13" w:rsidP="009B1A9B">
            <w:pPr>
              <w:widowControl/>
              <w:spacing w:line="12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</w:pPr>
            <w:r w:rsidRPr="00D547F8">
              <w:rPr>
                <w:rFonts w:ascii="Times New Roman" w:eastAsia="微软雅黑" w:hAnsi="Times New Roman" w:cs="Times New Roman"/>
                <w:kern w:val="0"/>
                <w:sz w:val="16"/>
                <w:szCs w:val="16"/>
              </w:rPr>
              <w:t>□</w:t>
            </w:r>
          </w:p>
        </w:tc>
      </w:tr>
    </w:tbl>
    <w:p w14:paraId="2948A542" w14:textId="760A3F9E" w:rsidR="001A0CE0" w:rsidRPr="001A0CE0" w:rsidRDefault="001A0CE0">
      <w:pPr>
        <w:rPr>
          <w:rFonts w:ascii="Times New Roman" w:hAnsi="Times New Roman" w:cs="Times New Roman"/>
        </w:rPr>
      </w:pPr>
      <w:r w:rsidRPr="006528FC">
        <w:rPr>
          <w:rFonts w:ascii="Times New Roman" w:hAnsi="Times New Roman" w:cs="Times New Roman"/>
        </w:rPr>
        <w:t xml:space="preserve">Abbreviations: </w:t>
      </w:r>
      <w:proofErr w:type="spellStart"/>
      <w:r w:rsidRPr="006528FC">
        <w:rPr>
          <w:rFonts w:ascii="Times New Roman" w:hAnsi="Times New Roman" w:cs="Times New Roman"/>
        </w:rPr>
        <w:t>Bdq</w:t>
      </w:r>
      <w:proofErr w:type="spellEnd"/>
      <w:r w:rsidRPr="006528FC">
        <w:rPr>
          <w:rFonts w:ascii="Times New Roman" w:hAnsi="Times New Roman" w:cs="Times New Roman"/>
        </w:rPr>
        <w:t xml:space="preserve">, </w:t>
      </w:r>
      <w:proofErr w:type="spellStart"/>
      <w:r w:rsidRPr="006528FC">
        <w:rPr>
          <w:rFonts w:ascii="Times New Roman" w:hAnsi="Times New Roman" w:cs="Times New Roman"/>
        </w:rPr>
        <w:t>bedaquiline</w:t>
      </w:r>
      <w:proofErr w:type="spellEnd"/>
      <w:r w:rsidRPr="006528FC">
        <w:rPr>
          <w:rFonts w:ascii="Times New Roman" w:hAnsi="Times New Roman" w:cs="Times New Roman"/>
        </w:rPr>
        <w:t xml:space="preserve">; </w:t>
      </w:r>
      <w:proofErr w:type="spellStart"/>
      <w:r w:rsidRPr="006528FC">
        <w:rPr>
          <w:rFonts w:ascii="Times New Roman" w:hAnsi="Times New Roman" w:cs="Times New Roman"/>
        </w:rPr>
        <w:t>Cfz</w:t>
      </w:r>
      <w:proofErr w:type="spellEnd"/>
      <w:r w:rsidRPr="006528FC">
        <w:rPr>
          <w:rFonts w:ascii="Times New Roman" w:hAnsi="Times New Roman" w:cs="Times New Roman"/>
        </w:rPr>
        <w:t xml:space="preserve">, clofazimine; Cs, </w:t>
      </w:r>
      <w:proofErr w:type="spellStart"/>
      <w:r w:rsidRPr="006528FC">
        <w:rPr>
          <w:rFonts w:ascii="Times New Roman" w:hAnsi="Times New Roman" w:cs="Times New Roman"/>
        </w:rPr>
        <w:t>cycloserine</w:t>
      </w:r>
      <w:proofErr w:type="spellEnd"/>
      <w:r w:rsidRPr="006528FC">
        <w:rPr>
          <w:rFonts w:ascii="Times New Roman" w:hAnsi="Times New Roman" w:cs="Times New Roman"/>
        </w:rPr>
        <w:t xml:space="preserve">; </w:t>
      </w:r>
      <w:proofErr w:type="spellStart"/>
      <w:r w:rsidRPr="006528FC">
        <w:rPr>
          <w:rFonts w:ascii="Times New Roman" w:hAnsi="Times New Roman" w:cs="Times New Roman"/>
        </w:rPr>
        <w:t>Lzd</w:t>
      </w:r>
      <w:proofErr w:type="spellEnd"/>
      <w:r w:rsidRPr="006528FC">
        <w:rPr>
          <w:rFonts w:ascii="Times New Roman" w:hAnsi="Times New Roman" w:cs="Times New Roman"/>
        </w:rPr>
        <w:t xml:space="preserve">, linezolid; </w:t>
      </w:r>
      <w:proofErr w:type="spellStart"/>
      <w:r w:rsidRPr="006528FC">
        <w:rPr>
          <w:rFonts w:ascii="Times New Roman" w:hAnsi="Times New Roman" w:cs="Times New Roman"/>
        </w:rPr>
        <w:t>Mfx</w:t>
      </w:r>
      <w:proofErr w:type="spellEnd"/>
      <w:r w:rsidRPr="006528FC">
        <w:rPr>
          <w:rFonts w:ascii="Times New Roman" w:hAnsi="Times New Roman" w:cs="Times New Roman"/>
        </w:rPr>
        <w:t xml:space="preserve">, moxifloxacin; </w:t>
      </w:r>
      <w:proofErr w:type="spellStart"/>
      <w:r w:rsidRPr="006528FC">
        <w:rPr>
          <w:rFonts w:ascii="Times New Roman" w:hAnsi="Times New Roman" w:cs="Times New Roman"/>
        </w:rPr>
        <w:t>Lfx</w:t>
      </w:r>
      <w:proofErr w:type="spellEnd"/>
      <w:r w:rsidRPr="006528FC">
        <w:rPr>
          <w:rFonts w:ascii="Times New Roman" w:hAnsi="Times New Roman" w:cs="Times New Roman"/>
        </w:rPr>
        <w:t xml:space="preserve">, levofloxacin; Z, pyrazinamide; </w:t>
      </w:r>
      <w:proofErr w:type="spellStart"/>
      <w:r w:rsidRPr="006528FC">
        <w:rPr>
          <w:rFonts w:ascii="Times New Roman" w:hAnsi="Times New Roman" w:cs="Times New Roman"/>
        </w:rPr>
        <w:t>H</w:t>
      </w:r>
      <w:r w:rsidRPr="006528FC">
        <w:rPr>
          <w:rFonts w:ascii="Times New Roman" w:hAnsi="Times New Roman" w:cs="Times New Roman"/>
          <w:vertAlign w:val="subscript"/>
        </w:rPr>
        <w:t>h</w:t>
      </w:r>
      <w:proofErr w:type="spellEnd"/>
      <w:r w:rsidRPr="006528FC">
        <w:rPr>
          <w:rFonts w:ascii="Times New Roman" w:hAnsi="Times New Roman" w:cs="Times New Roman"/>
        </w:rPr>
        <w:t xml:space="preserve">, high-dose isoniazid; E, ethambutol; </w:t>
      </w:r>
      <w:proofErr w:type="spellStart"/>
      <w:r w:rsidRPr="006528FC">
        <w:rPr>
          <w:rFonts w:ascii="Times New Roman" w:hAnsi="Times New Roman" w:cs="Times New Roman"/>
        </w:rPr>
        <w:t>Pto</w:t>
      </w:r>
      <w:proofErr w:type="spellEnd"/>
      <w:r w:rsidRPr="006528FC">
        <w:rPr>
          <w:rFonts w:ascii="Times New Roman" w:hAnsi="Times New Roman" w:cs="Times New Roman"/>
        </w:rPr>
        <w:t xml:space="preserve">, </w:t>
      </w:r>
      <w:proofErr w:type="spellStart"/>
      <w:r w:rsidRPr="006528FC">
        <w:rPr>
          <w:rFonts w:ascii="Times New Roman" w:hAnsi="Times New Roman" w:cs="Times New Roman"/>
        </w:rPr>
        <w:t>prothionamide</w:t>
      </w:r>
      <w:proofErr w:type="spellEnd"/>
      <w:r w:rsidRPr="006528FC">
        <w:rPr>
          <w:rFonts w:ascii="Times New Roman" w:hAnsi="Times New Roman" w:cs="Times New Roman"/>
        </w:rPr>
        <w:t>; FQs, fluroquinolones</w:t>
      </w:r>
    </w:p>
    <w:p w14:paraId="5F888666" w14:textId="60CCC53A" w:rsidR="00E94E51" w:rsidRDefault="008B6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*</w:t>
      </w:r>
      <w:r w:rsidRPr="008B6098">
        <w:rPr>
          <w:rFonts w:ascii="Times New Roman" w:hAnsi="Times New Roman" w:cs="Times New Roman" w:hint="eastAsia"/>
        </w:rPr>
        <w:t xml:space="preserve">Other considerations include but are not limited </w:t>
      </w:r>
      <w:r w:rsidR="00E23B5E" w:rsidRPr="008B6098">
        <w:rPr>
          <w:rFonts w:ascii="Times New Roman" w:hAnsi="Times New Roman" w:cs="Times New Roman"/>
        </w:rPr>
        <w:t>to</w:t>
      </w:r>
      <w:r w:rsidRPr="008B6098">
        <w:rPr>
          <w:rFonts w:ascii="Times New Roman" w:hAnsi="Times New Roman" w:cs="Times New Roman" w:hint="eastAsia"/>
        </w:rPr>
        <w:t xml:space="preserve"> </w:t>
      </w:r>
      <w:r w:rsidR="00F620DB">
        <w:rPr>
          <w:rFonts w:ascii="Times New Roman" w:hAnsi="Times New Roman" w:cs="Times New Roman" w:hint="eastAsia"/>
        </w:rPr>
        <w:t xml:space="preserve">drug </w:t>
      </w:r>
      <w:r w:rsidR="00E23B5E">
        <w:rPr>
          <w:rFonts w:ascii="Times New Roman" w:hAnsi="Times New Roman" w:cs="Times New Roman" w:hint="eastAsia"/>
        </w:rPr>
        <w:t>resistance (</w:t>
      </w:r>
      <w:r w:rsidR="00E23B5E">
        <w:rPr>
          <w:rFonts w:ascii="Times New Roman" w:hAnsi="Times New Roman" w:cs="Times New Roman"/>
        </w:rPr>
        <w:t>identified</w:t>
      </w:r>
      <w:r w:rsidR="00F620DB">
        <w:rPr>
          <w:rFonts w:ascii="Times New Roman" w:hAnsi="Times New Roman" w:cs="Times New Roman" w:hint="eastAsia"/>
        </w:rPr>
        <w:t xml:space="preserve"> by </w:t>
      </w:r>
      <w:proofErr w:type="spellStart"/>
      <w:r w:rsidR="00F620DB" w:rsidRPr="00F620DB">
        <w:rPr>
          <w:rFonts w:ascii="Times New Roman" w:hAnsi="Times New Roman" w:cs="Times New Roman" w:hint="eastAsia"/>
        </w:rPr>
        <w:t>Xpert</w:t>
      </w:r>
      <w:proofErr w:type="spellEnd"/>
      <w:r w:rsidR="00F620DB" w:rsidRPr="00F620DB">
        <w:rPr>
          <w:rFonts w:ascii="Times New Roman" w:hAnsi="Times New Roman" w:cs="Times New Roman" w:hint="eastAsia"/>
        </w:rPr>
        <w:t xml:space="preserve"> MTB/XDR</w:t>
      </w:r>
      <w:r w:rsidR="00E23B5E">
        <w:rPr>
          <w:rFonts w:ascii="Times New Roman" w:hAnsi="Times New Roman" w:cs="Times New Roman" w:hint="eastAsia"/>
        </w:rPr>
        <w:t>)</w:t>
      </w:r>
      <w:r w:rsidR="00F620DB">
        <w:rPr>
          <w:rFonts w:ascii="Times New Roman" w:hAnsi="Times New Roman" w:cs="Times New Roman" w:hint="eastAsia"/>
        </w:rPr>
        <w:t xml:space="preserve">, </w:t>
      </w:r>
      <w:r w:rsidR="00B32E49">
        <w:rPr>
          <w:rFonts w:ascii="Times New Roman" w:hAnsi="Times New Roman" w:cs="Times New Roman"/>
        </w:rPr>
        <w:t xml:space="preserve">treatment </w:t>
      </w:r>
      <w:r w:rsidRPr="008B6098">
        <w:rPr>
          <w:rFonts w:ascii="Times New Roman" w:hAnsi="Times New Roman" w:cs="Times New Roman" w:hint="eastAsia"/>
        </w:rPr>
        <w:t>acceptability (</w:t>
      </w:r>
      <w:r w:rsidR="000A0D79" w:rsidRPr="008B6098">
        <w:rPr>
          <w:rFonts w:ascii="Times New Roman" w:hAnsi="Times New Roman" w:cs="Times New Roman"/>
        </w:rPr>
        <w:t>i.e.,</w:t>
      </w:r>
      <w:r w:rsidR="001D6B13" w:rsidRPr="001D6B13">
        <w:rPr>
          <w:rFonts w:ascii="Times New Roman" w:hAnsi="Times New Roman" w:cs="Times New Roman" w:hint="eastAsia"/>
        </w:rPr>
        <w:t xml:space="preserve"> </w:t>
      </w:r>
      <w:r w:rsidR="001D6B13" w:rsidRPr="008B6098">
        <w:rPr>
          <w:rFonts w:ascii="Times New Roman" w:hAnsi="Times New Roman" w:cs="Times New Roman" w:hint="eastAsia"/>
        </w:rPr>
        <w:t>drug preference</w:t>
      </w:r>
      <w:r w:rsidR="001D6B13">
        <w:rPr>
          <w:rFonts w:ascii="Times New Roman" w:hAnsi="Times New Roman" w:cs="Times New Roman" w:hint="eastAsia"/>
        </w:rPr>
        <w:t xml:space="preserve">, </w:t>
      </w:r>
      <w:r w:rsidR="00F620DB">
        <w:rPr>
          <w:rFonts w:ascii="Times New Roman" w:hAnsi="Times New Roman" w:cs="Times New Roman" w:hint="eastAsia"/>
        </w:rPr>
        <w:t>treatment fee</w:t>
      </w:r>
      <w:r w:rsidR="00E23B5E">
        <w:rPr>
          <w:rFonts w:ascii="Times New Roman" w:hAnsi="Times New Roman" w:cs="Times New Roman" w:hint="eastAsia"/>
        </w:rPr>
        <w:t xml:space="preserve"> etc.</w:t>
      </w:r>
      <w:r w:rsidRPr="008B6098">
        <w:rPr>
          <w:rFonts w:ascii="Times New Roman" w:hAnsi="Times New Roman" w:cs="Times New Roman" w:hint="eastAsia"/>
        </w:rPr>
        <w:t xml:space="preserve">), </w:t>
      </w:r>
      <w:r w:rsidR="001D6B13" w:rsidRPr="001D6B13">
        <w:rPr>
          <w:rFonts w:ascii="Times New Roman" w:hAnsi="Times New Roman" w:cs="Times New Roman"/>
        </w:rPr>
        <w:t>tolerability</w:t>
      </w:r>
      <w:r w:rsidRPr="008B6098">
        <w:rPr>
          <w:rFonts w:ascii="Times New Roman" w:hAnsi="Times New Roman" w:cs="Times New Roman" w:hint="eastAsia"/>
        </w:rPr>
        <w:t xml:space="preserve"> (</w:t>
      </w:r>
      <w:r w:rsidR="000A0D79" w:rsidRPr="008B6098">
        <w:rPr>
          <w:rFonts w:ascii="Times New Roman" w:hAnsi="Times New Roman" w:cs="Times New Roman"/>
        </w:rPr>
        <w:t>i.e.,</w:t>
      </w:r>
      <w:r w:rsidR="00F620DB">
        <w:rPr>
          <w:rFonts w:ascii="Times New Roman" w:hAnsi="Times New Roman" w:cs="Times New Roman" w:hint="eastAsia"/>
        </w:rPr>
        <w:t xml:space="preserve"> </w:t>
      </w:r>
      <w:r w:rsidR="00F620DB">
        <w:rPr>
          <w:rFonts w:ascii="Times New Roman" w:hAnsi="Times New Roman" w:cs="Times New Roman"/>
        </w:rPr>
        <w:t>in</w:t>
      </w:r>
      <w:r w:rsidR="00F620DB" w:rsidRPr="001D6B13">
        <w:rPr>
          <w:rFonts w:ascii="Times New Roman" w:hAnsi="Times New Roman" w:cs="Times New Roman"/>
        </w:rPr>
        <w:t>tolerance</w:t>
      </w:r>
      <w:r w:rsidR="00F620DB">
        <w:rPr>
          <w:rFonts w:ascii="Times New Roman" w:hAnsi="Times New Roman" w:cs="Times New Roman" w:hint="eastAsia"/>
        </w:rPr>
        <w:t xml:space="preserve"> </w:t>
      </w:r>
      <w:r w:rsidR="00E23B5E">
        <w:rPr>
          <w:rFonts w:ascii="Times New Roman" w:hAnsi="Times New Roman" w:cs="Times New Roman" w:hint="eastAsia"/>
        </w:rPr>
        <w:t>to</w:t>
      </w:r>
      <w:r w:rsidR="00F620DB">
        <w:rPr>
          <w:rFonts w:ascii="Times New Roman" w:hAnsi="Times New Roman" w:cs="Times New Roman" w:hint="eastAsia"/>
        </w:rPr>
        <w:t xml:space="preserve"> certain side effects,</w:t>
      </w:r>
      <w:r w:rsidRPr="008B6098">
        <w:rPr>
          <w:rFonts w:ascii="Times New Roman" w:hAnsi="Times New Roman" w:cs="Times New Roman" w:hint="eastAsia"/>
        </w:rPr>
        <w:t xml:space="preserve"> </w:t>
      </w:r>
      <w:r w:rsidR="00E23B5E" w:rsidRPr="00E23B5E">
        <w:rPr>
          <w:rFonts w:ascii="Times New Roman" w:hAnsi="Times New Roman" w:cs="Times New Roman" w:hint="eastAsia"/>
        </w:rPr>
        <w:t>refus</w:t>
      </w:r>
      <w:r w:rsidR="001A0CE0">
        <w:rPr>
          <w:rFonts w:ascii="Times New Roman" w:hAnsi="Times New Roman" w:cs="Times New Roman" w:hint="eastAsia"/>
        </w:rPr>
        <w:t>ing</w:t>
      </w:r>
      <w:r w:rsidR="00E23B5E" w:rsidRPr="00E23B5E">
        <w:rPr>
          <w:rFonts w:ascii="Times New Roman" w:hAnsi="Times New Roman" w:cs="Times New Roman" w:hint="eastAsia"/>
        </w:rPr>
        <w:t xml:space="preserve"> to use </w:t>
      </w:r>
      <w:r w:rsidR="007D5782">
        <w:rPr>
          <w:rFonts w:ascii="Times New Roman" w:hAnsi="Times New Roman" w:cs="Times New Roman" w:hint="eastAsia"/>
        </w:rPr>
        <w:t>for</w:t>
      </w:r>
      <w:r w:rsidR="00C02037">
        <w:rPr>
          <w:rFonts w:ascii="Times New Roman" w:hAnsi="Times New Roman" w:cs="Times New Roman" w:hint="eastAsia"/>
        </w:rPr>
        <w:t xml:space="preserve"> </w:t>
      </w:r>
      <w:r w:rsidRPr="008B6098">
        <w:rPr>
          <w:rFonts w:ascii="Times New Roman" w:hAnsi="Times New Roman" w:cs="Times New Roman" w:hint="eastAsia"/>
        </w:rPr>
        <w:t xml:space="preserve">certain </w:t>
      </w:r>
      <w:r w:rsidR="001D6B13" w:rsidRPr="008B6098">
        <w:rPr>
          <w:rFonts w:ascii="Times New Roman" w:hAnsi="Times New Roman" w:cs="Times New Roman"/>
        </w:rPr>
        <w:t>side effects</w:t>
      </w:r>
      <w:r w:rsidR="00DB5072">
        <w:rPr>
          <w:rFonts w:ascii="Times New Roman" w:hAnsi="Times New Roman" w:cs="Times New Roman" w:hint="eastAsia"/>
        </w:rPr>
        <w:t xml:space="preserve"> etc.</w:t>
      </w:r>
      <w:r w:rsidRPr="008B6098">
        <w:rPr>
          <w:rFonts w:ascii="Times New Roman" w:hAnsi="Times New Roman" w:cs="Times New Roman" w:hint="eastAsia"/>
        </w:rPr>
        <w:t>)</w:t>
      </w:r>
    </w:p>
    <w:p w14:paraId="67277F73" w14:textId="3776471D" w:rsidR="00E94E51" w:rsidRPr="001A0CE0" w:rsidRDefault="00E94E51">
      <w:pPr>
        <w:widowControl/>
        <w:jc w:val="left"/>
        <w:rPr>
          <w:rFonts w:ascii="Times New Roman" w:hAnsi="Times New Roman" w:cs="Times New Roman"/>
        </w:rPr>
      </w:pPr>
    </w:p>
    <w:sectPr w:rsidR="00E94E51" w:rsidRPr="001A0CE0" w:rsidSect="00906C6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195F" w14:textId="77777777" w:rsidR="00C80AF2" w:rsidRDefault="00C80AF2" w:rsidP="00F43F3F">
      <w:r>
        <w:separator/>
      </w:r>
    </w:p>
  </w:endnote>
  <w:endnote w:type="continuationSeparator" w:id="0">
    <w:p w14:paraId="49C1F27C" w14:textId="77777777" w:rsidR="00C80AF2" w:rsidRDefault="00C80AF2" w:rsidP="00F43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78DC0" w14:textId="77777777" w:rsidR="00C80AF2" w:rsidRDefault="00C80AF2" w:rsidP="00F43F3F">
      <w:r>
        <w:separator/>
      </w:r>
    </w:p>
  </w:footnote>
  <w:footnote w:type="continuationSeparator" w:id="0">
    <w:p w14:paraId="51588B0F" w14:textId="77777777" w:rsidR="00C80AF2" w:rsidRDefault="00C80AF2" w:rsidP="00F43F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9C"/>
    <w:rsid w:val="00011C35"/>
    <w:rsid w:val="00014AA3"/>
    <w:rsid w:val="00017686"/>
    <w:rsid w:val="00061D03"/>
    <w:rsid w:val="00070FEF"/>
    <w:rsid w:val="000A0D79"/>
    <w:rsid w:val="000A6656"/>
    <w:rsid w:val="000E37C4"/>
    <w:rsid w:val="0015730B"/>
    <w:rsid w:val="00187027"/>
    <w:rsid w:val="001A0CE0"/>
    <w:rsid w:val="001D5428"/>
    <w:rsid w:val="001D6B13"/>
    <w:rsid w:val="002250DA"/>
    <w:rsid w:val="002549C8"/>
    <w:rsid w:val="002622F1"/>
    <w:rsid w:val="002939FA"/>
    <w:rsid w:val="002E5862"/>
    <w:rsid w:val="0033651B"/>
    <w:rsid w:val="003512DC"/>
    <w:rsid w:val="00351461"/>
    <w:rsid w:val="00373627"/>
    <w:rsid w:val="003B1A9A"/>
    <w:rsid w:val="003C17F4"/>
    <w:rsid w:val="003F7E94"/>
    <w:rsid w:val="00412DBE"/>
    <w:rsid w:val="0043546F"/>
    <w:rsid w:val="004737EC"/>
    <w:rsid w:val="004C645D"/>
    <w:rsid w:val="004C688A"/>
    <w:rsid w:val="004F4083"/>
    <w:rsid w:val="00503536"/>
    <w:rsid w:val="00511E7B"/>
    <w:rsid w:val="005420D6"/>
    <w:rsid w:val="005539C4"/>
    <w:rsid w:val="005747AD"/>
    <w:rsid w:val="00577EFE"/>
    <w:rsid w:val="006054A3"/>
    <w:rsid w:val="006528FC"/>
    <w:rsid w:val="00656C68"/>
    <w:rsid w:val="006672E4"/>
    <w:rsid w:val="00671F79"/>
    <w:rsid w:val="006869A1"/>
    <w:rsid w:val="0069682E"/>
    <w:rsid w:val="006B0F63"/>
    <w:rsid w:val="006C2F11"/>
    <w:rsid w:val="006C43CB"/>
    <w:rsid w:val="006E0379"/>
    <w:rsid w:val="006E22AB"/>
    <w:rsid w:val="006F20DA"/>
    <w:rsid w:val="007024C5"/>
    <w:rsid w:val="007040E5"/>
    <w:rsid w:val="00770186"/>
    <w:rsid w:val="007A03C7"/>
    <w:rsid w:val="007C4D71"/>
    <w:rsid w:val="007D479C"/>
    <w:rsid w:val="007D5782"/>
    <w:rsid w:val="00846880"/>
    <w:rsid w:val="008A05CD"/>
    <w:rsid w:val="008B51D0"/>
    <w:rsid w:val="008B6098"/>
    <w:rsid w:val="00906C6F"/>
    <w:rsid w:val="00963D0E"/>
    <w:rsid w:val="009718FC"/>
    <w:rsid w:val="009A1DD1"/>
    <w:rsid w:val="009B1A9B"/>
    <w:rsid w:val="009B1BDA"/>
    <w:rsid w:val="009B2589"/>
    <w:rsid w:val="009E5975"/>
    <w:rsid w:val="00A069E0"/>
    <w:rsid w:val="00A25A0A"/>
    <w:rsid w:val="00A312B2"/>
    <w:rsid w:val="00A62705"/>
    <w:rsid w:val="00A8496F"/>
    <w:rsid w:val="00A93EC8"/>
    <w:rsid w:val="00AC3A22"/>
    <w:rsid w:val="00AD43F3"/>
    <w:rsid w:val="00AE1A3F"/>
    <w:rsid w:val="00AE3AF8"/>
    <w:rsid w:val="00B06296"/>
    <w:rsid w:val="00B32E49"/>
    <w:rsid w:val="00B40C02"/>
    <w:rsid w:val="00B667EB"/>
    <w:rsid w:val="00BB21C0"/>
    <w:rsid w:val="00BB7249"/>
    <w:rsid w:val="00BF65A7"/>
    <w:rsid w:val="00C02037"/>
    <w:rsid w:val="00C24EE7"/>
    <w:rsid w:val="00C25462"/>
    <w:rsid w:val="00C80AF2"/>
    <w:rsid w:val="00C94878"/>
    <w:rsid w:val="00CE308A"/>
    <w:rsid w:val="00D05F3F"/>
    <w:rsid w:val="00D43A0D"/>
    <w:rsid w:val="00D46500"/>
    <w:rsid w:val="00D547F8"/>
    <w:rsid w:val="00D67347"/>
    <w:rsid w:val="00D82659"/>
    <w:rsid w:val="00D93974"/>
    <w:rsid w:val="00DA496B"/>
    <w:rsid w:val="00DB5072"/>
    <w:rsid w:val="00DC5ECD"/>
    <w:rsid w:val="00DD5458"/>
    <w:rsid w:val="00DE687E"/>
    <w:rsid w:val="00E161B2"/>
    <w:rsid w:val="00E21F3F"/>
    <w:rsid w:val="00E23B5E"/>
    <w:rsid w:val="00E4356C"/>
    <w:rsid w:val="00E47259"/>
    <w:rsid w:val="00E94E51"/>
    <w:rsid w:val="00ED7B4D"/>
    <w:rsid w:val="00F4271D"/>
    <w:rsid w:val="00F4279E"/>
    <w:rsid w:val="00F43F3F"/>
    <w:rsid w:val="00F6132A"/>
    <w:rsid w:val="00F620DB"/>
    <w:rsid w:val="00F6580E"/>
    <w:rsid w:val="00F86EFC"/>
    <w:rsid w:val="00F9607C"/>
    <w:rsid w:val="00FB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4EF49"/>
  <w15:chartTrackingRefBased/>
  <w15:docId w15:val="{93272350-AA70-4A68-B86B-58289C0A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D47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7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7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7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79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7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7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7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47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D4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D4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D47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D47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D47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D47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47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D47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D47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D4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7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D47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47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D47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47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47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4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D47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479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3F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3F3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3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3F3F"/>
    <w:rPr>
      <w:sz w:val="18"/>
      <w:szCs w:val="18"/>
    </w:rPr>
  </w:style>
  <w:style w:type="table" w:styleId="11">
    <w:name w:val="Plain Table 1"/>
    <w:basedOn w:val="a1"/>
    <w:uiPriority w:val="41"/>
    <w:rsid w:val="00CE308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2">
    <w:name w:val="annotation reference"/>
    <w:basedOn w:val="a0"/>
    <w:uiPriority w:val="99"/>
    <w:semiHidden/>
    <w:unhideWhenUsed/>
    <w:rsid w:val="00DC5ECD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DC5ECD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DC5ECD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C5ECD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DC5ECD"/>
    <w:rPr>
      <w:b/>
      <w:bCs/>
    </w:rPr>
  </w:style>
  <w:style w:type="paragraph" w:styleId="af7">
    <w:name w:val="Revision"/>
    <w:hidden/>
    <w:uiPriority w:val="99"/>
    <w:semiHidden/>
    <w:rsid w:val="00686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李婷</dc:creator>
  <cp:keywords/>
  <dc:description/>
  <cp:lastModifiedBy>张 忆琳</cp:lastModifiedBy>
  <cp:revision>69</cp:revision>
  <dcterms:created xsi:type="dcterms:W3CDTF">2025-03-14T03:58:00Z</dcterms:created>
  <dcterms:modified xsi:type="dcterms:W3CDTF">2026-01-29T11:05:00Z</dcterms:modified>
</cp:coreProperties>
</file>