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9B114">
      <w:pPr>
        <w:rPr>
          <w:rFonts w:hint="eastAsia" w:ascii="Times New Roman" w:hAnsi="Times New Roman" w:cs="Times New Roman" w:eastAsiaTheme="minorEastAsia"/>
          <w:color w:val="FF000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>Supplementary T</w:t>
      </w:r>
      <w:r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Longitudinal changes in CD4⁺ T-cell count and CD4/CD8 ratio </w:t>
      </w:r>
      <w:bookmarkStart w:id="0" w:name="_Hlk212041182"/>
      <w:r>
        <w:rPr>
          <w:rFonts w:ascii="Times New Roman" w:hAnsi="Times New Roman" w:cs="Times New Roman"/>
          <w:sz w:val="24"/>
        </w:rPr>
        <w:t xml:space="preserve">between baseline and week 24, and between week 24 and week 48, in patients with </w:t>
      </w:r>
      <w:r>
        <w:rPr>
          <w:rFonts w:hint="eastAsia" w:ascii="Times New Roman" w:hAnsi="Times New Roman" w:cs="Times New Roman"/>
          <w:sz w:val="24"/>
          <w:lang w:val="en-US" w:eastAsia="zh-CN"/>
        </w:rPr>
        <w:t>or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 without opportunistic infections according to ART regimen</w:t>
      </w:r>
      <w:bookmarkEnd w:id="0"/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</w:p>
    <w:tbl>
      <w:tblPr>
        <w:tblStyle w:val="17"/>
        <w:tblW w:w="47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80"/>
        <w:gridCol w:w="2067"/>
        <w:gridCol w:w="2067"/>
        <w:gridCol w:w="2067"/>
        <w:gridCol w:w="2067"/>
        <w:gridCol w:w="2067"/>
        <w:gridCol w:w="2067"/>
      </w:tblGrid>
      <w:tr w14:paraId="0B21C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73B2B79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</w:rPr>
              <w:t>arameter</w:t>
            </w:r>
          </w:p>
        </w:tc>
        <w:tc>
          <w:tcPr>
            <w:tcW w:w="46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6A03C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69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2EEE940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</w:t>
            </w:r>
            <w:r>
              <w:rPr>
                <w:rFonts w:ascii="Times New Roman" w:hAnsi="Times New Roman" w:cs="Times New Roman"/>
              </w:rPr>
              <w:t>aseline</w:t>
            </w:r>
          </w:p>
        </w:tc>
        <w:tc>
          <w:tcPr>
            <w:tcW w:w="69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11B231D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W</w:t>
            </w:r>
            <w:r>
              <w:rPr>
                <w:rFonts w:ascii="Times New Roman" w:hAnsi="Times New Roman" w:cs="Times New Roman"/>
              </w:rPr>
              <w:t>eek 24</w:t>
            </w:r>
          </w:p>
        </w:tc>
        <w:tc>
          <w:tcPr>
            <w:tcW w:w="691" w:type="pct"/>
            <w:tcBorders>
              <w:top w:val="single" w:color="auto" w:sz="8" w:space="0"/>
              <w:bottom w:val="single" w:color="auto" w:sz="8" w:space="0"/>
            </w:tcBorders>
            <w:noWrap/>
            <w:vAlign w:val="top"/>
          </w:tcPr>
          <w:p w14:paraId="5EF9ED84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Value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(Baseline vs. Week 24)</w:t>
            </w:r>
          </w:p>
        </w:tc>
        <w:tc>
          <w:tcPr>
            <w:tcW w:w="691" w:type="pct"/>
            <w:tcBorders>
              <w:top w:val="single" w:color="auto" w:sz="8" w:space="0"/>
              <w:bottom w:val="single" w:color="auto" w:sz="8" w:space="0"/>
            </w:tcBorders>
            <w:noWrap/>
            <w:vAlign w:val="top"/>
          </w:tcPr>
          <w:p w14:paraId="15E20DAD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W</w:t>
            </w:r>
            <w:r>
              <w:rPr>
                <w:rFonts w:ascii="Times New Roman" w:hAnsi="Times New Roman" w:cs="Times New Roman"/>
              </w:rPr>
              <w:t>eek 24</w:t>
            </w:r>
          </w:p>
        </w:tc>
        <w:tc>
          <w:tcPr>
            <w:tcW w:w="69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7C2F597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W</w:t>
            </w:r>
            <w:r>
              <w:rPr>
                <w:rFonts w:ascii="Times New Roman" w:hAnsi="Times New Roman" w:cs="Times New Roman"/>
              </w:rPr>
              <w:t>eek 48</w:t>
            </w:r>
          </w:p>
        </w:tc>
        <w:tc>
          <w:tcPr>
            <w:tcW w:w="69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4D7E8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Value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(Week 24 vs. Week 48)</w:t>
            </w:r>
          </w:p>
        </w:tc>
      </w:tr>
      <w:tr w14:paraId="4AEAE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vMerge w:val="restart"/>
            <w:tcBorders>
              <w:top w:val="single" w:color="auto" w:sz="8" w:space="0"/>
            </w:tcBorders>
            <w:noWrap/>
          </w:tcPr>
          <w:p w14:paraId="29119A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CD4+ T cell count (cells/μL)</w:t>
            </w:r>
          </w:p>
        </w:tc>
        <w:tc>
          <w:tcPr>
            <w:tcW w:w="461" w:type="pct"/>
            <w:tcBorders>
              <w:top w:val="single" w:color="auto" w:sz="8" w:space="0"/>
            </w:tcBorders>
            <w:noWrap/>
          </w:tcPr>
          <w:p w14:paraId="296D81C9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BIC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group without OIs</w:t>
            </w:r>
          </w:p>
        </w:tc>
        <w:tc>
          <w:tcPr>
            <w:tcW w:w="691" w:type="pct"/>
            <w:tcBorders>
              <w:top w:val="single" w:color="auto" w:sz="8" w:space="0"/>
            </w:tcBorders>
          </w:tcPr>
          <w:p w14:paraId="6918D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97.00 (55.00, 156.75)</w:t>
            </w:r>
          </w:p>
        </w:tc>
        <w:tc>
          <w:tcPr>
            <w:tcW w:w="691" w:type="pct"/>
            <w:tcBorders>
              <w:top w:val="single" w:color="auto" w:sz="8" w:space="0"/>
            </w:tcBorders>
          </w:tcPr>
          <w:p w14:paraId="78279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223.00 (155.75, 304.75)</w:t>
            </w:r>
          </w:p>
        </w:tc>
        <w:tc>
          <w:tcPr>
            <w:tcW w:w="691" w:type="pct"/>
            <w:tcBorders>
              <w:top w:val="single" w:color="auto" w:sz="8" w:space="0"/>
            </w:tcBorders>
            <w:vAlign w:val="top"/>
          </w:tcPr>
          <w:p w14:paraId="441E9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  <w:tc>
          <w:tcPr>
            <w:tcW w:w="691" w:type="pct"/>
            <w:tcBorders>
              <w:top w:val="single" w:color="auto" w:sz="8" w:space="0"/>
            </w:tcBorders>
            <w:vAlign w:val="top"/>
          </w:tcPr>
          <w:p w14:paraId="56B6F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223.00 (155.75, 304.75)</w:t>
            </w:r>
          </w:p>
        </w:tc>
        <w:tc>
          <w:tcPr>
            <w:tcW w:w="691" w:type="pct"/>
            <w:tcBorders>
              <w:top w:val="single" w:color="auto" w:sz="8" w:space="0"/>
            </w:tcBorders>
          </w:tcPr>
          <w:p w14:paraId="21217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267.00 (213.00, 352.50)</w:t>
            </w:r>
          </w:p>
        </w:tc>
        <w:tc>
          <w:tcPr>
            <w:tcW w:w="691" w:type="pct"/>
            <w:tcBorders>
              <w:top w:val="single" w:color="auto" w:sz="8" w:space="0"/>
            </w:tcBorders>
          </w:tcPr>
          <w:p w14:paraId="2E1A8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</w:tr>
      <w:tr w14:paraId="497CC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vMerge w:val="continue"/>
          </w:tcPr>
          <w:p w14:paraId="311F02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noWrap/>
          </w:tcPr>
          <w:p w14:paraId="6BFA7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EFV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group without OIs</w:t>
            </w:r>
          </w:p>
        </w:tc>
        <w:tc>
          <w:tcPr>
            <w:tcW w:w="691" w:type="pct"/>
          </w:tcPr>
          <w:p w14:paraId="022EC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132.50 (69.25, 180.00)</w:t>
            </w:r>
          </w:p>
        </w:tc>
        <w:tc>
          <w:tcPr>
            <w:tcW w:w="691" w:type="pct"/>
          </w:tcPr>
          <w:p w14:paraId="56BCA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221.50 (160.00, 315.25)</w:t>
            </w:r>
          </w:p>
        </w:tc>
        <w:tc>
          <w:tcPr>
            <w:tcW w:w="691" w:type="pct"/>
            <w:vAlign w:val="top"/>
          </w:tcPr>
          <w:p w14:paraId="41278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  <w:tc>
          <w:tcPr>
            <w:tcW w:w="691" w:type="pct"/>
            <w:vAlign w:val="top"/>
          </w:tcPr>
          <w:p w14:paraId="0809A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221.50 (160.00, 315.25)</w:t>
            </w:r>
          </w:p>
        </w:tc>
        <w:tc>
          <w:tcPr>
            <w:tcW w:w="691" w:type="pct"/>
          </w:tcPr>
          <w:p w14:paraId="1F377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291.00 (196.00, 386.50)</w:t>
            </w:r>
          </w:p>
        </w:tc>
        <w:tc>
          <w:tcPr>
            <w:tcW w:w="691" w:type="pct"/>
          </w:tcPr>
          <w:p w14:paraId="3CA2B8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</w:tr>
      <w:tr w14:paraId="1D852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vMerge w:val="continue"/>
          </w:tcPr>
          <w:p w14:paraId="53B0D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noWrap/>
          </w:tcPr>
          <w:p w14:paraId="13D7E2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BIC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group with OIs</w:t>
            </w:r>
          </w:p>
        </w:tc>
        <w:tc>
          <w:tcPr>
            <w:tcW w:w="691" w:type="pct"/>
          </w:tcPr>
          <w:p w14:paraId="5C127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4.0</w:t>
            </w:r>
            <w:r>
              <w:rPr>
                <w:rFonts w:ascii="Times New Roman" w:hAnsi="Times New Roman" w:cs="Times New Roman"/>
              </w:rPr>
              <w:t xml:space="preserve"> (9.00, 5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</w:rPr>
              <w:t>.50)</w:t>
            </w:r>
          </w:p>
        </w:tc>
        <w:tc>
          <w:tcPr>
            <w:tcW w:w="691" w:type="pct"/>
          </w:tcPr>
          <w:p w14:paraId="4B6A1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155.0 (103.8, 222.5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  <w:vAlign w:val="top"/>
          </w:tcPr>
          <w:p w14:paraId="523A48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  <w:tc>
          <w:tcPr>
            <w:tcW w:w="691" w:type="pct"/>
            <w:vAlign w:val="top"/>
          </w:tcPr>
          <w:p w14:paraId="24F73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155.0 (103.8, 222.5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</w:tcPr>
          <w:p w14:paraId="40303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198.5 (143.3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328.8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</w:tcPr>
          <w:p w14:paraId="0D47F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</w:tr>
      <w:tr w14:paraId="7C419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vMerge w:val="continue"/>
          </w:tcPr>
          <w:p w14:paraId="195513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noWrap/>
          </w:tcPr>
          <w:p w14:paraId="731712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EFV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group with OIs</w:t>
            </w:r>
          </w:p>
        </w:tc>
        <w:tc>
          <w:tcPr>
            <w:tcW w:w="691" w:type="pct"/>
          </w:tcPr>
          <w:p w14:paraId="571B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(12.0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59.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691" w:type="pct"/>
          </w:tcPr>
          <w:p w14:paraId="43A75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124.5 (87.0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205.3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  <w:vAlign w:val="top"/>
          </w:tcPr>
          <w:p w14:paraId="74FD4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  <w:tc>
          <w:tcPr>
            <w:tcW w:w="691" w:type="pct"/>
            <w:vAlign w:val="top"/>
          </w:tcPr>
          <w:p w14:paraId="0DF16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124.5 (87.0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205.3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</w:tcPr>
          <w:p w14:paraId="06E6B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194.0 (127.0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304.0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</w:tcPr>
          <w:p w14:paraId="06977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0.004**</w:t>
            </w:r>
          </w:p>
        </w:tc>
      </w:tr>
      <w:tr w14:paraId="3544D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vMerge w:val="restart"/>
            <w:noWrap/>
          </w:tcPr>
          <w:p w14:paraId="7B831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CD4/CD8 ratio</w:t>
            </w:r>
          </w:p>
        </w:tc>
        <w:tc>
          <w:tcPr>
            <w:tcW w:w="461" w:type="pct"/>
            <w:noWrap/>
            <w:vAlign w:val="top"/>
          </w:tcPr>
          <w:p w14:paraId="1203B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BIC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group without OIs</w:t>
            </w:r>
          </w:p>
        </w:tc>
        <w:tc>
          <w:tcPr>
            <w:tcW w:w="691" w:type="pct"/>
          </w:tcPr>
          <w:p w14:paraId="335EB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 (0.08, 0.21)</w:t>
            </w:r>
          </w:p>
        </w:tc>
        <w:tc>
          <w:tcPr>
            <w:tcW w:w="691" w:type="pct"/>
          </w:tcPr>
          <w:p w14:paraId="52B93B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 (0.15, 0.33)</w:t>
            </w:r>
          </w:p>
        </w:tc>
        <w:tc>
          <w:tcPr>
            <w:tcW w:w="691" w:type="pct"/>
            <w:vAlign w:val="top"/>
          </w:tcPr>
          <w:p w14:paraId="778BD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  <w:tc>
          <w:tcPr>
            <w:tcW w:w="691" w:type="pct"/>
            <w:vAlign w:val="top"/>
          </w:tcPr>
          <w:p w14:paraId="068D85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 (0.15, 0.33)</w:t>
            </w:r>
          </w:p>
        </w:tc>
        <w:tc>
          <w:tcPr>
            <w:tcW w:w="691" w:type="pct"/>
          </w:tcPr>
          <w:p w14:paraId="272A5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 (0.20, 0.44)</w:t>
            </w:r>
          </w:p>
        </w:tc>
        <w:tc>
          <w:tcPr>
            <w:tcW w:w="691" w:type="pct"/>
          </w:tcPr>
          <w:p w14:paraId="3C521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</w:tr>
      <w:tr w14:paraId="76BA2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vMerge w:val="continue"/>
          </w:tcPr>
          <w:p w14:paraId="2E46A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noWrap/>
            <w:vAlign w:val="top"/>
          </w:tcPr>
          <w:p w14:paraId="427377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EFV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group without OIs</w:t>
            </w:r>
          </w:p>
        </w:tc>
        <w:tc>
          <w:tcPr>
            <w:tcW w:w="691" w:type="pct"/>
          </w:tcPr>
          <w:p w14:paraId="62CB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 (0.09, 0.24)</w:t>
            </w:r>
          </w:p>
        </w:tc>
        <w:tc>
          <w:tcPr>
            <w:tcW w:w="691" w:type="pct"/>
          </w:tcPr>
          <w:p w14:paraId="322F9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 (0.12, 0.42)</w:t>
            </w:r>
          </w:p>
        </w:tc>
        <w:tc>
          <w:tcPr>
            <w:tcW w:w="691" w:type="pct"/>
            <w:vAlign w:val="top"/>
          </w:tcPr>
          <w:p w14:paraId="6699F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  <w:tc>
          <w:tcPr>
            <w:tcW w:w="691" w:type="pct"/>
            <w:vAlign w:val="top"/>
          </w:tcPr>
          <w:p w14:paraId="045DD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 (0.12, 0.42)</w:t>
            </w:r>
          </w:p>
        </w:tc>
        <w:tc>
          <w:tcPr>
            <w:tcW w:w="691" w:type="pct"/>
          </w:tcPr>
          <w:p w14:paraId="6742E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 (0.21, 0.56)</w:t>
            </w:r>
          </w:p>
        </w:tc>
        <w:tc>
          <w:tcPr>
            <w:tcW w:w="691" w:type="pct"/>
          </w:tcPr>
          <w:p w14:paraId="7AED2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</w:tr>
      <w:tr w14:paraId="0A25F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vMerge w:val="continue"/>
          </w:tcPr>
          <w:p w14:paraId="5EE6D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noWrap/>
            <w:vAlign w:val="top"/>
          </w:tcPr>
          <w:p w14:paraId="58F9D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BIC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group with OIs</w:t>
            </w:r>
          </w:p>
        </w:tc>
        <w:tc>
          <w:tcPr>
            <w:tcW w:w="691" w:type="pct"/>
          </w:tcPr>
          <w:p w14:paraId="037CFD95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0.05 (0.27, 0.09)</w:t>
            </w:r>
          </w:p>
        </w:tc>
        <w:tc>
          <w:tcPr>
            <w:tcW w:w="691" w:type="pct"/>
          </w:tcPr>
          <w:p w14:paraId="6D18E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 (0.1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0.2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  <w:vAlign w:val="top"/>
          </w:tcPr>
          <w:p w14:paraId="022C5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  <w:tc>
          <w:tcPr>
            <w:tcW w:w="691" w:type="pct"/>
            <w:vAlign w:val="top"/>
          </w:tcPr>
          <w:p w14:paraId="559F27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 (0.1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0.2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</w:tcPr>
          <w:p w14:paraId="6F82E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 (0.1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0.3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</w:tcPr>
          <w:p w14:paraId="05863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</w:tr>
      <w:tr w14:paraId="4C936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1" w:type="pct"/>
            <w:vMerge w:val="continue"/>
            <w:tcBorders>
              <w:bottom w:val="single" w:color="auto" w:sz="8" w:space="0"/>
            </w:tcBorders>
          </w:tcPr>
          <w:p w14:paraId="6D54A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tcBorders>
              <w:bottom w:val="single" w:color="auto" w:sz="8" w:space="0"/>
            </w:tcBorders>
            <w:noWrap/>
            <w:vAlign w:val="top"/>
          </w:tcPr>
          <w:p w14:paraId="2098D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EFV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group with OIs</w:t>
            </w:r>
          </w:p>
        </w:tc>
        <w:tc>
          <w:tcPr>
            <w:tcW w:w="691" w:type="pct"/>
            <w:tcBorders>
              <w:bottom w:val="single" w:color="auto" w:sz="8" w:space="0"/>
            </w:tcBorders>
          </w:tcPr>
          <w:p w14:paraId="21AB9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0, 0.1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  <w:tcBorders>
              <w:bottom w:val="single" w:color="auto" w:sz="8" w:space="0"/>
            </w:tcBorders>
          </w:tcPr>
          <w:p w14:paraId="4F4DA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 (0.1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0.2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  <w:tcBorders>
              <w:bottom w:val="single" w:color="auto" w:sz="8" w:space="0"/>
            </w:tcBorders>
            <w:vAlign w:val="top"/>
          </w:tcPr>
          <w:p w14:paraId="330EE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 0.001***</w:t>
            </w:r>
          </w:p>
        </w:tc>
        <w:tc>
          <w:tcPr>
            <w:tcW w:w="691" w:type="pct"/>
            <w:tcBorders>
              <w:bottom w:val="single" w:color="auto" w:sz="8" w:space="0"/>
            </w:tcBorders>
            <w:vAlign w:val="top"/>
          </w:tcPr>
          <w:p w14:paraId="34FBA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 (0.1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0.2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  <w:tcBorders>
              <w:bottom w:val="single" w:color="auto" w:sz="8" w:space="0"/>
            </w:tcBorders>
          </w:tcPr>
          <w:p w14:paraId="70D6A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 (0.1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, 0.3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pct"/>
            <w:tcBorders>
              <w:bottom w:val="single" w:color="auto" w:sz="8" w:space="0"/>
            </w:tcBorders>
          </w:tcPr>
          <w:p w14:paraId="7882C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0.001**</w:t>
            </w:r>
          </w:p>
        </w:tc>
      </w:tr>
    </w:tbl>
    <w:p w14:paraId="625E82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Values are presented as median (interquartile range).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Comparisons between time points (0 w vs. 24 w and 24 w vs. 48 w) were analyzed using the Wilcoxon signed-rank test.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 was considered statistically significant.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 &lt; 0.05, ** p &lt; 0.01, *** p &lt; 0.001.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Abbreviations: ART, antiretroviral therapy; OI, with opportunistic infection; BIC, bictegravir; FTC, emtricitabine; TAF, tenofovir alafenamide; EFV, efavirenz; 3TC, lamivudine; TDF, tenofovir disoproxil fumarate.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6D"/>
    <w:rsid w:val="00054AAC"/>
    <w:rsid w:val="000C4C79"/>
    <w:rsid w:val="00105D2B"/>
    <w:rsid w:val="00181CBB"/>
    <w:rsid w:val="001A2B40"/>
    <w:rsid w:val="00252568"/>
    <w:rsid w:val="00403F77"/>
    <w:rsid w:val="004040BA"/>
    <w:rsid w:val="0048364E"/>
    <w:rsid w:val="00525ED0"/>
    <w:rsid w:val="006166C8"/>
    <w:rsid w:val="007B62A5"/>
    <w:rsid w:val="007D2F6D"/>
    <w:rsid w:val="00875A3A"/>
    <w:rsid w:val="008B591F"/>
    <w:rsid w:val="009C00D2"/>
    <w:rsid w:val="00A62BC6"/>
    <w:rsid w:val="00A70EBD"/>
    <w:rsid w:val="00A7755B"/>
    <w:rsid w:val="00B034D8"/>
    <w:rsid w:val="00B35A14"/>
    <w:rsid w:val="00C43FE8"/>
    <w:rsid w:val="00CB2FE4"/>
    <w:rsid w:val="00CF16CF"/>
    <w:rsid w:val="00D57D46"/>
    <w:rsid w:val="00D8010E"/>
    <w:rsid w:val="00D92CEE"/>
    <w:rsid w:val="00DC7DA5"/>
    <w:rsid w:val="00E16DDE"/>
    <w:rsid w:val="00E62B22"/>
    <w:rsid w:val="00E859A8"/>
    <w:rsid w:val="00FF4602"/>
    <w:rsid w:val="05E64F4D"/>
    <w:rsid w:val="07F40278"/>
    <w:rsid w:val="086B1A0E"/>
    <w:rsid w:val="13885EEA"/>
    <w:rsid w:val="17904D70"/>
    <w:rsid w:val="2AAD6DEA"/>
    <w:rsid w:val="3B5620B4"/>
    <w:rsid w:val="47B0704B"/>
    <w:rsid w:val="5C186A76"/>
    <w:rsid w:val="5C771362"/>
    <w:rsid w:val="6FAF21EF"/>
    <w:rsid w:val="70BD2EB0"/>
    <w:rsid w:val="7E467EF0"/>
    <w:rsid w:val="7FE3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basedOn w:val="18"/>
    <w:semiHidden/>
    <w:unhideWhenUsed/>
    <w:qFormat/>
    <w:uiPriority w:val="99"/>
    <w:rPr>
      <w:vertAlign w:val="superscript"/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1399</Characters>
  <Lines>79</Lines>
  <Paragraphs>76</Paragraphs>
  <TotalTime>1</TotalTime>
  <ScaleCrop>false</ScaleCrop>
  <LinksUpToDate>false</LinksUpToDate>
  <CharactersWithSpaces>1607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2025-10-19T14:55:00Z</dcterms:created>
  <dc:creator>1149603843@qq.com</dc:creator>
  <cp:lastModifiedBy>森莫之迹</cp:lastModifiedBy>
  <dcterms:modified xsi:type="dcterms:W3CDTF">2025-12-04T04:42:10Z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eyJoZGlkIjoiYjkyZmNhZmMwYTRkMzdjNDc0ZDBiODA4ZTNmNjg2YzYiLCJ1c2VySWQiOiIzNzM5MzMwMDgifQ==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E9E4BFF439974062B53CFFA8B501544F_12</vt:lpwstr>
  </property>
</Properties>
</file>