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03" w:rsidRDefault="00327A03" w:rsidP="00327A03">
      <w:pPr>
        <w:spacing w:before="240"/>
        <w:rPr>
          <w:b/>
        </w:rPr>
      </w:pPr>
      <w:proofErr w:type="gramStart"/>
      <w:r>
        <w:rPr>
          <w:rFonts w:ascii="Arial Unicode MS" w:eastAsia="Arial Unicode MS" w:cs="Arial Unicode MS"/>
          <w:b/>
        </w:rPr>
        <w:t>Supplementary Material 1.</w:t>
      </w:r>
      <w:proofErr w:type="gramEnd"/>
      <w:r>
        <w:rPr>
          <w:rFonts w:ascii="Arial Unicode MS" w:eastAsia="Arial Unicode MS" w:cs="Arial Unicode MS"/>
          <w:b/>
        </w:rPr>
        <w:t xml:space="preserve"> Determination of plasma concentrations of INH</w:t>
      </w:r>
    </w:p>
    <w:p w:rsidR="00327A03" w:rsidRDefault="00327A03" w:rsidP="00327A03">
      <w:pPr>
        <w:spacing w:before="240" w:line="360" w:lineRule="auto"/>
        <w:ind w:firstLine="708"/>
        <w:jc w:val="both"/>
      </w:pPr>
      <w:r>
        <w:rPr>
          <w:rFonts w:ascii="Arial Unicode MS" w:eastAsia="Arial Unicode MS" w:cs="Arial Unicode MS"/>
        </w:rPr>
        <w:t xml:space="preserve">The plasma concentration of INH was determined via high-performance chromatography (HPLC) via a </w:t>
      </w:r>
      <w:proofErr w:type="spellStart"/>
      <w:r>
        <w:rPr>
          <w:rFonts w:ascii="Arial Unicode MS" w:eastAsia="Arial Unicode MS" w:cs="Arial Unicode MS"/>
        </w:rPr>
        <w:t>Phenomenex</w:t>
      </w:r>
      <w:proofErr w:type="spellEnd"/>
      <w:r>
        <w:rPr>
          <w:rFonts w:ascii="Arial Unicode MS" w:eastAsia="Arial Unicode MS" w:cs="Arial Unicode MS"/>
        </w:rPr>
        <w:t xml:space="preserve"> C18 column, Gemini 5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>m (150</w:t>
      </w:r>
      <w:r>
        <w:rPr>
          <w:rFonts w:ascii="Arial Unicode MS" w:eastAsia="Arial Unicode MS" w:cs="Arial Unicode MS"/>
        </w:rPr>
        <w:t>–</w:t>
      </w:r>
      <w:r>
        <w:rPr>
          <w:rFonts w:ascii="Arial Unicode MS" w:eastAsia="Arial Unicode MS" w:cs="Arial Unicode MS"/>
        </w:rPr>
        <w:t xml:space="preserve">4.6 mm). A total of 600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 xml:space="preserve">L of acidified acetonitrile (0.1% formic acid) was added to 200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 xml:space="preserve">L of human plasma in a 15 mL Falcon tube. The mixture was </w:t>
      </w:r>
      <w:proofErr w:type="spellStart"/>
      <w:r>
        <w:rPr>
          <w:rFonts w:ascii="Arial Unicode MS" w:eastAsia="Arial Unicode MS" w:cs="Arial Unicode MS"/>
        </w:rPr>
        <w:t>vortexed</w:t>
      </w:r>
      <w:proofErr w:type="spellEnd"/>
      <w:r>
        <w:rPr>
          <w:rFonts w:ascii="Arial Unicode MS" w:eastAsia="Arial Unicode MS" w:cs="Arial Unicode MS"/>
        </w:rPr>
        <w:t xml:space="preserve"> on a tube shaker for 60 seconds, and the tube was subsequently centrifuged at 3800 rpm for 10 minutes at 5</w:t>
      </w:r>
      <w:r>
        <w:rPr>
          <w:rFonts w:ascii="Arial Unicode MS" w:eastAsia="Arial Unicode MS" w:cs="Arial Unicode MS"/>
        </w:rPr>
        <w:t>°</w:t>
      </w:r>
      <w:r>
        <w:rPr>
          <w:rFonts w:ascii="Arial Unicode MS" w:eastAsia="Arial Unicode MS" w:cs="Arial Unicode MS"/>
        </w:rPr>
        <w:t xml:space="preserve">C. A total of 20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 xml:space="preserve">L of the supernatant was diluted in 180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 xml:space="preserve">L of acidified water (0.1% formic acid), and the resulting 200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 xml:space="preserve">L was filtered through a syringe filter (hydrophilic PTFE 22 </w:t>
      </w:r>
      <w:r>
        <w:rPr>
          <w:rFonts w:ascii="Symbol" w:eastAsia="Arial Unicode MS" w:hAnsi="Symbol" w:cs="Arial Unicode MS"/>
        </w:rPr>
        <w:sym w:font="Symbol" w:char="F06D"/>
      </w:r>
      <w:r>
        <w:rPr>
          <w:rFonts w:ascii="Arial Unicode MS" w:eastAsia="Arial Unicode MS" w:cs="Arial Unicode MS"/>
        </w:rPr>
        <w:t>m) and injected into the UHPLC</w:t>
      </w:r>
      <w:r>
        <w:rPr>
          <w:rFonts w:ascii="Arial Unicode MS" w:eastAsia="Arial Unicode MS" w:cs="Arial Unicode MS"/>
        </w:rPr>
        <w:t>–</w:t>
      </w:r>
      <w:r>
        <w:rPr>
          <w:rFonts w:ascii="Arial Unicode MS" w:eastAsia="Arial Unicode MS" w:cs="Arial Unicode MS"/>
        </w:rPr>
        <w:t>MS/MS instrument. The mobile phases were water</w:t>
      </w:r>
      <w:r>
        <w:rPr>
          <w:rFonts w:ascii="Arial Unicode MS" w:eastAsia="Arial Unicode MS" w:cs="Arial Unicode MS"/>
        </w:rPr>
        <w:t> </w:t>
      </w:r>
      <w:r>
        <w:rPr>
          <w:rFonts w:ascii="Arial Unicode MS" w:eastAsia="Arial Unicode MS" w:cs="Arial Unicode MS"/>
        </w:rPr>
        <w:t>+</w:t>
      </w:r>
      <w:r>
        <w:rPr>
          <w:rFonts w:ascii="Arial Unicode MS" w:eastAsia="Arial Unicode MS" w:cs="Arial Unicode MS"/>
        </w:rPr>
        <w:t> </w:t>
      </w:r>
      <w:r>
        <w:rPr>
          <w:rFonts w:ascii="Arial Unicode MS" w:eastAsia="Arial Unicode MS" w:cs="Arial Unicode MS"/>
        </w:rPr>
        <w:t>0.1% formic acid (phase A) and acetonitrile</w:t>
      </w:r>
      <w:r>
        <w:rPr>
          <w:rFonts w:ascii="Arial Unicode MS" w:eastAsia="Arial Unicode MS" w:cs="Arial Unicode MS"/>
        </w:rPr>
        <w:t> </w:t>
      </w:r>
      <w:r>
        <w:rPr>
          <w:rFonts w:ascii="Arial Unicode MS" w:eastAsia="Arial Unicode MS" w:cs="Arial Unicode MS"/>
        </w:rPr>
        <w:t>+</w:t>
      </w:r>
      <w:r>
        <w:rPr>
          <w:rFonts w:ascii="Arial Unicode MS" w:eastAsia="Arial Unicode MS" w:cs="Arial Unicode MS"/>
        </w:rPr>
        <w:t> </w:t>
      </w:r>
      <w:r>
        <w:rPr>
          <w:rFonts w:ascii="Arial Unicode MS" w:eastAsia="Arial Unicode MS" w:cs="Arial Unicode MS"/>
        </w:rPr>
        <w:t xml:space="preserve">0.1% formic acid (phase B). A flow rate of 0.6 mL/min was used. Multiple </w:t>
      </w:r>
      <w:proofErr w:type="gramStart"/>
      <w:r>
        <w:rPr>
          <w:rFonts w:ascii="Arial Unicode MS" w:eastAsia="Arial Unicode MS" w:cs="Arial Unicode MS"/>
        </w:rPr>
        <w:t>reaction</w:t>
      </w:r>
      <w:proofErr w:type="gramEnd"/>
      <w:r>
        <w:rPr>
          <w:rFonts w:ascii="Arial Unicode MS" w:eastAsia="Arial Unicode MS" w:cs="Arial Unicode MS"/>
        </w:rPr>
        <w:t xml:space="preserve"> monitoring (MRM) was performed in positive mode. The transition used for isoniazid quantification was 138</w:t>
      </w:r>
      <w:r>
        <w:rPr>
          <w:rFonts w:ascii="Arial Unicode MS" w:eastAsia="Arial Unicode MS" w:cs="Arial Unicode MS"/>
        </w:rPr>
        <w:t>–</w:t>
      </w:r>
      <w:r>
        <w:rPr>
          <w:rFonts w:ascii="Arial Unicode MS" w:eastAsia="Arial Unicode MS" w:cs="Arial Unicode MS"/>
        </w:rPr>
        <w:t xml:space="preserve">121.2. The calibration curve included points between 1 and 50 </w:t>
      </w:r>
      <w:proofErr w:type="spellStart"/>
      <w:r>
        <w:rPr>
          <w:rFonts w:ascii="Arial Unicode MS" w:eastAsia="Arial Unicode MS" w:cs="Arial Unicode MS"/>
        </w:rPr>
        <w:t>ng</w:t>
      </w:r>
      <w:proofErr w:type="spellEnd"/>
      <w:r>
        <w:rPr>
          <w:rFonts w:ascii="Arial Unicode MS" w:eastAsia="Arial Unicode MS" w:cs="Arial Unicode MS"/>
        </w:rPr>
        <w:t xml:space="preserve">/mL (1, 2, 5, 10, 20 and 50 </w:t>
      </w:r>
      <w:proofErr w:type="spellStart"/>
      <w:r>
        <w:rPr>
          <w:rFonts w:ascii="Arial Unicode MS" w:eastAsia="Arial Unicode MS" w:cs="Arial Unicode MS"/>
        </w:rPr>
        <w:t>ng</w:t>
      </w:r>
      <w:proofErr w:type="spellEnd"/>
      <w:r>
        <w:rPr>
          <w:rFonts w:ascii="Arial Unicode MS" w:eastAsia="Arial Unicode MS" w:cs="Arial Unicode MS"/>
        </w:rPr>
        <w:t>/mL), with correlation coefficients greater than 0.99.</w:t>
      </w:r>
    </w:p>
    <w:p w:rsidR="00B53C39" w:rsidRDefault="00327A03">
      <w:bookmarkStart w:id="0" w:name="_GoBack"/>
      <w:bookmarkEnd w:id="0"/>
    </w:p>
    <w:sectPr w:rsidR="00B53C3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03"/>
    <w:rsid w:val="00327A03"/>
    <w:rsid w:val="00914B12"/>
    <w:rsid w:val="0097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Sorna Chellappan (Integra)</dc:creator>
  <cp:lastModifiedBy>Sorna Chellappan (Integra)</cp:lastModifiedBy>
  <cp:revision>1</cp:revision>
  <dcterms:created xsi:type="dcterms:W3CDTF">2026-03-10T10:36:00Z</dcterms:created>
  <dcterms:modified xsi:type="dcterms:W3CDTF">2026-03-10T10:36:00Z</dcterms:modified>
</cp:coreProperties>
</file>